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1DFD7A">
      <w:pPr>
        <w:spacing w:line="285" w:lineRule="auto"/>
        <w:rPr>
          <w:rFonts w:ascii="Arial"/>
          <w:sz w:val="21"/>
        </w:rPr>
      </w:pPr>
    </w:p>
    <w:p w14:paraId="4428336A">
      <w:pPr>
        <w:spacing w:before="136" w:line="219" w:lineRule="auto"/>
        <w:ind w:left="2226"/>
        <w:rPr>
          <w:rFonts w:ascii="宋体" w:hAnsi="宋体" w:eastAsia="宋体" w:cs="宋体"/>
          <w:sz w:val="42"/>
          <w:szCs w:val="42"/>
        </w:rPr>
      </w:pPr>
      <w:r>
        <w:rPr>
          <w:rFonts w:ascii="宋体" w:hAnsi="宋体" w:eastAsia="宋体" w:cs="宋体"/>
          <w:b/>
          <w:bCs/>
          <w:spacing w:val="-7"/>
          <w:sz w:val="42"/>
          <w:szCs w:val="42"/>
        </w:rPr>
        <w:t>重庆市人民政府办公厅</w:t>
      </w:r>
    </w:p>
    <w:p w14:paraId="3120A4B5">
      <w:pPr>
        <w:spacing w:before="64" w:line="219" w:lineRule="auto"/>
        <w:ind w:left="506"/>
        <w:rPr>
          <w:rFonts w:ascii="宋体" w:hAnsi="宋体" w:eastAsia="宋体" w:cs="宋体"/>
          <w:sz w:val="42"/>
          <w:szCs w:val="42"/>
        </w:rPr>
      </w:pPr>
      <w:r>
        <w:rPr>
          <w:rFonts w:ascii="宋体" w:hAnsi="宋体" w:eastAsia="宋体" w:cs="宋体"/>
          <w:b/>
          <w:bCs/>
          <w:spacing w:val="-3"/>
          <w:sz w:val="42"/>
          <w:szCs w:val="42"/>
        </w:rPr>
        <w:t>关于加快推进高层建筑消防物联感知设备</w:t>
      </w:r>
    </w:p>
    <w:p w14:paraId="3069F801">
      <w:pPr>
        <w:spacing w:before="102" w:line="220" w:lineRule="auto"/>
        <w:ind w:left="2846"/>
        <w:rPr>
          <w:rFonts w:ascii="宋体" w:hAnsi="宋体" w:eastAsia="宋体" w:cs="宋体"/>
          <w:sz w:val="42"/>
          <w:szCs w:val="42"/>
        </w:rPr>
      </w:pPr>
      <w:r>
        <w:rPr>
          <w:rFonts w:ascii="宋体" w:hAnsi="宋体" w:eastAsia="宋体" w:cs="宋体"/>
          <w:b/>
          <w:bCs/>
          <w:spacing w:val="-1"/>
          <w:sz w:val="42"/>
          <w:szCs w:val="42"/>
        </w:rPr>
        <w:t>接入工作的通知</w:t>
      </w:r>
    </w:p>
    <w:p w14:paraId="506C8472">
      <w:pPr>
        <w:spacing w:line="331" w:lineRule="auto"/>
        <w:rPr>
          <w:rFonts w:ascii="Arial"/>
          <w:sz w:val="21"/>
        </w:rPr>
      </w:pPr>
    </w:p>
    <w:p w14:paraId="0EA8434E">
      <w:pPr>
        <w:spacing w:line="331" w:lineRule="auto"/>
        <w:rPr>
          <w:rFonts w:ascii="Arial"/>
          <w:sz w:val="21"/>
        </w:rPr>
      </w:pPr>
    </w:p>
    <w:p w14:paraId="0A90F2A5">
      <w:pPr>
        <w:pStyle w:val="2"/>
        <w:spacing w:before="99" w:line="221" w:lineRule="auto"/>
      </w:pPr>
      <w:r>
        <w:rPr>
          <w:spacing w:val="16"/>
        </w:rPr>
        <w:t>各区县(自治县)人民政府，市政府有关部门，有关单位：</w:t>
      </w:r>
    </w:p>
    <w:p w14:paraId="0713816F">
      <w:pPr>
        <w:pStyle w:val="2"/>
        <w:spacing w:before="181" w:line="355" w:lineRule="auto"/>
        <w:ind w:right="239" w:firstLine="599"/>
        <w:jc w:val="both"/>
      </w:pPr>
      <w:r>
        <w:rPr>
          <w:spacing w:val="7"/>
        </w:rPr>
        <w:t>按照全市高层建筑消防安全治理暨冬春火灾防控工作推进会议安排部署，为加快推进高层建筑消防物联感知设备接入工作，</w:t>
      </w:r>
      <w:r>
        <w:rPr>
          <w:spacing w:val="5"/>
        </w:rPr>
        <w:t>如期完成中央巡视整改工作要求，现将有关事项通知如</w:t>
      </w:r>
      <w:r>
        <w:rPr>
          <w:spacing w:val="4"/>
        </w:rPr>
        <w:t>下。</w:t>
      </w:r>
    </w:p>
    <w:p w14:paraId="332A0FBD">
      <w:pPr>
        <w:pStyle w:val="2"/>
        <w:numPr>
          <w:ilvl w:val="0"/>
          <w:numId w:val="1"/>
        </w:numPr>
        <w:spacing w:before="3" w:line="339" w:lineRule="auto"/>
        <w:ind w:left="29" w:firstLine="570"/>
        <w:outlineLvl w:val="0"/>
        <w:rPr>
          <w:spacing w:val="4"/>
        </w:rPr>
      </w:pPr>
      <w:r>
        <w:rPr>
          <w:rFonts w:ascii="黑体" w:hAnsi="黑体" w:eastAsia="黑体" w:cs="黑体"/>
          <w:spacing w:val="4"/>
        </w:rPr>
        <w:t>接入标准</w:t>
      </w:r>
      <w:r>
        <w:rPr>
          <w:spacing w:val="4"/>
        </w:rPr>
        <w:t>。</w:t>
      </w:r>
    </w:p>
    <w:p w14:paraId="58CC3A66">
      <w:pPr>
        <w:pStyle w:val="2"/>
        <w:numPr>
          <w:numId w:val="0"/>
        </w:numPr>
        <w:spacing w:before="3" w:line="339" w:lineRule="auto"/>
        <w:ind w:firstLine="616" w:firstLineChars="200"/>
        <w:outlineLvl w:val="9"/>
      </w:pPr>
      <w:r>
        <w:rPr>
          <w:spacing w:val="4"/>
        </w:rPr>
        <w:t>按照“应接尽接”原则，将全市高层建筑消</w:t>
      </w:r>
      <w:r>
        <w:rPr>
          <w:spacing w:val="8"/>
        </w:rPr>
        <w:t>防物联感知设备全量接入“高楼消防”应用平台。按照</w:t>
      </w:r>
      <w:r>
        <w:rPr>
          <w:spacing w:val="7"/>
        </w:rPr>
        <w:t>《建筑防</w:t>
      </w:r>
      <w:r>
        <w:rPr>
          <w:spacing w:val="4"/>
        </w:rPr>
        <w:t>火通用规范》、《重庆市消防物联网信息传输设备</w:t>
      </w:r>
      <w:r>
        <w:rPr>
          <w:spacing w:val="3"/>
        </w:rPr>
        <w:t>接入指导手册》</w:t>
      </w:r>
      <w:r>
        <w:rPr>
          <w:spacing w:val="9"/>
        </w:rPr>
        <w:t>要求，结合实际、分类实施。</w:t>
      </w:r>
      <w:r>
        <w:rPr>
          <w:b/>
          <w:bCs/>
          <w:color w:val="FF0000"/>
          <w:spacing w:val="9"/>
        </w:rPr>
        <w:t>对设有</w:t>
      </w:r>
      <w:r>
        <w:rPr>
          <w:b/>
          <w:bCs/>
          <w:color w:val="FF0000"/>
          <w:spacing w:val="9"/>
        </w:rPr>
        <w:t>室内消火栓、自</w:t>
      </w:r>
      <w:r>
        <w:rPr>
          <w:b/>
          <w:bCs/>
          <w:color w:val="FF0000"/>
          <w:spacing w:val="8"/>
        </w:rPr>
        <w:t>动喷水灭火</w:t>
      </w:r>
      <w:r>
        <w:rPr>
          <w:b/>
          <w:bCs/>
          <w:color w:val="FF0000"/>
          <w:spacing w:val="9"/>
        </w:rPr>
        <w:t>系统的，必须加装水压水位监测设备</w:t>
      </w:r>
      <w:r>
        <w:rPr>
          <w:color w:val="FF0000"/>
          <w:spacing w:val="9"/>
        </w:rPr>
        <w:t>；对设有火灾自动报警系统</w:t>
      </w:r>
      <w:r>
        <w:rPr>
          <w:color w:val="FF0000"/>
          <w:spacing w:val="8"/>
        </w:rPr>
        <w:t>的，必须加装用户传输装置设备；对设有建筑消防车通道的，必</w:t>
      </w:r>
      <w:r>
        <w:rPr>
          <w:color w:val="FF0000"/>
          <w:spacing w:val="9"/>
        </w:rPr>
        <w:t>须在占堵路段加装占道监测设备；对设有消防控制室的，必须加装值班人员脱岗离岗监测设备</w:t>
      </w:r>
      <w:r>
        <w:rPr>
          <w:spacing w:val="9"/>
        </w:rPr>
        <w:t>。对在部分楼层入驻医院、养老院酒店、教育培训等机构的高层建筑，应以整栋建筑为</w:t>
      </w:r>
      <w:r>
        <w:rPr>
          <w:spacing w:val="8"/>
        </w:rPr>
        <w:t>单位统一接</w:t>
      </w:r>
      <w:r>
        <w:rPr>
          <w:spacing w:val="9"/>
        </w:rPr>
        <w:t>入；对有高层建筑的各类学校，要灵活选择物联感知设备安装和</w:t>
      </w:r>
      <w:r>
        <w:rPr>
          <w:spacing w:val="5"/>
        </w:rPr>
        <w:t>接入时段，避免影响正常教学活动。</w:t>
      </w:r>
    </w:p>
    <w:p w14:paraId="19C2DD64">
      <w:pPr>
        <w:pStyle w:val="2"/>
        <w:numPr>
          <w:ilvl w:val="0"/>
          <w:numId w:val="1"/>
        </w:numPr>
        <w:spacing w:before="329" w:line="288" w:lineRule="auto"/>
        <w:ind w:left="29" w:leftChars="0" w:right="190" w:firstLine="570" w:firstLineChars="0"/>
        <w:outlineLvl w:val="0"/>
        <w:rPr>
          <w:rFonts w:ascii="黑体" w:hAnsi="黑体" w:eastAsia="黑体" w:cs="黑体"/>
          <w:spacing w:val="11"/>
        </w:rPr>
      </w:pPr>
      <w:r>
        <w:rPr>
          <w:rFonts w:ascii="黑体" w:hAnsi="黑体" w:eastAsia="黑体" w:cs="黑体"/>
          <w:spacing w:val="11"/>
        </w:rPr>
        <w:t>责任分工。</w:t>
      </w:r>
    </w:p>
    <w:p w14:paraId="22F11399">
      <w:pPr>
        <w:pStyle w:val="2"/>
        <w:numPr>
          <w:numId w:val="0"/>
        </w:numPr>
        <w:spacing w:before="329" w:line="288" w:lineRule="auto"/>
        <w:ind w:right="190" w:rightChars="0" w:firstLine="644" w:firstLineChars="200"/>
        <w:outlineLvl w:val="9"/>
      </w:pPr>
      <w:r>
        <w:rPr>
          <w:spacing w:val="11"/>
        </w:rPr>
        <w:t>全市共接入47379栋，具体</w:t>
      </w:r>
      <w:r>
        <w:rPr>
          <w:spacing w:val="10"/>
        </w:rPr>
        <w:t>见附表。各区县</w:t>
      </w:r>
      <w:r>
        <w:rPr>
          <w:spacing w:val="8"/>
        </w:rPr>
        <w:t>要落实属地责任，主导推进本地区高层建筑消防</w:t>
      </w:r>
      <w:r>
        <w:rPr>
          <w:spacing w:val="7"/>
        </w:rPr>
        <w:t>物联感知设备接</w:t>
      </w:r>
    </w:p>
    <w:p w14:paraId="7A45A207">
      <w:pPr>
        <w:spacing w:line="288" w:lineRule="auto"/>
        <w:sectPr>
          <w:footerReference r:id="rId5" w:type="default"/>
          <w:pgSz w:w="11900" w:h="16820"/>
          <w:pgMar w:top="1429" w:right="1499" w:bottom="1297" w:left="1559" w:header="0" w:footer="906" w:gutter="0"/>
          <w:cols w:space="720" w:num="1"/>
        </w:sectPr>
      </w:pPr>
    </w:p>
    <w:p w14:paraId="717C363A">
      <w:pPr>
        <w:pStyle w:val="2"/>
        <w:spacing w:before="101" w:line="356" w:lineRule="auto"/>
        <w:ind w:right="85"/>
        <w:jc w:val="both"/>
        <w:rPr>
          <w:sz w:val="31"/>
          <w:szCs w:val="31"/>
        </w:rPr>
      </w:pPr>
      <w:r>
        <w:rPr>
          <w:spacing w:val="-1"/>
          <w:sz w:val="31"/>
          <w:szCs w:val="31"/>
        </w:rPr>
        <w:t>入工作。市级有关部门要履行行业监管职责，加强督促、确保全</w:t>
      </w:r>
      <w:r>
        <w:rPr>
          <w:spacing w:val="-3"/>
          <w:sz w:val="31"/>
          <w:szCs w:val="31"/>
        </w:rPr>
        <w:t>覆盖。市、区县消防救援部门要加强统筹协调，履行好消安办职</w:t>
      </w:r>
      <w:r>
        <w:rPr>
          <w:spacing w:val="-2"/>
          <w:sz w:val="31"/>
          <w:szCs w:val="31"/>
        </w:rPr>
        <w:t>责：一要全面厘清需接入消防物联感知设备的高层建</w:t>
      </w:r>
      <w:r>
        <w:rPr>
          <w:spacing w:val="-3"/>
          <w:sz w:val="31"/>
          <w:szCs w:val="31"/>
        </w:rPr>
        <w:t>筑台账，动态更新数据，每周通报进度，组织指导逐栋验收销号；二要明确物联感知设备接入标准，指导各区县有序开展设备采购，为设备安装提供系统性技术支持，做好设备接入后的验收工作；三要提</w:t>
      </w:r>
      <w:r>
        <w:rPr>
          <w:spacing w:val="-2"/>
          <w:sz w:val="31"/>
          <w:szCs w:val="31"/>
        </w:rPr>
        <w:t>前研判设备接入市、区级消防物联网平台和市治理中</w:t>
      </w:r>
      <w:r>
        <w:rPr>
          <w:spacing w:val="-3"/>
          <w:sz w:val="31"/>
          <w:szCs w:val="31"/>
        </w:rPr>
        <w:t>心过程中的</w:t>
      </w:r>
      <w:r>
        <w:rPr>
          <w:spacing w:val="-6"/>
          <w:sz w:val="31"/>
          <w:szCs w:val="31"/>
        </w:rPr>
        <w:t>数据承载能力，保障科学有序接入。</w:t>
      </w:r>
    </w:p>
    <w:p w14:paraId="07AACC1F">
      <w:pPr>
        <w:pStyle w:val="2"/>
        <w:numPr>
          <w:ilvl w:val="0"/>
          <w:numId w:val="1"/>
        </w:numPr>
        <w:spacing w:before="211" w:line="240" w:lineRule="auto"/>
        <w:ind w:left="29" w:leftChars="0" w:right="70" w:firstLine="570" w:firstLineChars="0"/>
        <w:outlineLvl w:val="0"/>
        <w:rPr>
          <w:b/>
          <w:bCs/>
          <w:spacing w:val="6"/>
          <w:sz w:val="31"/>
          <w:szCs w:val="31"/>
        </w:rPr>
      </w:pPr>
      <w:r>
        <w:rPr>
          <w:rFonts w:ascii="黑体" w:hAnsi="黑体" w:eastAsia="黑体" w:cs="黑体"/>
          <w:b/>
          <w:bCs/>
          <w:spacing w:val="-6"/>
          <w:sz w:val="31"/>
          <w:szCs w:val="31"/>
        </w:rPr>
        <w:t>时间节点。</w:t>
      </w:r>
    </w:p>
    <w:p w14:paraId="5B514823">
      <w:pPr>
        <w:pStyle w:val="2"/>
        <w:numPr>
          <w:numId w:val="0"/>
        </w:numPr>
        <w:spacing w:before="3" w:line="328" w:lineRule="auto"/>
        <w:ind w:firstLine="644" w:firstLineChars="200"/>
        <w:outlineLvl w:val="9"/>
        <w:rPr>
          <w:sz w:val="31"/>
          <w:szCs w:val="31"/>
        </w:rPr>
      </w:pPr>
      <w:r>
        <w:rPr>
          <w:color w:val="FF0000"/>
          <w:spacing w:val="6"/>
          <w:sz w:val="31"/>
          <w:szCs w:val="31"/>
        </w:rPr>
        <w:t>2026年3月底前，全市100米以上</w:t>
      </w:r>
      <w:r>
        <w:rPr>
          <w:color w:val="FF0000"/>
          <w:spacing w:val="5"/>
          <w:sz w:val="31"/>
          <w:szCs w:val="31"/>
        </w:rPr>
        <w:t>的超高层</w:t>
      </w:r>
      <w:r>
        <w:rPr>
          <w:color w:val="FF0000"/>
          <w:spacing w:val="-9"/>
          <w:sz w:val="31"/>
          <w:szCs w:val="31"/>
        </w:rPr>
        <w:t>建筑以及医疗卫生机构、养老机构、教育机构、大型商业综合体、</w:t>
      </w:r>
      <w:r>
        <w:rPr>
          <w:color w:val="FF0000"/>
          <w:spacing w:val="-2"/>
          <w:sz w:val="31"/>
          <w:szCs w:val="31"/>
        </w:rPr>
        <w:t>影剧院、文博单位等高风险人员密集场所高层建筑消</w:t>
      </w:r>
      <w:r>
        <w:rPr>
          <w:color w:val="FF0000"/>
          <w:spacing w:val="-3"/>
          <w:sz w:val="31"/>
          <w:szCs w:val="31"/>
        </w:rPr>
        <w:t>防物联感知</w:t>
      </w:r>
      <w:r>
        <w:rPr>
          <w:color w:val="FF0000"/>
          <w:spacing w:val="18"/>
          <w:sz w:val="31"/>
          <w:szCs w:val="31"/>
        </w:rPr>
        <w:t>设备接入率达到100%;2026年5月底前</w:t>
      </w:r>
      <w:r>
        <w:rPr>
          <w:color w:val="FF0000"/>
          <w:spacing w:val="17"/>
          <w:sz w:val="31"/>
          <w:szCs w:val="31"/>
        </w:rPr>
        <w:t>，中心城区高层建筑接</w:t>
      </w:r>
      <w:r>
        <w:rPr>
          <w:color w:val="FF0000"/>
          <w:spacing w:val="14"/>
          <w:sz w:val="31"/>
          <w:szCs w:val="31"/>
        </w:rPr>
        <w:t>入率达到80%以上；2026年11月底前，中心城区高层建筑接入</w:t>
      </w:r>
      <w:r>
        <w:rPr>
          <w:color w:val="FF0000"/>
          <w:spacing w:val="22"/>
          <w:sz w:val="31"/>
          <w:szCs w:val="31"/>
        </w:rPr>
        <w:t>率达100%,其他区县接入率达到80%以上；2027</w:t>
      </w:r>
      <w:r>
        <w:rPr>
          <w:color w:val="FF0000"/>
          <w:spacing w:val="21"/>
          <w:sz w:val="31"/>
          <w:szCs w:val="31"/>
        </w:rPr>
        <w:t>年6月底前，</w:t>
      </w:r>
      <w:r>
        <w:rPr>
          <w:color w:val="FF0000"/>
          <w:spacing w:val="8"/>
          <w:sz w:val="31"/>
          <w:szCs w:val="31"/>
        </w:rPr>
        <w:t>全市高层建筑接入率达到100%。</w:t>
      </w:r>
    </w:p>
    <w:p w14:paraId="7A2BA325">
      <w:pPr>
        <w:pStyle w:val="2"/>
        <w:numPr>
          <w:ilvl w:val="0"/>
          <w:numId w:val="1"/>
        </w:numPr>
        <w:spacing w:before="211" w:line="240" w:lineRule="auto"/>
        <w:ind w:left="29" w:leftChars="0" w:right="70" w:firstLine="570" w:firstLineChars="0"/>
        <w:outlineLvl w:val="0"/>
        <w:rPr>
          <w:rFonts w:ascii="黑体" w:hAnsi="黑体" w:eastAsia="黑体" w:cs="黑体"/>
          <w:b/>
          <w:bCs/>
          <w:spacing w:val="-6"/>
          <w:sz w:val="31"/>
          <w:szCs w:val="31"/>
        </w:rPr>
      </w:pPr>
      <w:r>
        <w:rPr>
          <w:rFonts w:ascii="黑体" w:hAnsi="黑体" w:eastAsia="黑体" w:cs="黑体"/>
          <w:b/>
          <w:bCs/>
          <w:spacing w:val="-6"/>
          <w:sz w:val="31"/>
          <w:szCs w:val="31"/>
        </w:rPr>
        <w:t>工作保障。</w:t>
      </w:r>
    </w:p>
    <w:p w14:paraId="088B8D7D">
      <w:pPr>
        <w:pStyle w:val="2"/>
        <w:numPr>
          <w:numId w:val="0"/>
        </w:numPr>
        <w:spacing w:before="211" w:line="319" w:lineRule="auto"/>
        <w:ind w:right="70" w:rightChars="0" w:firstLine="596" w:firstLineChars="200"/>
        <w:outlineLvl w:val="9"/>
        <w:rPr>
          <w:sz w:val="29"/>
          <w:szCs w:val="29"/>
        </w:rPr>
      </w:pPr>
      <w:r>
        <w:rPr>
          <w:spacing w:val="-6"/>
          <w:sz w:val="31"/>
          <w:szCs w:val="31"/>
        </w:rPr>
        <w:t>一是专班推进。各区县消防议事协调机构和</w:t>
      </w:r>
      <w:r>
        <w:rPr>
          <w:spacing w:val="-3"/>
          <w:sz w:val="31"/>
          <w:szCs w:val="31"/>
        </w:rPr>
        <w:t>任务较重的市级部门要建立工作专班，统筹协调物联感知设备接入工作，并安排专人分别负责宣传、统计、督办等工作，落实落</w:t>
      </w:r>
      <w:r>
        <w:rPr>
          <w:spacing w:val="-1"/>
          <w:sz w:val="31"/>
          <w:szCs w:val="31"/>
        </w:rPr>
        <w:t>细动态更新数据、每周通报进度、逐栋验收销号等工作机制。二</w:t>
      </w:r>
      <w:r>
        <w:rPr>
          <w:spacing w:val="-3"/>
          <w:sz w:val="31"/>
          <w:szCs w:val="31"/>
        </w:rPr>
        <w:t>是经费保障。按照“</w:t>
      </w:r>
      <w:r>
        <w:rPr>
          <w:color w:val="FF0000"/>
          <w:spacing w:val="-3"/>
          <w:sz w:val="31"/>
          <w:szCs w:val="31"/>
        </w:rPr>
        <w:t>分级分类、财政兜底</w:t>
      </w:r>
      <w:r>
        <w:rPr>
          <w:spacing w:val="-3"/>
          <w:sz w:val="31"/>
          <w:szCs w:val="31"/>
        </w:rPr>
        <w:t>”的原</w:t>
      </w:r>
      <w:bookmarkStart w:id="0" w:name="_GoBack"/>
      <w:bookmarkEnd w:id="0"/>
      <w:r>
        <w:rPr>
          <w:spacing w:val="-3"/>
          <w:sz w:val="31"/>
          <w:szCs w:val="31"/>
        </w:rPr>
        <w:t>则保障经费，财</w:t>
      </w:r>
      <w:r>
        <w:rPr>
          <w:spacing w:val="-2"/>
          <w:sz w:val="31"/>
          <w:szCs w:val="31"/>
        </w:rPr>
        <w:t>政供给的行政部门从本单位公共经费中解决，企业单位纳入本单</w:t>
      </w:r>
      <w:r>
        <w:rPr>
          <w:spacing w:val="17"/>
          <w:sz w:val="29"/>
          <w:szCs w:val="29"/>
        </w:rPr>
        <w:t>位安全生产经费开支内容予以解决，老旧建筑可作为城市更新、</w:t>
      </w:r>
      <w:r>
        <w:rPr>
          <w:spacing w:val="18"/>
          <w:sz w:val="29"/>
          <w:szCs w:val="29"/>
        </w:rPr>
        <w:t>城市安全的重要内容进行投入，鼓励将消防物联感知设备建设纳</w:t>
      </w:r>
      <w:r>
        <w:rPr>
          <w:spacing w:val="19"/>
          <w:sz w:val="29"/>
          <w:szCs w:val="29"/>
        </w:rPr>
        <w:t>入为民办实事内容。三是全程督办。各区县、市级有关部门要立</w:t>
      </w:r>
      <w:r>
        <w:rPr>
          <w:spacing w:val="18"/>
          <w:sz w:val="29"/>
          <w:szCs w:val="29"/>
        </w:rPr>
        <w:t>即细化分解任务，周密安排部署，加快推进实施。对工作推进不</w:t>
      </w:r>
      <w:r>
        <w:rPr>
          <w:spacing w:val="16"/>
          <w:sz w:val="29"/>
          <w:szCs w:val="29"/>
        </w:rPr>
        <w:t>力的区县、部门，市消安办要加强督促，必要时开展约</w:t>
      </w:r>
      <w:r>
        <w:rPr>
          <w:spacing w:val="15"/>
          <w:sz w:val="29"/>
          <w:szCs w:val="29"/>
        </w:rPr>
        <w:t>谈。</w:t>
      </w:r>
    </w:p>
    <w:p w14:paraId="7A4B1A2D">
      <w:pPr>
        <w:spacing w:line="244" w:lineRule="auto"/>
        <w:rPr>
          <w:rFonts w:ascii="Arial"/>
          <w:sz w:val="21"/>
        </w:rPr>
      </w:pPr>
    </w:p>
    <w:p w14:paraId="7904495C">
      <w:pPr>
        <w:spacing w:line="244" w:lineRule="auto"/>
        <w:rPr>
          <w:rFonts w:ascii="Arial"/>
          <w:sz w:val="21"/>
        </w:rPr>
      </w:pPr>
    </w:p>
    <w:p w14:paraId="6F1CCA31">
      <w:pPr>
        <w:pStyle w:val="2"/>
        <w:spacing w:before="94" w:line="221" w:lineRule="auto"/>
        <w:ind w:left="649"/>
        <w:rPr>
          <w:sz w:val="29"/>
          <w:szCs w:val="29"/>
        </w:rPr>
      </w:pPr>
      <w:r>
        <w:rPr>
          <w:spacing w:val="16"/>
          <w:sz w:val="29"/>
          <w:szCs w:val="29"/>
        </w:rPr>
        <w:t>附件：高层建筑消防物联感知设备接入任务明细表</w:t>
      </w:r>
    </w:p>
    <w:p w14:paraId="67745500">
      <w:pPr>
        <w:spacing w:line="251" w:lineRule="auto"/>
        <w:rPr>
          <w:rFonts w:ascii="Arial"/>
          <w:sz w:val="21"/>
        </w:rPr>
      </w:pPr>
    </w:p>
    <w:p w14:paraId="23042F88">
      <w:pPr>
        <w:spacing w:line="251" w:lineRule="auto"/>
        <w:rPr>
          <w:rFonts w:ascii="Arial"/>
          <w:sz w:val="21"/>
        </w:rPr>
      </w:pPr>
    </w:p>
    <w:p w14:paraId="47A3755A">
      <w:pPr>
        <w:spacing w:line="251" w:lineRule="auto"/>
        <w:rPr>
          <w:rFonts w:ascii="Arial"/>
          <w:sz w:val="21"/>
        </w:rPr>
      </w:pPr>
    </w:p>
    <w:p w14:paraId="2BD038AF">
      <w:pPr>
        <w:spacing w:line="252" w:lineRule="auto"/>
        <w:rPr>
          <w:rFonts w:ascii="Arial"/>
          <w:sz w:val="21"/>
        </w:rPr>
      </w:pPr>
    </w:p>
    <w:p w14:paraId="6B9190CB">
      <w:pPr>
        <w:pStyle w:val="2"/>
        <w:spacing w:before="94" w:line="222" w:lineRule="auto"/>
        <w:ind w:left="4640"/>
        <w:rPr>
          <w:sz w:val="29"/>
          <w:szCs w:val="29"/>
        </w:rPr>
      </w:pPr>
      <w:r>
        <w:rPr>
          <w:spacing w:val="14"/>
          <w:sz w:val="29"/>
          <w:szCs w:val="29"/>
        </w:rPr>
        <w:t>重庆市人民政府办公厅</w:t>
      </w:r>
    </w:p>
    <w:p w14:paraId="1388B135">
      <w:pPr>
        <w:pStyle w:val="2"/>
        <w:spacing w:before="230" w:line="222" w:lineRule="auto"/>
        <w:ind w:left="4930"/>
        <w:rPr>
          <w:sz w:val="25"/>
          <w:szCs w:val="25"/>
        </w:rPr>
      </w:pPr>
      <w:r>
        <w:rPr>
          <w:spacing w:val="-17"/>
          <w:sz w:val="25"/>
          <w:szCs w:val="25"/>
        </w:rPr>
        <w:t>2025年12月16日</w:t>
      </w:r>
    </w:p>
    <w:p w14:paraId="769715C3">
      <w:pPr>
        <w:pStyle w:val="2"/>
        <w:spacing w:before="198" w:line="222" w:lineRule="auto"/>
        <w:ind w:left="770"/>
        <w:rPr>
          <w:sz w:val="29"/>
          <w:szCs w:val="29"/>
        </w:rPr>
      </w:pPr>
      <w:r>
        <w:rPr>
          <w:spacing w:val="17"/>
          <w:sz w:val="29"/>
          <w:szCs w:val="29"/>
        </w:rPr>
        <w:t>(联系人：肖璐，联系电话：13996339518)</w:t>
      </w:r>
    </w:p>
    <w:p w14:paraId="40CD3F66">
      <w:pPr>
        <w:spacing w:line="222" w:lineRule="auto"/>
        <w:rPr>
          <w:sz w:val="29"/>
          <w:szCs w:val="29"/>
        </w:rPr>
        <w:sectPr>
          <w:footerReference r:id="rId6" w:type="default"/>
          <w:pgSz w:w="11900" w:h="16820"/>
          <w:pgMar w:top="1429" w:right="1697" w:bottom="1360" w:left="1539" w:header="0" w:footer="906" w:gutter="0"/>
          <w:cols w:space="720" w:num="1"/>
        </w:sectPr>
      </w:pPr>
    </w:p>
    <w:p w14:paraId="437545BE">
      <w:pPr>
        <w:spacing w:before="100" w:line="224" w:lineRule="auto"/>
        <w:outlineLvl w:val="0"/>
        <w:rPr>
          <w:rFonts w:ascii="宋体" w:hAnsi="宋体" w:eastAsia="宋体" w:cs="宋体"/>
          <w:sz w:val="42"/>
          <w:szCs w:val="42"/>
        </w:rPr>
      </w:pPr>
      <w:r>
        <w:rPr>
          <w:rFonts w:ascii="黑体" w:hAnsi="黑体" w:eastAsia="黑体" w:cs="黑体"/>
          <w:b/>
          <w:bCs/>
          <w:spacing w:val="-11"/>
          <w:sz w:val="31"/>
          <w:szCs w:val="31"/>
        </w:rPr>
        <w:t>附件</w:t>
      </w:r>
      <w:r>
        <w:rPr>
          <w:rFonts w:hint="eastAsia" w:ascii="黑体" w:hAnsi="黑体" w:eastAsia="黑体" w:cs="黑体"/>
          <w:b/>
          <w:bCs/>
          <w:spacing w:val="-11"/>
          <w:sz w:val="31"/>
          <w:szCs w:val="31"/>
          <w:lang w:eastAsia="zh-CN"/>
        </w:rPr>
        <w:t>：</w:t>
      </w:r>
      <w:r>
        <w:rPr>
          <w:rFonts w:ascii="宋体" w:hAnsi="宋体" w:eastAsia="宋体" w:cs="宋体"/>
          <w:b/>
          <w:bCs/>
          <w:spacing w:val="-6"/>
          <w:sz w:val="30"/>
          <w:szCs w:val="30"/>
        </w:rPr>
        <w:t>高层建筑消防物联感知设备接入任务明细表</w:t>
      </w:r>
    </w:p>
    <w:p w14:paraId="036FA808">
      <w:pPr>
        <w:spacing w:before="81"/>
      </w:pPr>
    </w:p>
    <w:tbl>
      <w:tblPr>
        <w:tblStyle w:val="5"/>
        <w:tblW w:w="7190" w:type="dxa"/>
        <w:tblInd w:w="7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4"/>
        <w:gridCol w:w="2846"/>
        <w:gridCol w:w="3660"/>
      </w:tblGrid>
      <w:tr w14:paraId="4C198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4" w:hRule="atLeast"/>
        </w:trPr>
        <w:tc>
          <w:tcPr>
            <w:tcW w:w="684" w:type="dxa"/>
            <w:vAlign w:val="top"/>
          </w:tcPr>
          <w:p w14:paraId="159440AB">
            <w:pPr>
              <w:pStyle w:val="6"/>
              <w:spacing w:before="142" w:line="221" w:lineRule="auto"/>
              <w:ind w:left="98"/>
            </w:pPr>
            <w:r>
              <w:rPr>
                <w:b/>
                <w:bCs/>
                <w:spacing w:val="-5"/>
              </w:rPr>
              <w:t>序号</w:t>
            </w:r>
          </w:p>
        </w:tc>
        <w:tc>
          <w:tcPr>
            <w:tcW w:w="2846" w:type="dxa"/>
            <w:vAlign w:val="top"/>
          </w:tcPr>
          <w:p w14:paraId="19CA8E03">
            <w:pPr>
              <w:pStyle w:val="6"/>
              <w:spacing w:before="146" w:line="224" w:lineRule="auto"/>
              <w:ind w:left="1174"/>
            </w:pPr>
            <w:r>
              <w:rPr>
                <w:b/>
                <w:bCs/>
                <w:spacing w:val="-1"/>
              </w:rPr>
              <w:t>区县</w:t>
            </w:r>
          </w:p>
        </w:tc>
        <w:tc>
          <w:tcPr>
            <w:tcW w:w="3660" w:type="dxa"/>
            <w:vAlign w:val="top"/>
          </w:tcPr>
          <w:p w14:paraId="13E893D5">
            <w:pPr>
              <w:pStyle w:val="6"/>
              <w:spacing w:before="141" w:line="219" w:lineRule="auto"/>
              <w:ind w:left="508"/>
            </w:pPr>
            <w:r>
              <w:rPr>
                <w:b/>
                <w:bCs/>
                <w:spacing w:val="1"/>
              </w:rPr>
              <w:t>应接入高层建筑总数(栋)</w:t>
            </w:r>
          </w:p>
        </w:tc>
      </w:tr>
      <w:tr w14:paraId="0957D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84" w:type="dxa"/>
            <w:vAlign w:val="top"/>
          </w:tcPr>
          <w:p w14:paraId="155AA03D">
            <w:pPr>
              <w:pStyle w:val="6"/>
              <w:spacing w:before="75" w:line="196" w:lineRule="auto"/>
              <w:ind w:left="275"/>
            </w:pPr>
            <w:r>
              <w:t>1</w:t>
            </w:r>
          </w:p>
        </w:tc>
        <w:tc>
          <w:tcPr>
            <w:tcW w:w="2846" w:type="dxa"/>
            <w:vAlign w:val="top"/>
          </w:tcPr>
          <w:p w14:paraId="5F277A64">
            <w:pPr>
              <w:pStyle w:val="6"/>
              <w:spacing w:before="51" w:line="214" w:lineRule="auto"/>
              <w:ind w:left="931"/>
            </w:pPr>
            <w:r>
              <w:rPr>
                <w:spacing w:val="5"/>
              </w:rPr>
              <w:t>两江新区</w:t>
            </w:r>
          </w:p>
        </w:tc>
        <w:tc>
          <w:tcPr>
            <w:tcW w:w="3660" w:type="dxa"/>
            <w:vAlign w:val="top"/>
          </w:tcPr>
          <w:p w14:paraId="695EBED0">
            <w:pPr>
              <w:pStyle w:val="6"/>
              <w:spacing w:before="75" w:line="196" w:lineRule="auto"/>
              <w:ind w:left="1524"/>
            </w:pPr>
            <w:r>
              <w:rPr>
                <w:spacing w:val="-5"/>
              </w:rPr>
              <w:t>10710</w:t>
            </w:r>
          </w:p>
        </w:tc>
      </w:tr>
      <w:tr w14:paraId="2882F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84" w:type="dxa"/>
            <w:vAlign w:val="top"/>
          </w:tcPr>
          <w:p w14:paraId="4EED071C">
            <w:pPr>
              <w:pStyle w:val="6"/>
              <w:spacing w:before="74" w:line="188" w:lineRule="auto"/>
              <w:ind w:left="275"/>
            </w:pPr>
            <w:r>
              <w:t>2</w:t>
            </w:r>
          </w:p>
        </w:tc>
        <w:tc>
          <w:tcPr>
            <w:tcW w:w="2846" w:type="dxa"/>
            <w:vAlign w:val="top"/>
          </w:tcPr>
          <w:p w14:paraId="0A856748">
            <w:pPr>
              <w:pStyle w:val="6"/>
              <w:spacing w:before="51" w:line="206" w:lineRule="auto"/>
              <w:ind w:left="1051"/>
            </w:pPr>
            <w:r>
              <w:rPr>
                <w:spacing w:val="6"/>
              </w:rPr>
              <w:t>渝中区</w:t>
            </w:r>
          </w:p>
        </w:tc>
        <w:tc>
          <w:tcPr>
            <w:tcW w:w="3660" w:type="dxa"/>
            <w:vAlign w:val="top"/>
          </w:tcPr>
          <w:p w14:paraId="74904D1A">
            <w:pPr>
              <w:pStyle w:val="6"/>
              <w:spacing w:before="74" w:line="188" w:lineRule="auto"/>
              <w:ind w:left="1585"/>
            </w:pPr>
            <w:r>
              <w:rPr>
                <w:spacing w:val="-6"/>
              </w:rPr>
              <w:t>1996</w:t>
            </w:r>
          </w:p>
        </w:tc>
      </w:tr>
      <w:tr w14:paraId="7853F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84" w:type="dxa"/>
            <w:vAlign w:val="top"/>
          </w:tcPr>
          <w:p w14:paraId="26DED0A3">
            <w:pPr>
              <w:pStyle w:val="6"/>
              <w:spacing w:before="75" w:line="196" w:lineRule="auto"/>
              <w:ind w:left="275"/>
            </w:pPr>
            <w:r>
              <w:t>3</w:t>
            </w:r>
          </w:p>
        </w:tc>
        <w:tc>
          <w:tcPr>
            <w:tcW w:w="2846" w:type="dxa"/>
            <w:vAlign w:val="top"/>
          </w:tcPr>
          <w:p w14:paraId="5A2E251F">
            <w:pPr>
              <w:pStyle w:val="6"/>
              <w:spacing w:before="51" w:line="214" w:lineRule="auto"/>
              <w:ind w:left="931"/>
            </w:pPr>
            <w:r>
              <w:rPr>
                <w:spacing w:val="5"/>
              </w:rPr>
              <w:t>大渡口区</w:t>
            </w:r>
          </w:p>
        </w:tc>
        <w:tc>
          <w:tcPr>
            <w:tcW w:w="3660" w:type="dxa"/>
            <w:vAlign w:val="top"/>
          </w:tcPr>
          <w:p w14:paraId="748089F8">
            <w:pPr>
              <w:pStyle w:val="6"/>
              <w:spacing w:before="75" w:line="196" w:lineRule="auto"/>
              <w:ind w:left="1585"/>
            </w:pPr>
            <w:r>
              <w:rPr>
                <w:spacing w:val="-6"/>
              </w:rPr>
              <w:t>1199</w:t>
            </w:r>
          </w:p>
        </w:tc>
      </w:tr>
      <w:tr w14:paraId="19653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84" w:type="dxa"/>
            <w:vAlign w:val="top"/>
          </w:tcPr>
          <w:p w14:paraId="6096574B">
            <w:pPr>
              <w:pStyle w:val="6"/>
              <w:spacing w:before="75" w:line="187" w:lineRule="auto"/>
              <w:ind w:left="275"/>
            </w:pPr>
            <w:r>
              <w:t>4</w:t>
            </w:r>
          </w:p>
        </w:tc>
        <w:tc>
          <w:tcPr>
            <w:tcW w:w="2846" w:type="dxa"/>
            <w:vAlign w:val="top"/>
          </w:tcPr>
          <w:p w14:paraId="26ADFB6E">
            <w:pPr>
              <w:pStyle w:val="6"/>
              <w:spacing w:before="51" w:line="206" w:lineRule="auto"/>
              <w:ind w:left="931"/>
            </w:pPr>
            <w:r>
              <w:rPr>
                <w:spacing w:val="5"/>
              </w:rPr>
              <w:t>沙坪坝区</w:t>
            </w:r>
          </w:p>
        </w:tc>
        <w:tc>
          <w:tcPr>
            <w:tcW w:w="3660" w:type="dxa"/>
            <w:vAlign w:val="top"/>
          </w:tcPr>
          <w:p w14:paraId="38470787">
            <w:pPr>
              <w:pStyle w:val="6"/>
              <w:spacing w:before="75" w:line="187" w:lineRule="auto"/>
              <w:ind w:left="1585"/>
            </w:pPr>
            <w:r>
              <w:rPr>
                <w:spacing w:val="-3"/>
              </w:rPr>
              <w:t>2368</w:t>
            </w:r>
          </w:p>
        </w:tc>
      </w:tr>
      <w:tr w14:paraId="2CC9E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84" w:type="dxa"/>
            <w:vAlign w:val="top"/>
          </w:tcPr>
          <w:p w14:paraId="5442C63B">
            <w:pPr>
              <w:pStyle w:val="6"/>
              <w:spacing w:before="76" w:line="187" w:lineRule="auto"/>
              <w:ind w:left="275"/>
            </w:pPr>
            <w:r>
              <w:t>5</w:t>
            </w:r>
          </w:p>
        </w:tc>
        <w:tc>
          <w:tcPr>
            <w:tcW w:w="2846" w:type="dxa"/>
            <w:vAlign w:val="top"/>
          </w:tcPr>
          <w:p w14:paraId="4A80B4B6">
            <w:pPr>
              <w:pStyle w:val="6"/>
              <w:spacing w:before="52" w:line="206" w:lineRule="auto"/>
              <w:ind w:left="931"/>
            </w:pPr>
            <w:r>
              <w:rPr>
                <w:spacing w:val="5"/>
              </w:rPr>
              <w:t>九龙坡区</w:t>
            </w:r>
          </w:p>
        </w:tc>
        <w:tc>
          <w:tcPr>
            <w:tcW w:w="3660" w:type="dxa"/>
            <w:vAlign w:val="top"/>
          </w:tcPr>
          <w:p w14:paraId="10062EDF">
            <w:pPr>
              <w:pStyle w:val="6"/>
              <w:spacing w:before="76" w:line="187" w:lineRule="auto"/>
              <w:ind w:left="1585"/>
            </w:pPr>
            <w:r>
              <w:rPr>
                <w:spacing w:val="-3"/>
              </w:rPr>
              <w:t>2907</w:t>
            </w:r>
          </w:p>
        </w:tc>
      </w:tr>
      <w:tr w14:paraId="5CE045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84" w:type="dxa"/>
            <w:vAlign w:val="top"/>
          </w:tcPr>
          <w:p w14:paraId="104D19B4">
            <w:pPr>
              <w:pStyle w:val="6"/>
              <w:spacing w:before="76" w:line="195" w:lineRule="auto"/>
              <w:ind w:left="275"/>
            </w:pPr>
            <w:r>
              <w:t>6</w:t>
            </w:r>
          </w:p>
        </w:tc>
        <w:tc>
          <w:tcPr>
            <w:tcW w:w="2846" w:type="dxa"/>
            <w:vAlign w:val="top"/>
          </w:tcPr>
          <w:p w14:paraId="20E5AD0B">
            <w:pPr>
              <w:pStyle w:val="6"/>
              <w:spacing w:before="53" w:line="213" w:lineRule="auto"/>
              <w:ind w:left="1051"/>
            </w:pPr>
            <w:r>
              <w:rPr>
                <w:spacing w:val="6"/>
              </w:rPr>
              <w:t>南岸区</w:t>
            </w:r>
          </w:p>
        </w:tc>
        <w:tc>
          <w:tcPr>
            <w:tcW w:w="3660" w:type="dxa"/>
            <w:vAlign w:val="top"/>
          </w:tcPr>
          <w:p w14:paraId="69E6056B">
            <w:pPr>
              <w:pStyle w:val="6"/>
              <w:spacing w:before="76" w:line="195" w:lineRule="auto"/>
              <w:ind w:left="1585"/>
            </w:pPr>
            <w:r>
              <w:rPr>
                <w:spacing w:val="-3"/>
              </w:rPr>
              <w:t>2970</w:t>
            </w:r>
          </w:p>
        </w:tc>
      </w:tr>
      <w:tr w14:paraId="2FC00A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684" w:type="dxa"/>
            <w:vAlign w:val="top"/>
          </w:tcPr>
          <w:p w14:paraId="28C3ADEF">
            <w:pPr>
              <w:pStyle w:val="6"/>
              <w:spacing w:before="76" w:line="194" w:lineRule="auto"/>
              <w:ind w:left="275"/>
            </w:pPr>
            <w:r>
              <w:t>7</w:t>
            </w:r>
          </w:p>
        </w:tc>
        <w:tc>
          <w:tcPr>
            <w:tcW w:w="2846" w:type="dxa"/>
            <w:vAlign w:val="top"/>
          </w:tcPr>
          <w:p w14:paraId="10D313B2">
            <w:pPr>
              <w:pStyle w:val="6"/>
              <w:spacing w:before="57" w:line="209" w:lineRule="auto"/>
              <w:ind w:left="1051"/>
            </w:pPr>
            <w:r>
              <w:rPr>
                <w:spacing w:val="6"/>
              </w:rPr>
              <w:t>北碚区</w:t>
            </w:r>
          </w:p>
        </w:tc>
        <w:tc>
          <w:tcPr>
            <w:tcW w:w="3660" w:type="dxa"/>
            <w:vAlign w:val="top"/>
          </w:tcPr>
          <w:p w14:paraId="53595AE6">
            <w:pPr>
              <w:pStyle w:val="6"/>
              <w:spacing w:before="76" w:line="194" w:lineRule="auto"/>
              <w:ind w:left="1645"/>
            </w:pPr>
            <w:r>
              <w:rPr>
                <w:spacing w:val="-4"/>
              </w:rPr>
              <w:t>799</w:t>
            </w:r>
          </w:p>
        </w:tc>
      </w:tr>
      <w:tr w14:paraId="652AA3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84" w:type="dxa"/>
            <w:vAlign w:val="top"/>
          </w:tcPr>
          <w:p w14:paraId="34FC3E57">
            <w:pPr>
              <w:pStyle w:val="6"/>
              <w:spacing w:before="78" w:line="186" w:lineRule="auto"/>
              <w:ind w:left="275"/>
            </w:pPr>
            <w:r>
              <w:t>8</w:t>
            </w:r>
          </w:p>
        </w:tc>
        <w:tc>
          <w:tcPr>
            <w:tcW w:w="2846" w:type="dxa"/>
            <w:vAlign w:val="top"/>
          </w:tcPr>
          <w:p w14:paraId="04DFDD3E">
            <w:pPr>
              <w:pStyle w:val="6"/>
              <w:spacing w:before="56" w:line="203" w:lineRule="auto"/>
              <w:ind w:left="1051"/>
            </w:pPr>
            <w:r>
              <w:rPr>
                <w:spacing w:val="6"/>
              </w:rPr>
              <w:t>巴南区</w:t>
            </w:r>
          </w:p>
        </w:tc>
        <w:tc>
          <w:tcPr>
            <w:tcW w:w="3660" w:type="dxa"/>
            <w:vAlign w:val="top"/>
          </w:tcPr>
          <w:p w14:paraId="6C4137F4">
            <w:pPr>
              <w:pStyle w:val="6"/>
              <w:spacing w:before="78" w:line="186" w:lineRule="auto"/>
              <w:ind w:left="1585"/>
            </w:pPr>
            <w:r>
              <w:rPr>
                <w:spacing w:val="-3"/>
              </w:rPr>
              <w:t>2529</w:t>
            </w:r>
          </w:p>
        </w:tc>
      </w:tr>
      <w:tr w14:paraId="05C95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84" w:type="dxa"/>
            <w:vAlign w:val="top"/>
          </w:tcPr>
          <w:p w14:paraId="57069518">
            <w:pPr>
              <w:pStyle w:val="6"/>
              <w:spacing w:before="78" w:line="185" w:lineRule="auto"/>
              <w:ind w:left="275"/>
            </w:pPr>
            <w:r>
              <w:t>9</w:t>
            </w:r>
          </w:p>
        </w:tc>
        <w:tc>
          <w:tcPr>
            <w:tcW w:w="2846" w:type="dxa"/>
            <w:vAlign w:val="top"/>
          </w:tcPr>
          <w:p w14:paraId="0A634D6D">
            <w:pPr>
              <w:pStyle w:val="6"/>
              <w:spacing w:before="52" w:line="205" w:lineRule="auto"/>
              <w:ind w:left="210"/>
            </w:pPr>
            <w:r>
              <w:rPr>
                <w:spacing w:val="2"/>
              </w:rPr>
              <w:t>西部科学城重庆高新区</w:t>
            </w:r>
          </w:p>
        </w:tc>
        <w:tc>
          <w:tcPr>
            <w:tcW w:w="3660" w:type="dxa"/>
            <w:vAlign w:val="top"/>
          </w:tcPr>
          <w:p w14:paraId="33E99743">
            <w:pPr>
              <w:pStyle w:val="6"/>
              <w:spacing w:before="78" w:line="185" w:lineRule="auto"/>
              <w:ind w:left="1585"/>
            </w:pPr>
            <w:r>
              <w:rPr>
                <w:spacing w:val="-6"/>
              </w:rPr>
              <w:t>1427</w:t>
            </w:r>
          </w:p>
        </w:tc>
      </w:tr>
      <w:tr w14:paraId="1376E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684" w:type="dxa"/>
            <w:vAlign w:val="top"/>
          </w:tcPr>
          <w:p w14:paraId="010CB101">
            <w:pPr>
              <w:pStyle w:val="6"/>
              <w:spacing w:before="69" w:line="185" w:lineRule="auto"/>
              <w:ind w:left="215"/>
            </w:pPr>
            <w:r>
              <w:rPr>
                <w:spacing w:val="-7"/>
              </w:rPr>
              <w:t>10</w:t>
            </w:r>
          </w:p>
        </w:tc>
        <w:tc>
          <w:tcPr>
            <w:tcW w:w="2846" w:type="dxa"/>
            <w:vAlign w:val="top"/>
          </w:tcPr>
          <w:p w14:paraId="1A1319EF">
            <w:pPr>
              <w:pStyle w:val="6"/>
              <w:spacing w:before="43" w:line="205" w:lineRule="auto"/>
              <w:ind w:left="1051"/>
            </w:pPr>
            <w:r>
              <w:rPr>
                <w:spacing w:val="6"/>
              </w:rPr>
              <w:t>万州区</w:t>
            </w:r>
          </w:p>
        </w:tc>
        <w:tc>
          <w:tcPr>
            <w:tcW w:w="3660" w:type="dxa"/>
            <w:vAlign w:val="top"/>
          </w:tcPr>
          <w:p w14:paraId="723D2CDB">
            <w:pPr>
              <w:pStyle w:val="6"/>
              <w:spacing w:before="69" w:line="185" w:lineRule="auto"/>
              <w:ind w:left="1585"/>
            </w:pPr>
            <w:r>
              <w:rPr>
                <w:spacing w:val="-3"/>
              </w:rPr>
              <w:t>2321</w:t>
            </w:r>
          </w:p>
        </w:tc>
      </w:tr>
      <w:tr w14:paraId="30B838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84" w:type="dxa"/>
            <w:vAlign w:val="top"/>
          </w:tcPr>
          <w:p w14:paraId="0283F364">
            <w:pPr>
              <w:pStyle w:val="6"/>
              <w:spacing w:before="79" w:line="193" w:lineRule="auto"/>
              <w:ind w:left="215"/>
            </w:pPr>
            <w:r>
              <w:rPr>
                <w:spacing w:val="-7"/>
              </w:rPr>
              <w:t>11</w:t>
            </w:r>
          </w:p>
        </w:tc>
        <w:tc>
          <w:tcPr>
            <w:tcW w:w="2846" w:type="dxa"/>
            <w:vAlign w:val="top"/>
          </w:tcPr>
          <w:p w14:paraId="02BC852D">
            <w:pPr>
              <w:pStyle w:val="6"/>
              <w:spacing w:before="59" w:line="208" w:lineRule="auto"/>
              <w:ind w:left="1051"/>
            </w:pPr>
            <w:r>
              <w:rPr>
                <w:spacing w:val="6"/>
              </w:rPr>
              <w:t>黔江区</w:t>
            </w:r>
          </w:p>
        </w:tc>
        <w:tc>
          <w:tcPr>
            <w:tcW w:w="3660" w:type="dxa"/>
            <w:vAlign w:val="top"/>
          </w:tcPr>
          <w:p w14:paraId="3E08DB2C">
            <w:pPr>
              <w:pStyle w:val="6"/>
              <w:spacing w:before="79" w:line="193" w:lineRule="auto"/>
              <w:ind w:left="1645"/>
            </w:pPr>
            <w:r>
              <w:rPr>
                <w:spacing w:val="-4"/>
              </w:rPr>
              <w:t>300</w:t>
            </w:r>
          </w:p>
        </w:tc>
      </w:tr>
      <w:tr w14:paraId="6E6772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84" w:type="dxa"/>
            <w:vAlign w:val="top"/>
          </w:tcPr>
          <w:p w14:paraId="1038537E">
            <w:pPr>
              <w:pStyle w:val="6"/>
              <w:spacing w:before="78" w:line="185" w:lineRule="auto"/>
              <w:ind w:left="215"/>
            </w:pPr>
            <w:r>
              <w:rPr>
                <w:spacing w:val="-7"/>
              </w:rPr>
              <w:t>12</w:t>
            </w:r>
          </w:p>
        </w:tc>
        <w:tc>
          <w:tcPr>
            <w:tcW w:w="2846" w:type="dxa"/>
            <w:vAlign w:val="top"/>
          </w:tcPr>
          <w:p w14:paraId="51634E77">
            <w:pPr>
              <w:pStyle w:val="6"/>
              <w:spacing w:before="55" w:line="203" w:lineRule="auto"/>
              <w:ind w:left="1051"/>
            </w:pPr>
            <w:r>
              <w:rPr>
                <w:spacing w:val="6"/>
              </w:rPr>
              <w:t>涪陵区</w:t>
            </w:r>
          </w:p>
        </w:tc>
        <w:tc>
          <w:tcPr>
            <w:tcW w:w="3660" w:type="dxa"/>
            <w:vAlign w:val="top"/>
          </w:tcPr>
          <w:p w14:paraId="14C10E2B">
            <w:pPr>
              <w:pStyle w:val="6"/>
              <w:spacing w:before="78" w:line="185" w:lineRule="auto"/>
              <w:ind w:left="1585"/>
            </w:pPr>
            <w:r>
              <w:rPr>
                <w:spacing w:val="-6"/>
              </w:rPr>
              <w:t>1943</w:t>
            </w:r>
          </w:p>
        </w:tc>
      </w:tr>
      <w:tr w14:paraId="5BABC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84" w:type="dxa"/>
            <w:vAlign w:val="top"/>
          </w:tcPr>
          <w:p w14:paraId="4D3F6465">
            <w:pPr>
              <w:pStyle w:val="6"/>
              <w:spacing w:before="80" w:line="192" w:lineRule="auto"/>
              <w:ind w:left="215"/>
            </w:pPr>
            <w:r>
              <w:rPr>
                <w:spacing w:val="-7"/>
              </w:rPr>
              <w:t>13</w:t>
            </w:r>
          </w:p>
        </w:tc>
        <w:tc>
          <w:tcPr>
            <w:tcW w:w="2846" w:type="dxa"/>
            <w:vAlign w:val="top"/>
          </w:tcPr>
          <w:p w14:paraId="4A97B65B">
            <w:pPr>
              <w:pStyle w:val="6"/>
              <w:spacing w:before="57" w:line="210" w:lineRule="auto"/>
              <w:ind w:left="1051"/>
            </w:pPr>
            <w:r>
              <w:rPr>
                <w:spacing w:val="6"/>
              </w:rPr>
              <w:t>长寿区</w:t>
            </w:r>
          </w:p>
        </w:tc>
        <w:tc>
          <w:tcPr>
            <w:tcW w:w="3660" w:type="dxa"/>
            <w:vAlign w:val="top"/>
          </w:tcPr>
          <w:p w14:paraId="40EE5645">
            <w:pPr>
              <w:pStyle w:val="6"/>
              <w:spacing w:before="80" w:line="192" w:lineRule="auto"/>
              <w:ind w:left="1645"/>
            </w:pPr>
            <w:r>
              <w:rPr>
                <w:spacing w:val="-3"/>
              </w:rPr>
              <w:t>947</w:t>
            </w:r>
          </w:p>
        </w:tc>
      </w:tr>
      <w:tr w14:paraId="4DBCD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84" w:type="dxa"/>
            <w:vAlign w:val="top"/>
          </w:tcPr>
          <w:p w14:paraId="327EA991">
            <w:pPr>
              <w:pStyle w:val="6"/>
              <w:spacing w:before="79" w:line="185" w:lineRule="auto"/>
              <w:ind w:left="215"/>
            </w:pPr>
            <w:r>
              <w:rPr>
                <w:spacing w:val="-7"/>
              </w:rPr>
              <w:t>14</w:t>
            </w:r>
          </w:p>
        </w:tc>
        <w:tc>
          <w:tcPr>
            <w:tcW w:w="2846" w:type="dxa"/>
            <w:vAlign w:val="top"/>
          </w:tcPr>
          <w:p w14:paraId="4DF28E11">
            <w:pPr>
              <w:pStyle w:val="6"/>
              <w:spacing w:before="56" w:line="203" w:lineRule="auto"/>
              <w:ind w:left="1051"/>
            </w:pPr>
            <w:r>
              <w:rPr>
                <w:spacing w:val="6"/>
              </w:rPr>
              <w:t>江津区</w:t>
            </w:r>
          </w:p>
        </w:tc>
        <w:tc>
          <w:tcPr>
            <w:tcW w:w="3660" w:type="dxa"/>
            <w:vAlign w:val="top"/>
          </w:tcPr>
          <w:p w14:paraId="584921BC">
            <w:pPr>
              <w:pStyle w:val="6"/>
              <w:spacing w:before="79" w:line="185" w:lineRule="auto"/>
              <w:ind w:left="1585"/>
            </w:pPr>
            <w:r>
              <w:rPr>
                <w:spacing w:val="-6"/>
              </w:rPr>
              <w:t>1413</w:t>
            </w:r>
          </w:p>
        </w:tc>
      </w:tr>
      <w:tr w14:paraId="4DB12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84" w:type="dxa"/>
            <w:vAlign w:val="top"/>
          </w:tcPr>
          <w:p w14:paraId="154ABF1D">
            <w:pPr>
              <w:pStyle w:val="6"/>
              <w:spacing w:before="79" w:line="184" w:lineRule="auto"/>
              <w:ind w:left="215"/>
            </w:pPr>
            <w:r>
              <w:rPr>
                <w:spacing w:val="-7"/>
              </w:rPr>
              <w:t>15</w:t>
            </w:r>
          </w:p>
        </w:tc>
        <w:tc>
          <w:tcPr>
            <w:tcW w:w="2846" w:type="dxa"/>
            <w:vAlign w:val="top"/>
          </w:tcPr>
          <w:p w14:paraId="10BF198E">
            <w:pPr>
              <w:pStyle w:val="6"/>
              <w:spacing w:before="55" w:line="203" w:lineRule="auto"/>
              <w:ind w:left="1051"/>
            </w:pPr>
            <w:r>
              <w:rPr>
                <w:spacing w:val="6"/>
              </w:rPr>
              <w:t>合川区</w:t>
            </w:r>
          </w:p>
        </w:tc>
        <w:tc>
          <w:tcPr>
            <w:tcW w:w="3660" w:type="dxa"/>
            <w:vAlign w:val="top"/>
          </w:tcPr>
          <w:p w14:paraId="577402A3">
            <w:pPr>
              <w:pStyle w:val="6"/>
              <w:spacing w:before="79" w:line="184" w:lineRule="auto"/>
              <w:ind w:left="1585"/>
            </w:pPr>
            <w:r>
              <w:rPr>
                <w:spacing w:val="-6"/>
              </w:rPr>
              <w:t>1235</w:t>
            </w:r>
          </w:p>
        </w:tc>
      </w:tr>
      <w:tr w14:paraId="5BC600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84" w:type="dxa"/>
            <w:vAlign w:val="top"/>
          </w:tcPr>
          <w:p w14:paraId="78C8F96E">
            <w:pPr>
              <w:pStyle w:val="6"/>
              <w:spacing w:before="80" w:line="192" w:lineRule="auto"/>
              <w:ind w:left="215"/>
            </w:pPr>
            <w:r>
              <w:rPr>
                <w:spacing w:val="-7"/>
              </w:rPr>
              <w:t>16</w:t>
            </w:r>
          </w:p>
        </w:tc>
        <w:tc>
          <w:tcPr>
            <w:tcW w:w="2846" w:type="dxa"/>
            <w:vAlign w:val="top"/>
          </w:tcPr>
          <w:p w14:paraId="2088C502">
            <w:pPr>
              <w:pStyle w:val="6"/>
              <w:spacing w:before="57" w:line="210" w:lineRule="auto"/>
              <w:ind w:left="1051"/>
            </w:pPr>
            <w:r>
              <w:rPr>
                <w:spacing w:val="6"/>
              </w:rPr>
              <w:t>永川区</w:t>
            </w:r>
          </w:p>
        </w:tc>
        <w:tc>
          <w:tcPr>
            <w:tcW w:w="3660" w:type="dxa"/>
            <w:vAlign w:val="top"/>
          </w:tcPr>
          <w:p w14:paraId="3D2158E8">
            <w:pPr>
              <w:pStyle w:val="6"/>
              <w:spacing w:before="80" w:line="192" w:lineRule="auto"/>
              <w:ind w:left="1585"/>
            </w:pPr>
            <w:r>
              <w:rPr>
                <w:spacing w:val="-6"/>
              </w:rPr>
              <w:t>1152</w:t>
            </w:r>
          </w:p>
        </w:tc>
      </w:tr>
      <w:tr w14:paraId="416AB2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684" w:type="dxa"/>
            <w:vAlign w:val="top"/>
          </w:tcPr>
          <w:p w14:paraId="55C480D3">
            <w:pPr>
              <w:pStyle w:val="6"/>
              <w:spacing w:before="70" w:line="184" w:lineRule="auto"/>
              <w:ind w:left="215"/>
            </w:pPr>
            <w:r>
              <w:rPr>
                <w:spacing w:val="-7"/>
              </w:rPr>
              <w:t>17</w:t>
            </w:r>
          </w:p>
        </w:tc>
        <w:tc>
          <w:tcPr>
            <w:tcW w:w="2846" w:type="dxa"/>
            <w:vAlign w:val="top"/>
          </w:tcPr>
          <w:p w14:paraId="4961DEC8">
            <w:pPr>
              <w:pStyle w:val="6"/>
              <w:spacing w:before="46" w:line="203" w:lineRule="auto"/>
              <w:ind w:left="1051"/>
            </w:pPr>
            <w:r>
              <w:rPr>
                <w:spacing w:val="6"/>
              </w:rPr>
              <w:t>南川区</w:t>
            </w:r>
          </w:p>
        </w:tc>
        <w:tc>
          <w:tcPr>
            <w:tcW w:w="3660" w:type="dxa"/>
            <w:vAlign w:val="top"/>
          </w:tcPr>
          <w:p w14:paraId="0EF161B4">
            <w:pPr>
              <w:pStyle w:val="6"/>
              <w:spacing w:before="70" w:line="184" w:lineRule="auto"/>
              <w:ind w:left="1645"/>
            </w:pPr>
            <w:r>
              <w:rPr>
                <w:spacing w:val="-3"/>
              </w:rPr>
              <w:t>687</w:t>
            </w:r>
          </w:p>
        </w:tc>
      </w:tr>
      <w:tr w14:paraId="6847E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84" w:type="dxa"/>
            <w:vAlign w:val="top"/>
          </w:tcPr>
          <w:p w14:paraId="1C8C3856">
            <w:pPr>
              <w:pStyle w:val="6"/>
              <w:spacing w:before="81" w:line="183" w:lineRule="auto"/>
              <w:ind w:left="215"/>
            </w:pPr>
            <w:r>
              <w:rPr>
                <w:spacing w:val="-7"/>
              </w:rPr>
              <w:t>18</w:t>
            </w:r>
          </w:p>
        </w:tc>
        <w:tc>
          <w:tcPr>
            <w:tcW w:w="2846" w:type="dxa"/>
            <w:vAlign w:val="top"/>
          </w:tcPr>
          <w:p w14:paraId="0EF1012B">
            <w:pPr>
              <w:pStyle w:val="6"/>
              <w:spacing w:before="57" w:line="201" w:lineRule="auto"/>
              <w:ind w:left="1051"/>
            </w:pPr>
            <w:r>
              <w:rPr>
                <w:spacing w:val="6"/>
              </w:rPr>
              <w:t>綦江区</w:t>
            </w:r>
          </w:p>
        </w:tc>
        <w:tc>
          <w:tcPr>
            <w:tcW w:w="3660" w:type="dxa"/>
            <w:vAlign w:val="top"/>
          </w:tcPr>
          <w:p w14:paraId="5B7279C7">
            <w:pPr>
              <w:pStyle w:val="6"/>
              <w:spacing w:before="81" w:line="183" w:lineRule="auto"/>
              <w:ind w:left="1645"/>
            </w:pPr>
            <w:r>
              <w:rPr>
                <w:spacing w:val="-3"/>
              </w:rPr>
              <w:t>887</w:t>
            </w:r>
          </w:p>
        </w:tc>
      </w:tr>
      <w:tr w14:paraId="762F6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84" w:type="dxa"/>
            <w:vAlign w:val="top"/>
          </w:tcPr>
          <w:p w14:paraId="45E1BFBB">
            <w:pPr>
              <w:pStyle w:val="6"/>
              <w:spacing w:before="82" w:line="183" w:lineRule="auto"/>
              <w:ind w:left="215"/>
            </w:pPr>
            <w:r>
              <w:rPr>
                <w:spacing w:val="-7"/>
              </w:rPr>
              <w:t>19</w:t>
            </w:r>
          </w:p>
        </w:tc>
        <w:tc>
          <w:tcPr>
            <w:tcW w:w="2846" w:type="dxa"/>
            <w:vAlign w:val="top"/>
          </w:tcPr>
          <w:p w14:paraId="7563D19C">
            <w:pPr>
              <w:pStyle w:val="6"/>
              <w:spacing w:before="58" w:line="201" w:lineRule="auto"/>
              <w:ind w:left="1051"/>
            </w:pPr>
            <w:r>
              <w:rPr>
                <w:spacing w:val="6"/>
              </w:rPr>
              <w:t>大足区</w:t>
            </w:r>
          </w:p>
        </w:tc>
        <w:tc>
          <w:tcPr>
            <w:tcW w:w="3660" w:type="dxa"/>
            <w:vAlign w:val="top"/>
          </w:tcPr>
          <w:p w14:paraId="422A16CD">
            <w:pPr>
              <w:pStyle w:val="6"/>
              <w:spacing w:before="82" w:line="183" w:lineRule="auto"/>
              <w:ind w:left="1645"/>
            </w:pPr>
            <w:r>
              <w:rPr>
                <w:spacing w:val="-3"/>
              </w:rPr>
              <w:t>865</w:t>
            </w:r>
          </w:p>
        </w:tc>
      </w:tr>
      <w:tr w14:paraId="13D99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84" w:type="dxa"/>
            <w:vAlign w:val="top"/>
          </w:tcPr>
          <w:p w14:paraId="4138D28E">
            <w:pPr>
              <w:pStyle w:val="6"/>
              <w:spacing w:before="81" w:line="191" w:lineRule="auto"/>
              <w:ind w:left="215"/>
            </w:pPr>
            <w:r>
              <w:rPr>
                <w:spacing w:val="-4"/>
              </w:rPr>
              <w:t>20</w:t>
            </w:r>
          </w:p>
        </w:tc>
        <w:tc>
          <w:tcPr>
            <w:tcW w:w="2846" w:type="dxa"/>
            <w:vAlign w:val="top"/>
          </w:tcPr>
          <w:p w14:paraId="39E33797">
            <w:pPr>
              <w:pStyle w:val="6"/>
              <w:spacing w:before="64" w:line="204" w:lineRule="auto"/>
              <w:ind w:left="1051"/>
            </w:pPr>
            <w:r>
              <w:rPr>
                <w:spacing w:val="6"/>
              </w:rPr>
              <w:t>璧山区</w:t>
            </w:r>
          </w:p>
        </w:tc>
        <w:tc>
          <w:tcPr>
            <w:tcW w:w="3660" w:type="dxa"/>
            <w:vAlign w:val="top"/>
          </w:tcPr>
          <w:p w14:paraId="2C1DD6A6">
            <w:pPr>
              <w:pStyle w:val="6"/>
              <w:spacing w:before="81" w:line="191" w:lineRule="auto"/>
              <w:ind w:left="1645"/>
            </w:pPr>
            <w:r>
              <w:rPr>
                <w:spacing w:val="-3"/>
              </w:rPr>
              <w:t>978</w:t>
            </w:r>
          </w:p>
        </w:tc>
      </w:tr>
      <w:tr w14:paraId="006A5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84" w:type="dxa"/>
            <w:vAlign w:val="top"/>
          </w:tcPr>
          <w:p w14:paraId="3D729360">
            <w:pPr>
              <w:pStyle w:val="6"/>
              <w:spacing w:before="82" w:line="182" w:lineRule="auto"/>
              <w:ind w:left="215"/>
            </w:pPr>
            <w:r>
              <w:rPr>
                <w:spacing w:val="-4"/>
              </w:rPr>
              <w:t>21</w:t>
            </w:r>
          </w:p>
        </w:tc>
        <w:tc>
          <w:tcPr>
            <w:tcW w:w="2846" w:type="dxa"/>
            <w:vAlign w:val="top"/>
          </w:tcPr>
          <w:p w14:paraId="5AC5B2E4">
            <w:pPr>
              <w:pStyle w:val="6"/>
              <w:spacing w:before="57" w:line="201" w:lineRule="auto"/>
              <w:ind w:left="1051"/>
            </w:pPr>
            <w:r>
              <w:rPr>
                <w:spacing w:val="6"/>
              </w:rPr>
              <w:t>铜梁区</w:t>
            </w:r>
          </w:p>
        </w:tc>
        <w:tc>
          <w:tcPr>
            <w:tcW w:w="3660" w:type="dxa"/>
            <w:vAlign w:val="top"/>
          </w:tcPr>
          <w:p w14:paraId="5C815320">
            <w:pPr>
              <w:pStyle w:val="6"/>
              <w:spacing w:before="82" w:line="182" w:lineRule="auto"/>
              <w:ind w:left="1645"/>
            </w:pPr>
            <w:r>
              <w:rPr>
                <w:spacing w:val="-4"/>
              </w:rPr>
              <w:t>760</w:t>
            </w:r>
          </w:p>
        </w:tc>
      </w:tr>
      <w:tr w14:paraId="32114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684" w:type="dxa"/>
            <w:vAlign w:val="top"/>
          </w:tcPr>
          <w:p w14:paraId="18550DE6">
            <w:pPr>
              <w:pStyle w:val="6"/>
              <w:spacing w:before="73" w:line="182" w:lineRule="auto"/>
              <w:ind w:left="215"/>
            </w:pPr>
            <w:r>
              <w:rPr>
                <w:spacing w:val="-4"/>
              </w:rPr>
              <w:t>22</w:t>
            </w:r>
          </w:p>
        </w:tc>
        <w:tc>
          <w:tcPr>
            <w:tcW w:w="2846" w:type="dxa"/>
            <w:vAlign w:val="top"/>
          </w:tcPr>
          <w:p w14:paraId="65C651BE">
            <w:pPr>
              <w:pStyle w:val="6"/>
              <w:spacing w:before="51" w:line="199" w:lineRule="auto"/>
              <w:ind w:left="1051"/>
            </w:pPr>
            <w:r>
              <w:rPr>
                <w:spacing w:val="6"/>
              </w:rPr>
              <w:t>潼南区</w:t>
            </w:r>
          </w:p>
        </w:tc>
        <w:tc>
          <w:tcPr>
            <w:tcW w:w="3660" w:type="dxa"/>
            <w:vAlign w:val="top"/>
          </w:tcPr>
          <w:p w14:paraId="5852062B">
            <w:pPr>
              <w:pStyle w:val="6"/>
              <w:spacing w:before="73" w:line="182" w:lineRule="auto"/>
              <w:ind w:left="1645"/>
            </w:pPr>
            <w:r>
              <w:rPr>
                <w:spacing w:val="-3"/>
              </w:rPr>
              <w:t>605</w:t>
            </w:r>
          </w:p>
        </w:tc>
      </w:tr>
      <w:tr w14:paraId="07B4C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84" w:type="dxa"/>
            <w:vAlign w:val="top"/>
          </w:tcPr>
          <w:p w14:paraId="72BE9A04">
            <w:pPr>
              <w:pStyle w:val="6"/>
              <w:spacing w:before="82" w:line="182" w:lineRule="auto"/>
              <w:ind w:left="215"/>
            </w:pPr>
            <w:r>
              <w:rPr>
                <w:spacing w:val="-4"/>
              </w:rPr>
              <w:t>23</w:t>
            </w:r>
          </w:p>
        </w:tc>
        <w:tc>
          <w:tcPr>
            <w:tcW w:w="2846" w:type="dxa"/>
            <w:vAlign w:val="top"/>
          </w:tcPr>
          <w:p w14:paraId="310B5775">
            <w:pPr>
              <w:pStyle w:val="6"/>
              <w:spacing w:before="60" w:line="199" w:lineRule="auto"/>
              <w:ind w:left="1051"/>
            </w:pPr>
            <w:r>
              <w:rPr>
                <w:spacing w:val="6"/>
              </w:rPr>
              <w:t>荣昌区</w:t>
            </w:r>
          </w:p>
        </w:tc>
        <w:tc>
          <w:tcPr>
            <w:tcW w:w="3660" w:type="dxa"/>
            <w:vAlign w:val="top"/>
          </w:tcPr>
          <w:p w14:paraId="0C773032">
            <w:pPr>
              <w:pStyle w:val="6"/>
              <w:spacing w:before="82" w:line="182" w:lineRule="auto"/>
              <w:ind w:left="1645"/>
            </w:pPr>
            <w:r>
              <w:rPr>
                <w:spacing w:val="-3"/>
              </w:rPr>
              <w:t>814</w:t>
            </w:r>
          </w:p>
        </w:tc>
      </w:tr>
      <w:tr w14:paraId="12029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684" w:type="dxa"/>
            <w:vAlign w:val="top"/>
          </w:tcPr>
          <w:p w14:paraId="7423A2D2">
            <w:pPr>
              <w:pStyle w:val="6"/>
              <w:spacing w:before="73" w:line="182" w:lineRule="auto"/>
              <w:ind w:left="215"/>
            </w:pPr>
            <w:r>
              <w:rPr>
                <w:spacing w:val="-4"/>
              </w:rPr>
              <w:t>24</w:t>
            </w:r>
          </w:p>
        </w:tc>
        <w:tc>
          <w:tcPr>
            <w:tcW w:w="2846" w:type="dxa"/>
            <w:vAlign w:val="top"/>
          </w:tcPr>
          <w:p w14:paraId="0D22DC61">
            <w:pPr>
              <w:pStyle w:val="6"/>
              <w:spacing w:before="48" w:line="201" w:lineRule="auto"/>
              <w:ind w:left="1051"/>
            </w:pPr>
            <w:r>
              <w:rPr>
                <w:spacing w:val="6"/>
              </w:rPr>
              <w:t>开州区</w:t>
            </w:r>
          </w:p>
        </w:tc>
        <w:tc>
          <w:tcPr>
            <w:tcW w:w="3660" w:type="dxa"/>
            <w:vAlign w:val="top"/>
          </w:tcPr>
          <w:p w14:paraId="616F67D3">
            <w:pPr>
              <w:pStyle w:val="6"/>
              <w:spacing w:before="73" w:line="182" w:lineRule="auto"/>
              <w:ind w:left="1645"/>
            </w:pPr>
            <w:r>
              <w:rPr>
                <w:spacing w:val="-3"/>
              </w:rPr>
              <w:t>683</w:t>
            </w:r>
          </w:p>
        </w:tc>
      </w:tr>
      <w:tr w14:paraId="1F8B5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84" w:type="dxa"/>
            <w:vAlign w:val="top"/>
          </w:tcPr>
          <w:p w14:paraId="4807C642">
            <w:pPr>
              <w:pStyle w:val="6"/>
              <w:spacing w:before="83" w:line="182" w:lineRule="auto"/>
              <w:ind w:left="215"/>
            </w:pPr>
            <w:r>
              <w:rPr>
                <w:spacing w:val="-4"/>
              </w:rPr>
              <w:t>25</w:t>
            </w:r>
          </w:p>
        </w:tc>
        <w:tc>
          <w:tcPr>
            <w:tcW w:w="2846" w:type="dxa"/>
            <w:vAlign w:val="top"/>
          </w:tcPr>
          <w:p w14:paraId="2E317A2D">
            <w:pPr>
              <w:pStyle w:val="6"/>
              <w:spacing w:before="60" w:line="200" w:lineRule="auto"/>
              <w:ind w:left="1051"/>
            </w:pPr>
            <w:r>
              <w:rPr>
                <w:spacing w:val="6"/>
              </w:rPr>
              <w:t>梁平区</w:t>
            </w:r>
          </w:p>
        </w:tc>
        <w:tc>
          <w:tcPr>
            <w:tcW w:w="3660" w:type="dxa"/>
            <w:vAlign w:val="top"/>
          </w:tcPr>
          <w:p w14:paraId="3C804E13">
            <w:pPr>
              <w:pStyle w:val="6"/>
              <w:spacing w:before="83" w:line="182" w:lineRule="auto"/>
              <w:ind w:left="1645"/>
            </w:pPr>
            <w:r>
              <w:rPr>
                <w:spacing w:val="-3"/>
              </w:rPr>
              <w:t>609</w:t>
            </w:r>
          </w:p>
        </w:tc>
      </w:tr>
      <w:tr w14:paraId="72B8F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84" w:type="dxa"/>
            <w:vAlign w:val="top"/>
          </w:tcPr>
          <w:p w14:paraId="5965C7A0">
            <w:pPr>
              <w:pStyle w:val="6"/>
              <w:spacing w:before="84" w:line="189" w:lineRule="auto"/>
              <w:ind w:left="215"/>
            </w:pPr>
            <w:r>
              <w:rPr>
                <w:spacing w:val="-4"/>
              </w:rPr>
              <w:t>26</w:t>
            </w:r>
          </w:p>
        </w:tc>
        <w:tc>
          <w:tcPr>
            <w:tcW w:w="2846" w:type="dxa"/>
            <w:vAlign w:val="top"/>
          </w:tcPr>
          <w:p w14:paraId="2192AC08">
            <w:pPr>
              <w:pStyle w:val="6"/>
              <w:spacing w:before="59" w:line="208" w:lineRule="auto"/>
              <w:ind w:left="1051"/>
            </w:pPr>
            <w:r>
              <w:rPr>
                <w:spacing w:val="6"/>
              </w:rPr>
              <w:t>武隆区</w:t>
            </w:r>
          </w:p>
        </w:tc>
        <w:tc>
          <w:tcPr>
            <w:tcW w:w="3660" w:type="dxa"/>
            <w:vAlign w:val="top"/>
          </w:tcPr>
          <w:p w14:paraId="2755DF5E">
            <w:pPr>
              <w:pStyle w:val="6"/>
              <w:spacing w:before="84" w:line="189" w:lineRule="auto"/>
              <w:ind w:left="1645"/>
            </w:pPr>
            <w:r>
              <w:rPr>
                <w:spacing w:val="-3"/>
              </w:rPr>
              <w:t>214</w:t>
            </w:r>
          </w:p>
        </w:tc>
      </w:tr>
      <w:tr w14:paraId="395D4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684" w:type="dxa"/>
            <w:vAlign w:val="top"/>
          </w:tcPr>
          <w:p w14:paraId="2C503EC7">
            <w:pPr>
              <w:pStyle w:val="6"/>
              <w:spacing w:before="73" w:line="181" w:lineRule="auto"/>
              <w:ind w:left="215"/>
            </w:pPr>
            <w:r>
              <w:rPr>
                <w:spacing w:val="-4"/>
              </w:rPr>
              <w:t>27</w:t>
            </w:r>
          </w:p>
        </w:tc>
        <w:tc>
          <w:tcPr>
            <w:tcW w:w="2846" w:type="dxa"/>
            <w:vAlign w:val="top"/>
          </w:tcPr>
          <w:p w14:paraId="656E465A">
            <w:pPr>
              <w:pStyle w:val="6"/>
              <w:spacing w:before="48" w:line="200" w:lineRule="auto"/>
              <w:ind w:left="1051"/>
            </w:pPr>
            <w:r>
              <w:rPr>
                <w:spacing w:val="3"/>
              </w:rPr>
              <w:t>城口县</w:t>
            </w:r>
          </w:p>
        </w:tc>
        <w:tc>
          <w:tcPr>
            <w:tcW w:w="3660" w:type="dxa"/>
            <w:vAlign w:val="top"/>
          </w:tcPr>
          <w:p w14:paraId="728C4A49">
            <w:pPr>
              <w:pStyle w:val="6"/>
              <w:spacing w:before="73" w:line="181" w:lineRule="auto"/>
              <w:ind w:left="1645"/>
            </w:pPr>
            <w:r>
              <w:rPr>
                <w:spacing w:val="-7"/>
              </w:rPr>
              <w:t>121</w:t>
            </w:r>
          </w:p>
        </w:tc>
      </w:tr>
      <w:tr w14:paraId="3F6E14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684" w:type="dxa"/>
            <w:vAlign w:val="top"/>
          </w:tcPr>
          <w:p w14:paraId="6427E9DA">
            <w:pPr>
              <w:pStyle w:val="6"/>
              <w:spacing w:before="74" w:line="185" w:lineRule="auto"/>
              <w:ind w:left="215"/>
            </w:pPr>
            <w:r>
              <w:rPr>
                <w:spacing w:val="-4"/>
              </w:rPr>
              <w:t>28</w:t>
            </w:r>
          </w:p>
        </w:tc>
        <w:tc>
          <w:tcPr>
            <w:tcW w:w="2846" w:type="dxa"/>
            <w:vAlign w:val="top"/>
          </w:tcPr>
          <w:p w14:paraId="3F212A34">
            <w:pPr>
              <w:pStyle w:val="6"/>
              <w:spacing w:before="51" w:line="203" w:lineRule="auto"/>
              <w:ind w:left="1051"/>
            </w:pPr>
            <w:r>
              <w:rPr>
                <w:spacing w:val="3"/>
              </w:rPr>
              <w:t>丰都县</w:t>
            </w:r>
          </w:p>
        </w:tc>
        <w:tc>
          <w:tcPr>
            <w:tcW w:w="3660" w:type="dxa"/>
            <w:vAlign w:val="top"/>
          </w:tcPr>
          <w:p w14:paraId="4CD46CAE">
            <w:pPr>
              <w:pStyle w:val="6"/>
              <w:spacing w:before="74" w:line="185" w:lineRule="auto"/>
              <w:ind w:left="1645"/>
            </w:pPr>
            <w:r>
              <w:rPr>
                <w:spacing w:val="-4"/>
              </w:rPr>
              <w:t>336</w:t>
            </w:r>
          </w:p>
        </w:tc>
      </w:tr>
    </w:tbl>
    <w:p w14:paraId="2D9F018D">
      <w:pPr>
        <w:rPr>
          <w:rFonts w:ascii="Arial"/>
          <w:sz w:val="21"/>
        </w:rPr>
      </w:pPr>
    </w:p>
    <w:p w14:paraId="6F7C7805">
      <w:pPr>
        <w:rPr>
          <w:rFonts w:ascii="Arial" w:hAnsi="Arial" w:eastAsia="Arial" w:cs="Arial"/>
          <w:sz w:val="21"/>
          <w:szCs w:val="21"/>
        </w:rPr>
        <w:sectPr>
          <w:footerReference r:id="rId7" w:type="default"/>
          <w:pgSz w:w="11900" w:h="16820"/>
          <w:pgMar w:top="1429" w:right="1785" w:bottom="1307" w:left="1774" w:header="0" w:footer="1100" w:gutter="0"/>
          <w:cols w:space="720" w:num="1"/>
        </w:sectPr>
      </w:pPr>
    </w:p>
    <w:p w14:paraId="52B1E91E">
      <w:pPr>
        <w:spacing w:before="36"/>
      </w:pPr>
    </w:p>
    <w:tbl>
      <w:tblPr>
        <w:tblStyle w:val="5"/>
        <w:tblW w:w="7199" w:type="dxa"/>
        <w:tblInd w:w="5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4"/>
        <w:gridCol w:w="2846"/>
        <w:gridCol w:w="3669"/>
      </w:tblGrid>
      <w:tr w14:paraId="5AE85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684" w:type="dxa"/>
            <w:vAlign w:val="top"/>
          </w:tcPr>
          <w:p w14:paraId="052600AD">
            <w:pPr>
              <w:pStyle w:val="6"/>
              <w:spacing w:before="78" w:line="189" w:lineRule="auto"/>
              <w:ind w:left="215"/>
            </w:pPr>
            <w:r>
              <w:rPr>
                <w:spacing w:val="-4"/>
              </w:rPr>
              <w:t>29</w:t>
            </w:r>
          </w:p>
        </w:tc>
        <w:tc>
          <w:tcPr>
            <w:tcW w:w="2846" w:type="dxa"/>
            <w:vAlign w:val="top"/>
          </w:tcPr>
          <w:p w14:paraId="1E04EB60">
            <w:pPr>
              <w:pStyle w:val="6"/>
              <w:spacing w:before="60" w:line="203" w:lineRule="auto"/>
              <w:ind w:left="1051"/>
            </w:pPr>
            <w:r>
              <w:rPr>
                <w:spacing w:val="3"/>
              </w:rPr>
              <w:t>垫江县</w:t>
            </w:r>
          </w:p>
        </w:tc>
        <w:tc>
          <w:tcPr>
            <w:tcW w:w="3669" w:type="dxa"/>
            <w:vAlign w:val="top"/>
          </w:tcPr>
          <w:p w14:paraId="2D5859F3">
            <w:pPr>
              <w:pStyle w:val="6"/>
              <w:spacing w:before="78" w:line="189" w:lineRule="auto"/>
              <w:ind w:left="1644"/>
            </w:pPr>
            <w:r>
              <w:rPr>
                <w:spacing w:val="-4"/>
              </w:rPr>
              <w:t>518</w:t>
            </w:r>
          </w:p>
        </w:tc>
      </w:tr>
      <w:tr w14:paraId="5CE33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684" w:type="dxa"/>
            <w:vAlign w:val="top"/>
          </w:tcPr>
          <w:p w14:paraId="1A0FCEBA">
            <w:pPr>
              <w:pStyle w:val="6"/>
              <w:spacing w:before="64" w:line="188" w:lineRule="auto"/>
              <w:ind w:left="215"/>
            </w:pPr>
            <w:r>
              <w:rPr>
                <w:spacing w:val="-4"/>
              </w:rPr>
              <w:t>30</w:t>
            </w:r>
          </w:p>
        </w:tc>
        <w:tc>
          <w:tcPr>
            <w:tcW w:w="2846" w:type="dxa"/>
            <w:vAlign w:val="top"/>
          </w:tcPr>
          <w:p w14:paraId="4A7D21FD">
            <w:pPr>
              <w:pStyle w:val="6"/>
              <w:spacing w:before="46" w:line="202" w:lineRule="auto"/>
              <w:ind w:left="1110"/>
            </w:pPr>
            <w:r>
              <w:rPr>
                <w:spacing w:val="-8"/>
              </w:rPr>
              <w:t>忠县</w:t>
            </w:r>
          </w:p>
        </w:tc>
        <w:tc>
          <w:tcPr>
            <w:tcW w:w="3669" w:type="dxa"/>
            <w:vAlign w:val="top"/>
          </w:tcPr>
          <w:p w14:paraId="59322E1C">
            <w:pPr>
              <w:pStyle w:val="6"/>
              <w:spacing w:before="64" w:line="188" w:lineRule="auto"/>
              <w:ind w:left="1644"/>
            </w:pPr>
            <w:r>
              <w:rPr>
                <w:spacing w:val="-4"/>
              </w:rPr>
              <w:t>343</w:t>
            </w:r>
          </w:p>
        </w:tc>
      </w:tr>
      <w:tr w14:paraId="70453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684" w:type="dxa"/>
            <w:vAlign w:val="top"/>
          </w:tcPr>
          <w:p w14:paraId="025A356B">
            <w:pPr>
              <w:pStyle w:val="6"/>
              <w:spacing w:before="75" w:line="195" w:lineRule="auto"/>
              <w:ind w:left="215"/>
            </w:pPr>
            <w:r>
              <w:rPr>
                <w:spacing w:val="-4"/>
              </w:rPr>
              <w:t>31</w:t>
            </w:r>
          </w:p>
        </w:tc>
        <w:tc>
          <w:tcPr>
            <w:tcW w:w="2846" w:type="dxa"/>
            <w:vAlign w:val="top"/>
          </w:tcPr>
          <w:p w14:paraId="15727318">
            <w:pPr>
              <w:pStyle w:val="6"/>
              <w:spacing w:before="52" w:line="213" w:lineRule="auto"/>
              <w:ind w:left="1051"/>
            </w:pPr>
            <w:r>
              <w:rPr>
                <w:spacing w:val="3"/>
              </w:rPr>
              <w:t>云阳县</w:t>
            </w:r>
          </w:p>
        </w:tc>
        <w:tc>
          <w:tcPr>
            <w:tcW w:w="3669" w:type="dxa"/>
            <w:vAlign w:val="top"/>
          </w:tcPr>
          <w:p w14:paraId="3FD998C1">
            <w:pPr>
              <w:pStyle w:val="6"/>
              <w:spacing w:before="75" w:line="195" w:lineRule="auto"/>
              <w:ind w:left="1644"/>
            </w:pPr>
            <w:r>
              <w:rPr>
                <w:spacing w:val="-3"/>
              </w:rPr>
              <w:t>689</w:t>
            </w:r>
          </w:p>
        </w:tc>
      </w:tr>
      <w:tr w14:paraId="3D3DB8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684" w:type="dxa"/>
            <w:vAlign w:val="top"/>
          </w:tcPr>
          <w:p w14:paraId="4C65EC8A">
            <w:pPr>
              <w:pStyle w:val="6"/>
              <w:spacing w:before="67" w:line="186" w:lineRule="auto"/>
              <w:ind w:left="215"/>
            </w:pPr>
            <w:r>
              <w:rPr>
                <w:spacing w:val="-4"/>
              </w:rPr>
              <w:t>32</w:t>
            </w:r>
          </w:p>
        </w:tc>
        <w:tc>
          <w:tcPr>
            <w:tcW w:w="2846" w:type="dxa"/>
            <w:vAlign w:val="top"/>
          </w:tcPr>
          <w:p w14:paraId="0AD2D192">
            <w:pPr>
              <w:pStyle w:val="6"/>
              <w:spacing w:before="42" w:line="205" w:lineRule="auto"/>
              <w:ind w:left="1051"/>
            </w:pPr>
            <w:r>
              <w:rPr>
                <w:spacing w:val="-2"/>
              </w:rPr>
              <w:t>奉节县</w:t>
            </w:r>
          </w:p>
        </w:tc>
        <w:tc>
          <w:tcPr>
            <w:tcW w:w="3669" w:type="dxa"/>
            <w:vAlign w:val="top"/>
          </w:tcPr>
          <w:p w14:paraId="33C3244D">
            <w:pPr>
              <w:pStyle w:val="6"/>
              <w:spacing w:before="67" w:line="186" w:lineRule="auto"/>
              <w:ind w:left="1644"/>
            </w:pPr>
            <w:r>
              <w:rPr>
                <w:spacing w:val="-4"/>
              </w:rPr>
              <w:t>395</w:t>
            </w:r>
          </w:p>
        </w:tc>
      </w:tr>
      <w:tr w14:paraId="5D5F2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684" w:type="dxa"/>
            <w:vAlign w:val="top"/>
          </w:tcPr>
          <w:p w14:paraId="4466C371">
            <w:pPr>
              <w:pStyle w:val="6"/>
              <w:spacing w:before="78" w:line="193" w:lineRule="auto"/>
              <w:ind w:left="215"/>
            </w:pPr>
            <w:r>
              <w:rPr>
                <w:spacing w:val="-4"/>
              </w:rPr>
              <w:t>33</w:t>
            </w:r>
          </w:p>
        </w:tc>
        <w:tc>
          <w:tcPr>
            <w:tcW w:w="2846" w:type="dxa"/>
            <w:vAlign w:val="top"/>
          </w:tcPr>
          <w:p w14:paraId="5941EA8D">
            <w:pPr>
              <w:pStyle w:val="6"/>
              <w:spacing w:before="59" w:line="207" w:lineRule="auto"/>
              <w:ind w:left="1051"/>
            </w:pPr>
            <w:r>
              <w:rPr>
                <w:spacing w:val="3"/>
              </w:rPr>
              <w:t>巫山县</w:t>
            </w:r>
          </w:p>
        </w:tc>
        <w:tc>
          <w:tcPr>
            <w:tcW w:w="3669" w:type="dxa"/>
            <w:vAlign w:val="top"/>
          </w:tcPr>
          <w:p w14:paraId="23307686">
            <w:pPr>
              <w:pStyle w:val="6"/>
              <w:spacing w:before="78" w:line="193" w:lineRule="auto"/>
              <w:ind w:left="1644"/>
            </w:pPr>
            <w:r>
              <w:rPr>
                <w:spacing w:val="-3"/>
              </w:rPr>
              <w:t>239</w:t>
            </w:r>
          </w:p>
        </w:tc>
      </w:tr>
      <w:tr w14:paraId="4CF9D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84" w:type="dxa"/>
            <w:vAlign w:val="top"/>
          </w:tcPr>
          <w:p w14:paraId="4FDFE8D9">
            <w:pPr>
              <w:pStyle w:val="6"/>
              <w:spacing w:before="78" w:line="185" w:lineRule="auto"/>
              <w:ind w:left="215"/>
            </w:pPr>
            <w:r>
              <w:rPr>
                <w:spacing w:val="-4"/>
              </w:rPr>
              <w:t>34</w:t>
            </w:r>
          </w:p>
        </w:tc>
        <w:tc>
          <w:tcPr>
            <w:tcW w:w="2846" w:type="dxa"/>
            <w:vAlign w:val="top"/>
          </w:tcPr>
          <w:p w14:paraId="4C1C1D65">
            <w:pPr>
              <w:pStyle w:val="6"/>
              <w:spacing w:before="57" w:line="201" w:lineRule="auto"/>
              <w:ind w:left="1051"/>
            </w:pPr>
            <w:r>
              <w:rPr>
                <w:spacing w:val="3"/>
              </w:rPr>
              <w:t>巫溪县</w:t>
            </w:r>
          </w:p>
        </w:tc>
        <w:tc>
          <w:tcPr>
            <w:tcW w:w="3669" w:type="dxa"/>
            <w:vAlign w:val="top"/>
          </w:tcPr>
          <w:p w14:paraId="5A166071">
            <w:pPr>
              <w:pStyle w:val="6"/>
              <w:spacing w:before="78" w:line="185" w:lineRule="auto"/>
              <w:ind w:left="1644"/>
            </w:pPr>
            <w:r>
              <w:rPr>
                <w:spacing w:val="-3"/>
              </w:rPr>
              <w:t>233</w:t>
            </w:r>
          </w:p>
        </w:tc>
      </w:tr>
      <w:tr w14:paraId="7802B2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84" w:type="dxa"/>
            <w:vAlign w:val="top"/>
          </w:tcPr>
          <w:p w14:paraId="63B75FE9">
            <w:pPr>
              <w:pStyle w:val="6"/>
              <w:spacing w:before="79" w:line="185" w:lineRule="auto"/>
              <w:ind w:left="215"/>
            </w:pPr>
            <w:r>
              <w:rPr>
                <w:spacing w:val="-4"/>
              </w:rPr>
              <w:t>35</w:t>
            </w:r>
          </w:p>
        </w:tc>
        <w:tc>
          <w:tcPr>
            <w:tcW w:w="2846" w:type="dxa"/>
            <w:vAlign w:val="top"/>
          </w:tcPr>
          <w:p w14:paraId="258A640C">
            <w:pPr>
              <w:pStyle w:val="6"/>
              <w:spacing w:before="56" w:line="203" w:lineRule="auto"/>
              <w:ind w:left="1051"/>
            </w:pPr>
            <w:r>
              <w:rPr>
                <w:spacing w:val="3"/>
              </w:rPr>
              <w:t>石柱县</w:t>
            </w:r>
          </w:p>
        </w:tc>
        <w:tc>
          <w:tcPr>
            <w:tcW w:w="3669" w:type="dxa"/>
            <w:vAlign w:val="top"/>
          </w:tcPr>
          <w:p w14:paraId="7DDCC3ED">
            <w:pPr>
              <w:pStyle w:val="6"/>
              <w:spacing w:before="79" w:line="185" w:lineRule="auto"/>
              <w:ind w:left="1644"/>
            </w:pPr>
            <w:r>
              <w:rPr>
                <w:spacing w:val="-3"/>
              </w:rPr>
              <w:t>246</w:t>
            </w:r>
          </w:p>
        </w:tc>
      </w:tr>
      <w:tr w14:paraId="05C5B5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84" w:type="dxa"/>
            <w:vAlign w:val="top"/>
          </w:tcPr>
          <w:p w14:paraId="06E8351A">
            <w:pPr>
              <w:pStyle w:val="6"/>
              <w:spacing w:before="79" w:line="184" w:lineRule="auto"/>
              <w:ind w:left="215"/>
            </w:pPr>
            <w:r>
              <w:rPr>
                <w:spacing w:val="-4"/>
              </w:rPr>
              <w:t>36</w:t>
            </w:r>
          </w:p>
        </w:tc>
        <w:tc>
          <w:tcPr>
            <w:tcW w:w="2846" w:type="dxa"/>
            <w:vAlign w:val="top"/>
          </w:tcPr>
          <w:p w14:paraId="2B244B8F">
            <w:pPr>
              <w:pStyle w:val="6"/>
              <w:spacing w:before="57" w:line="201" w:lineRule="auto"/>
              <w:ind w:left="1051"/>
            </w:pPr>
            <w:r>
              <w:rPr>
                <w:spacing w:val="3"/>
              </w:rPr>
              <w:t>秀山县</w:t>
            </w:r>
          </w:p>
        </w:tc>
        <w:tc>
          <w:tcPr>
            <w:tcW w:w="3669" w:type="dxa"/>
            <w:vAlign w:val="top"/>
          </w:tcPr>
          <w:p w14:paraId="27C520F2">
            <w:pPr>
              <w:pStyle w:val="6"/>
              <w:spacing w:before="79" w:line="184" w:lineRule="auto"/>
              <w:ind w:left="1644"/>
            </w:pPr>
            <w:r>
              <w:rPr>
                <w:spacing w:val="-3"/>
              </w:rPr>
              <w:t>273</w:t>
            </w:r>
          </w:p>
        </w:tc>
      </w:tr>
      <w:tr w14:paraId="4C2437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684" w:type="dxa"/>
            <w:vAlign w:val="top"/>
          </w:tcPr>
          <w:p w14:paraId="739C8357">
            <w:pPr>
              <w:pStyle w:val="6"/>
              <w:spacing w:before="80" w:line="191" w:lineRule="auto"/>
              <w:ind w:left="215"/>
            </w:pPr>
            <w:r>
              <w:rPr>
                <w:spacing w:val="-4"/>
              </w:rPr>
              <w:t>37</w:t>
            </w:r>
          </w:p>
        </w:tc>
        <w:tc>
          <w:tcPr>
            <w:tcW w:w="2846" w:type="dxa"/>
            <w:vAlign w:val="top"/>
          </w:tcPr>
          <w:p w14:paraId="6C55D337">
            <w:pPr>
              <w:pStyle w:val="6"/>
              <w:spacing w:before="57" w:line="209" w:lineRule="auto"/>
              <w:ind w:left="1051"/>
            </w:pPr>
            <w:r>
              <w:rPr>
                <w:spacing w:val="3"/>
              </w:rPr>
              <w:t>酉阳县</w:t>
            </w:r>
          </w:p>
        </w:tc>
        <w:tc>
          <w:tcPr>
            <w:tcW w:w="3669" w:type="dxa"/>
            <w:vAlign w:val="top"/>
          </w:tcPr>
          <w:p w14:paraId="2D10E045">
            <w:pPr>
              <w:pStyle w:val="6"/>
              <w:spacing w:before="80" w:line="191" w:lineRule="auto"/>
              <w:ind w:left="1644"/>
            </w:pPr>
            <w:r>
              <w:rPr>
                <w:spacing w:val="-7"/>
              </w:rPr>
              <w:t>149</w:t>
            </w:r>
          </w:p>
        </w:tc>
      </w:tr>
      <w:tr w14:paraId="12DD5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84" w:type="dxa"/>
            <w:vAlign w:val="top"/>
          </w:tcPr>
          <w:p w14:paraId="262E30C1">
            <w:pPr>
              <w:pStyle w:val="6"/>
              <w:spacing w:before="82" w:line="182" w:lineRule="auto"/>
              <w:ind w:left="215"/>
            </w:pPr>
            <w:r>
              <w:rPr>
                <w:spacing w:val="-4"/>
              </w:rPr>
              <w:t>38</w:t>
            </w:r>
          </w:p>
        </w:tc>
        <w:tc>
          <w:tcPr>
            <w:tcW w:w="2846" w:type="dxa"/>
            <w:vAlign w:val="top"/>
          </w:tcPr>
          <w:p w14:paraId="7AA718CD">
            <w:pPr>
              <w:pStyle w:val="6"/>
              <w:spacing w:before="57" w:line="201" w:lineRule="auto"/>
              <w:ind w:left="1051"/>
            </w:pPr>
            <w:r>
              <w:rPr>
                <w:spacing w:val="3"/>
              </w:rPr>
              <w:t>彭水县</w:t>
            </w:r>
          </w:p>
        </w:tc>
        <w:tc>
          <w:tcPr>
            <w:tcW w:w="3669" w:type="dxa"/>
            <w:vAlign w:val="top"/>
          </w:tcPr>
          <w:p w14:paraId="6D1B3BE9">
            <w:pPr>
              <w:pStyle w:val="6"/>
              <w:spacing w:before="82" w:line="182" w:lineRule="auto"/>
              <w:ind w:left="1644"/>
            </w:pPr>
            <w:r>
              <w:rPr>
                <w:spacing w:val="-3"/>
              </w:rPr>
              <w:t>235</w:t>
            </w:r>
          </w:p>
        </w:tc>
      </w:tr>
      <w:tr w14:paraId="6463B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684" w:type="dxa"/>
            <w:vAlign w:val="top"/>
          </w:tcPr>
          <w:p w14:paraId="05481B39">
            <w:pPr>
              <w:pStyle w:val="6"/>
              <w:spacing w:before="83" w:line="189" w:lineRule="auto"/>
              <w:ind w:left="215"/>
            </w:pPr>
            <w:r>
              <w:rPr>
                <w:spacing w:val="-4"/>
              </w:rPr>
              <w:t>39</w:t>
            </w:r>
          </w:p>
        </w:tc>
        <w:tc>
          <w:tcPr>
            <w:tcW w:w="2846" w:type="dxa"/>
            <w:vAlign w:val="top"/>
          </w:tcPr>
          <w:p w14:paraId="745A0D22">
            <w:pPr>
              <w:pStyle w:val="6"/>
              <w:spacing w:before="59" w:line="207" w:lineRule="auto"/>
              <w:ind w:left="810"/>
            </w:pPr>
            <w:r>
              <w:rPr>
                <w:spacing w:val="4"/>
              </w:rPr>
              <w:t>万盛经开区</w:t>
            </w:r>
          </w:p>
        </w:tc>
        <w:tc>
          <w:tcPr>
            <w:tcW w:w="3669" w:type="dxa"/>
            <w:vAlign w:val="top"/>
          </w:tcPr>
          <w:p w14:paraId="7B28D835">
            <w:pPr>
              <w:pStyle w:val="6"/>
              <w:spacing w:before="83" w:line="189" w:lineRule="auto"/>
              <w:ind w:left="1644"/>
            </w:pPr>
            <w:r>
              <w:rPr>
                <w:spacing w:val="-3"/>
              </w:rPr>
              <w:t>284</w:t>
            </w:r>
          </w:p>
        </w:tc>
      </w:tr>
      <w:tr w14:paraId="5FCD8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3530" w:type="dxa"/>
            <w:gridSpan w:val="2"/>
            <w:vAlign w:val="top"/>
          </w:tcPr>
          <w:p w14:paraId="557F7E7C">
            <w:pPr>
              <w:pStyle w:val="6"/>
              <w:spacing w:before="167" w:line="221" w:lineRule="auto"/>
              <w:ind w:left="1518"/>
            </w:pPr>
            <w:r>
              <w:rPr>
                <w:b/>
                <w:bCs/>
                <w:spacing w:val="-6"/>
              </w:rPr>
              <w:t>合计</w:t>
            </w:r>
          </w:p>
        </w:tc>
        <w:tc>
          <w:tcPr>
            <w:tcW w:w="3669" w:type="dxa"/>
            <w:vAlign w:val="top"/>
          </w:tcPr>
          <w:p w14:paraId="13A747D6">
            <w:pPr>
              <w:pStyle w:val="6"/>
              <w:spacing w:before="193"/>
              <w:ind w:left="1524"/>
            </w:pPr>
            <w:r>
              <w:rPr>
                <w:spacing w:val="-2"/>
              </w:rPr>
              <w:t>47379</w:t>
            </w:r>
          </w:p>
        </w:tc>
      </w:tr>
    </w:tbl>
    <w:p w14:paraId="33C402DC">
      <w:pPr>
        <w:spacing w:line="273" w:lineRule="auto"/>
        <w:rPr>
          <w:rFonts w:ascii="Arial"/>
          <w:sz w:val="21"/>
        </w:rPr>
      </w:pPr>
    </w:p>
    <w:p w14:paraId="6F349104">
      <w:pPr>
        <w:pStyle w:val="2"/>
        <w:spacing w:before="97" w:line="224" w:lineRule="auto"/>
        <w:ind w:left="419"/>
      </w:pPr>
      <w:r>
        <w:rPr>
          <w:rFonts w:ascii="楷体" w:hAnsi="楷体" w:eastAsia="楷体" w:cs="楷体"/>
          <w:b/>
          <w:bCs/>
          <w:spacing w:val="6"/>
        </w:rPr>
        <w:t>备注</w:t>
      </w:r>
      <w:r>
        <w:rPr>
          <w:b/>
          <w:bCs/>
          <w:spacing w:val="6"/>
        </w:rPr>
        <w:t>：</w:t>
      </w:r>
      <w:r>
        <w:rPr>
          <w:spacing w:val="6"/>
        </w:rPr>
        <w:t>各区县若需高层建筑详表，可与联系人</w:t>
      </w:r>
      <w:r>
        <w:rPr>
          <w:spacing w:val="5"/>
        </w:rPr>
        <w:t>对接。</w:t>
      </w:r>
    </w:p>
    <w:p w14:paraId="4FA8BF8D">
      <w:pPr>
        <w:spacing w:line="110" w:lineRule="exact"/>
        <w:sectPr>
          <w:footerReference r:id="rId8" w:type="default"/>
          <w:pgSz w:w="11900" w:h="16820"/>
          <w:pgMar w:top="1429" w:right="230" w:bottom="400" w:left="1785" w:header="0" w:footer="0" w:gutter="0"/>
          <w:cols w:space="720" w:num="1"/>
        </w:sectPr>
      </w:pPr>
    </w:p>
    <w:p w14:paraId="1F47274A">
      <w:pPr>
        <w:spacing w:before="85" w:line="250" w:lineRule="auto"/>
        <w:ind w:left="2165" w:right="472" w:hanging="1939"/>
        <w:outlineLvl w:val="0"/>
        <w:rPr>
          <w:rFonts w:ascii="宋体" w:hAnsi="宋体" w:eastAsia="宋体" w:cs="宋体"/>
          <w:sz w:val="44"/>
          <w:szCs w:val="44"/>
        </w:rPr>
      </w:pPr>
      <w:r>
        <w:rPr>
          <w:rFonts w:ascii="宋体" w:hAnsi="宋体" w:eastAsia="宋体" w:cs="宋体"/>
          <w:b/>
          <w:bCs/>
          <w:spacing w:val="-6"/>
          <w:sz w:val="44"/>
          <w:szCs w:val="44"/>
        </w:rPr>
        <w:t>关于集团高层建筑消防物联感知设备接入</w:t>
      </w:r>
      <w:r>
        <w:rPr>
          <w:rFonts w:ascii="宋体" w:hAnsi="宋体" w:eastAsia="宋体" w:cs="宋体"/>
          <w:b/>
          <w:bCs/>
          <w:spacing w:val="-5"/>
          <w:sz w:val="44"/>
          <w:szCs w:val="44"/>
        </w:rPr>
        <w:t>工作进展情况的汇报</w:t>
      </w:r>
    </w:p>
    <w:p w14:paraId="6E864802">
      <w:pPr>
        <w:spacing w:line="295" w:lineRule="auto"/>
        <w:rPr>
          <w:rFonts w:ascii="Arial"/>
          <w:sz w:val="21"/>
        </w:rPr>
      </w:pPr>
    </w:p>
    <w:p w14:paraId="2111F2D7">
      <w:pPr>
        <w:spacing w:line="296" w:lineRule="auto"/>
        <w:rPr>
          <w:rFonts w:ascii="Arial"/>
          <w:sz w:val="21"/>
        </w:rPr>
      </w:pPr>
    </w:p>
    <w:p w14:paraId="57D59E4F">
      <w:pPr>
        <w:pStyle w:val="2"/>
        <w:spacing w:before="98" w:line="351" w:lineRule="auto"/>
        <w:ind w:right="303" w:firstLine="649"/>
        <w:jc w:val="both"/>
      </w:pPr>
      <w:r>
        <w:rPr>
          <w:spacing w:val="31"/>
        </w:rPr>
        <w:t>根据两江新区高层建筑消防物联感知设备接入工作推</w:t>
      </w:r>
      <w:r>
        <w:rPr>
          <w:spacing w:val="18"/>
        </w:rPr>
        <w:t>进会议的统一部署及集团相关工作要求，集团组织各子公司</w:t>
      </w:r>
      <w:r>
        <w:rPr>
          <w:spacing w:val="31"/>
        </w:rPr>
        <w:t>对权属及管理范围内的高层建筑消防安全基础信息进行了</w:t>
      </w:r>
      <w:r>
        <w:rPr>
          <w:spacing w:val="17"/>
        </w:rPr>
        <w:t>全面摸排，并全力推进消防物联感知设备的接入工作。现将</w:t>
      </w:r>
      <w:r>
        <w:rPr>
          <w:spacing w:val="8"/>
        </w:rPr>
        <w:t>当前工作进展汇报如下：</w:t>
      </w:r>
    </w:p>
    <w:p w14:paraId="4F18AC9B">
      <w:pPr>
        <w:spacing w:before="59" w:line="221" w:lineRule="auto"/>
        <w:ind w:left="654"/>
        <w:outlineLvl w:val="1"/>
        <w:rPr>
          <w:rFonts w:ascii="黑体" w:hAnsi="黑体" w:eastAsia="黑体" w:cs="黑体"/>
          <w:sz w:val="30"/>
          <w:szCs w:val="30"/>
        </w:rPr>
      </w:pPr>
      <w:r>
        <w:rPr>
          <w:rFonts w:ascii="黑体" w:hAnsi="黑体" w:eastAsia="黑体" w:cs="黑体"/>
          <w:b/>
          <w:bCs/>
          <w:spacing w:val="8"/>
          <w:sz w:val="30"/>
          <w:szCs w:val="30"/>
        </w:rPr>
        <w:t>一、高层建筑基本情况摸排结果</w:t>
      </w:r>
    </w:p>
    <w:p w14:paraId="1AC0B776">
      <w:pPr>
        <w:pStyle w:val="2"/>
        <w:spacing w:before="222" w:line="341" w:lineRule="auto"/>
        <w:ind w:right="325" w:firstLine="649"/>
      </w:pPr>
      <w:r>
        <w:rPr>
          <w:spacing w:val="33"/>
        </w:rPr>
        <w:t>截至12月23日，各单位共摸排高层建筑678栋，具体</w:t>
      </w:r>
      <w:r>
        <w:rPr>
          <w:spacing w:val="2"/>
        </w:rPr>
        <w:t>分类如下：</w:t>
      </w:r>
    </w:p>
    <w:p w14:paraId="58F45800">
      <w:pPr>
        <w:pStyle w:val="2"/>
        <w:spacing w:before="55" w:line="222" w:lineRule="auto"/>
        <w:ind w:left="649"/>
      </w:pPr>
      <w:r>
        <w:rPr>
          <w:spacing w:val="16"/>
        </w:rPr>
        <w:t>超高层建筑：15栋；</w:t>
      </w:r>
    </w:p>
    <w:p w14:paraId="682EF563">
      <w:pPr>
        <w:pStyle w:val="2"/>
        <w:spacing w:before="249" w:line="222" w:lineRule="auto"/>
        <w:ind w:left="649"/>
      </w:pPr>
      <w:r>
        <w:rPr>
          <w:spacing w:val="17"/>
        </w:rPr>
        <w:t>高层工业建筑：24栋；</w:t>
      </w:r>
    </w:p>
    <w:p w14:paraId="576A60F4">
      <w:pPr>
        <w:pStyle w:val="2"/>
        <w:spacing w:before="219" w:line="222" w:lineRule="auto"/>
        <w:ind w:left="649"/>
      </w:pPr>
      <w:r>
        <w:rPr>
          <w:spacing w:val="17"/>
        </w:rPr>
        <w:t>高层公共建筑：99栋；</w:t>
      </w:r>
    </w:p>
    <w:p w14:paraId="6EC047E0">
      <w:pPr>
        <w:pStyle w:val="2"/>
        <w:spacing w:before="207" w:line="222" w:lineRule="auto"/>
        <w:ind w:left="649"/>
      </w:pPr>
      <w:r>
        <w:rPr>
          <w:spacing w:val="18"/>
        </w:rPr>
        <w:t>高层住宅建筑：540栋。</w:t>
      </w:r>
    </w:p>
    <w:p w14:paraId="40B676C5">
      <w:pPr>
        <w:spacing w:before="241" w:line="352" w:lineRule="auto"/>
        <w:ind w:right="293" w:firstLine="790"/>
        <w:rPr>
          <w:rFonts w:ascii="楷体" w:hAnsi="楷体" w:eastAsia="楷体" w:cs="楷体"/>
          <w:sz w:val="30"/>
          <w:szCs w:val="30"/>
        </w:rPr>
      </w:pPr>
      <w:r>
        <w:rPr>
          <w:rFonts w:ascii="楷体" w:hAnsi="楷体" w:eastAsia="楷体" w:cs="楷体"/>
          <w:spacing w:val="30"/>
          <w:sz w:val="30"/>
          <w:szCs w:val="30"/>
        </w:rPr>
        <w:t>(一)集团内高层建筑总计552栋，其中两江物业负责</w:t>
      </w:r>
      <w:r>
        <w:rPr>
          <w:rFonts w:ascii="楷体" w:hAnsi="楷体" w:eastAsia="楷体" w:cs="楷体"/>
          <w:spacing w:val="33"/>
          <w:sz w:val="30"/>
          <w:szCs w:val="30"/>
        </w:rPr>
        <w:t>管理493栋，江北嘴物业负责管理14栋，其他外部物业单</w:t>
      </w:r>
      <w:r>
        <w:rPr>
          <w:rFonts w:ascii="楷体" w:hAnsi="楷体" w:eastAsia="楷体" w:cs="楷体"/>
          <w:spacing w:val="27"/>
          <w:sz w:val="30"/>
          <w:szCs w:val="30"/>
        </w:rPr>
        <w:t>位负责管理45栋。</w:t>
      </w:r>
    </w:p>
    <w:p w14:paraId="6DE60FD8">
      <w:pPr>
        <w:pStyle w:val="2"/>
        <w:spacing w:before="56" w:line="223" w:lineRule="auto"/>
        <w:ind w:left="649"/>
      </w:pPr>
      <w:r>
        <w:rPr>
          <w:rFonts w:ascii="宋体" w:hAnsi="宋体" w:eastAsia="宋体" w:cs="宋体"/>
          <w:spacing w:val="16"/>
        </w:rPr>
        <w:t>1.</w:t>
      </w:r>
      <w:r>
        <w:rPr>
          <w:spacing w:val="16"/>
        </w:rPr>
        <w:t>鱼复公司高层建筑101栋。</w:t>
      </w:r>
    </w:p>
    <w:p w14:paraId="48459151">
      <w:pPr>
        <w:pStyle w:val="2"/>
        <w:spacing w:before="224" w:line="352" w:lineRule="auto"/>
        <w:ind w:right="330" w:firstLine="649"/>
      </w:pPr>
      <w:r>
        <w:rPr>
          <w:spacing w:val="33"/>
        </w:rPr>
        <w:t>无超高层建筑，高层公共建筑5栋(鱼复公司办公楼1</w:t>
      </w:r>
      <w:r>
        <w:rPr>
          <w:spacing w:val="52"/>
        </w:rPr>
        <w:t>栋，果园港产业园二期4栋),高层住宅建筑9</w:t>
      </w:r>
      <w:r>
        <w:rPr>
          <w:spacing w:val="51"/>
        </w:rPr>
        <w:t>6栋(和韵</w:t>
      </w:r>
      <w:r>
        <w:rPr>
          <w:spacing w:val="35"/>
        </w:rPr>
        <w:t>家园24栋、和庆家园19栋、和悦家园15栋、和锦家园12</w:t>
      </w:r>
      <w:r>
        <w:rPr>
          <w:spacing w:val="41"/>
        </w:rPr>
        <w:t>栋、和煦家园10栋、和乐家园9栋、和美家园8栋</w:t>
      </w:r>
      <w:r>
        <w:rPr>
          <w:spacing w:val="40"/>
        </w:rPr>
        <w:t>，均为</w:t>
      </w:r>
      <w:r>
        <w:rPr>
          <w:spacing w:val="32"/>
        </w:rPr>
        <w:t>安置房)。</w:t>
      </w:r>
    </w:p>
    <w:p w14:paraId="12E453A4">
      <w:pPr>
        <w:spacing w:line="352" w:lineRule="auto"/>
        <w:sectPr>
          <w:pgSz w:w="11900" w:h="16820"/>
          <w:pgMar w:top="1263" w:right="1785" w:bottom="400" w:left="1519" w:header="0" w:footer="0" w:gutter="0"/>
          <w:cols w:space="720" w:num="1"/>
        </w:sectPr>
      </w:pPr>
    </w:p>
    <w:p w14:paraId="69F6F6FF">
      <w:pPr>
        <w:pStyle w:val="2"/>
        <w:spacing w:before="63" w:line="223" w:lineRule="auto"/>
        <w:ind w:left="816"/>
        <w:rPr>
          <w:sz w:val="31"/>
          <w:szCs w:val="31"/>
        </w:rPr>
      </w:pPr>
      <w:r>
        <w:rPr>
          <w:spacing w:val="10"/>
          <w:sz w:val="31"/>
          <w:szCs w:val="31"/>
        </w:rPr>
        <w:t>2.水土公司高层建筑118栋。</w:t>
      </w:r>
    </w:p>
    <w:p w14:paraId="7D2B7D63">
      <w:pPr>
        <w:pStyle w:val="2"/>
        <w:spacing w:before="211" w:line="349" w:lineRule="auto"/>
        <w:ind w:left="196" w:right="120" w:firstLine="649"/>
        <w:rPr>
          <w:sz w:val="31"/>
          <w:szCs w:val="31"/>
        </w:rPr>
      </w:pPr>
      <w:r>
        <w:rPr>
          <w:spacing w:val="22"/>
          <w:sz w:val="31"/>
          <w:szCs w:val="31"/>
        </w:rPr>
        <w:t>无超高层建筑，高层公共建筑1栋(水土公司办公楼1</w:t>
      </w:r>
      <w:r>
        <w:rPr>
          <w:spacing w:val="48"/>
          <w:sz w:val="31"/>
          <w:szCs w:val="31"/>
        </w:rPr>
        <w:t>栋),高层工业建筑1栋(康宁厂房1栋),高层住宅建筑</w:t>
      </w:r>
      <w:r>
        <w:rPr>
          <w:spacing w:val="29"/>
          <w:sz w:val="31"/>
          <w:szCs w:val="31"/>
        </w:rPr>
        <w:t>116栋(和润家园31栋、和欣家园28栋、和</w:t>
      </w:r>
      <w:r>
        <w:rPr>
          <w:spacing w:val="28"/>
          <w:sz w:val="31"/>
          <w:szCs w:val="31"/>
        </w:rPr>
        <w:t>源家园27栋、</w:t>
      </w:r>
      <w:r>
        <w:rPr>
          <w:spacing w:val="24"/>
          <w:sz w:val="31"/>
          <w:szCs w:val="31"/>
        </w:rPr>
        <w:t>和泰家园21栋、和丰家园9栋，均为安置房)。</w:t>
      </w:r>
    </w:p>
    <w:p w14:paraId="7147AA84">
      <w:pPr>
        <w:pStyle w:val="2"/>
        <w:spacing w:line="223" w:lineRule="auto"/>
        <w:ind w:left="826"/>
        <w:rPr>
          <w:sz w:val="31"/>
          <w:szCs w:val="31"/>
        </w:rPr>
      </w:pPr>
      <w:r>
        <w:rPr>
          <w:rFonts w:ascii="宋体" w:hAnsi="宋体" w:eastAsia="宋体" w:cs="宋体"/>
          <w:spacing w:val="11"/>
          <w:sz w:val="31"/>
          <w:szCs w:val="31"/>
        </w:rPr>
        <w:t>3.</w:t>
      </w:r>
      <w:r>
        <w:rPr>
          <w:spacing w:val="11"/>
          <w:sz w:val="31"/>
          <w:szCs w:val="31"/>
        </w:rPr>
        <w:t>龙兴公司高层建筑143栋。</w:t>
      </w:r>
    </w:p>
    <w:p w14:paraId="63999F1B">
      <w:pPr>
        <w:pStyle w:val="2"/>
        <w:spacing w:before="223" w:line="351" w:lineRule="auto"/>
        <w:ind w:left="196" w:right="162" w:firstLine="649"/>
        <w:rPr>
          <w:sz w:val="31"/>
          <w:szCs w:val="31"/>
        </w:rPr>
      </w:pPr>
      <w:r>
        <w:rPr>
          <w:spacing w:val="14"/>
          <w:sz w:val="31"/>
          <w:szCs w:val="31"/>
        </w:rPr>
        <w:t>无超高层建筑，高层公共建筑1栋(总部城</w:t>
      </w:r>
      <w:r>
        <w:rPr>
          <w:rFonts w:ascii="宋体" w:hAnsi="宋体" w:eastAsia="宋体" w:cs="宋体"/>
          <w:spacing w:val="14"/>
          <w:sz w:val="31"/>
          <w:szCs w:val="31"/>
        </w:rPr>
        <w:t>C5</w:t>
      </w:r>
      <w:r>
        <w:rPr>
          <w:spacing w:val="14"/>
          <w:sz w:val="31"/>
          <w:szCs w:val="31"/>
        </w:rPr>
        <w:t>办公楼1</w:t>
      </w:r>
      <w:r>
        <w:rPr>
          <w:spacing w:val="37"/>
          <w:sz w:val="31"/>
          <w:szCs w:val="31"/>
        </w:rPr>
        <w:t>栋);高层住宅建筑142栋(和合家园70栋</w:t>
      </w:r>
      <w:r>
        <w:rPr>
          <w:spacing w:val="36"/>
          <w:sz w:val="31"/>
          <w:szCs w:val="31"/>
        </w:rPr>
        <w:t>、石船家园32</w:t>
      </w:r>
      <w:r>
        <w:rPr>
          <w:spacing w:val="25"/>
          <w:sz w:val="31"/>
          <w:szCs w:val="31"/>
        </w:rPr>
        <w:t>栋、天堡家园28栋、和泽家园12栋，均为安置房)。</w:t>
      </w:r>
    </w:p>
    <w:p w14:paraId="3EECC936">
      <w:pPr>
        <w:pStyle w:val="2"/>
        <w:spacing w:before="13" w:line="222" w:lineRule="auto"/>
        <w:ind w:left="845"/>
        <w:rPr>
          <w:sz w:val="31"/>
          <w:szCs w:val="31"/>
        </w:rPr>
      </w:pPr>
      <w:r>
        <w:rPr>
          <w:spacing w:val="11"/>
          <w:sz w:val="31"/>
          <w:szCs w:val="31"/>
        </w:rPr>
        <w:t>4.协同创新区公司高层建筑3栋。</w:t>
      </w:r>
    </w:p>
    <w:p w14:paraId="7AE41200">
      <w:pPr>
        <w:pStyle w:val="2"/>
        <w:spacing w:before="207" w:line="340" w:lineRule="auto"/>
        <w:ind w:left="196" w:right="140" w:firstLine="649"/>
        <w:rPr>
          <w:sz w:val="31"/>
          <w:szCs w:val="31"/>
        </w:rPr>
      </w:pPr>
      <w:r>
        <w:rPr>
          <w:spacing w:val="32"/>
          <w:sz w:val="31"/>
          <w:szCs w:val="31"/>
        </w:rPr>
        <w:t>无超高层建筑，高层公共建筑1栋(创新工坊1栋)、</w:t>
      </w:r>
      <w:r>
        <w:rPr>
          <w:spacing w:val="42"/>
          <w:sz w:val="31"/>
          <w:szCs w:val="31"/>
        </w:rPr>
        <w:t>高层工业建筑2栋(创新工坊2栋)。</w:t>
      </w:r>
    </w:p>
    <w:p w14:paraId="0347B12B">
      <w:pPr>
        <w:pStyle w:val="2"/>
        <w:spacing w:before="18" w:line="222" w:lineRule="auto"/>
        <w:ind w:left="845"/>
        <w:rPr>
          <w:sz w:val="31"/>
          <w:szCs w:val="31"/>
        </w:rPr>
      </w:pPr>
      <w:r>
        <w:rPr>
          <w:spacing w:val="11"/>
          <w:sz w:val="31"/>
          <w:szCs w:val="31"/>
        </w:rPr>
        <w:t>5.江北嘴公司高层建筑28栋。</w:t>
      </w:r>
    </w:p>
    <w:p w14:paraId="3C7BFE17">
      <w:pPr>
        <w:pStyle w:val="2"/>
        <w:spacing w:before="210" w:line="345" w:lineRule="auto"/>
        <w:ind w:left="196" w:firstLine="649"/>
        <w:rPr>
          <w:sz w:val="31"/>
          <w:szCs w:val="31"/>
        </w:rPr>
      </w:pPr>
      <w:r>
        <w:rPr>
          <w:spacing w:val="31"/>
          <w:sz w:val="31"/>
          <w:szCs w:val="31"/>
        </w:rPr>
        <w:t>超高层建筑13栋(壹号院西苑5栋、壹号</w:t>
      </w:r>
      <w:r>
        <w:rPr>
          <w:spacing w:val="30"/>
          <w:sz w:val="31"/>
          <w:szCs w:val="31"/>
        </w:rPr>
        <w:t>院东苑2栋、</w:t>
      </w:r>
      <w:r>
        <w:rPr>
          <w:spacing w:val="54"/>
          <w:sz w:val="31"/>
          <w:szCs w:val="31"/>
        </w:rPr>
        <w:t>金融城1号1栋、金融城2号3栋、金融城3号2栋),高</w:t>
      </w:r>
      <w:r>
        <w:rPr>
          <w:spacing w:val="39"/>
          <w:sz w:val="31"/>
          <w:szCs w:val="31"/>
        </w:rPr>
        <w:t>层工业建筑6栋(智能制造产业园6栋),高层公共建筑5</w:t>
      </w:r>
      <w:r>
        <w:rPr>
          <w:spacing w:val="18"/>
          <w:sz w:val="31"/>
          <w:szCs w:val="31"/>
        </w:rPr>
        <w:t>栋(云计算中心2栋、帕格森蒂酒店2栋、云顶大酒店1栋),</w:t>
      </w:r>
      <w:r>
        <w:rPr>
          <w:spacing w:val="27"/>
          <w:sz w:val="31"/>
          <w:szCs w:val="31"/>
        </w:rPr>
        <w:t>高层住宅建筑4栋(壹号院东苑2栋、金融城25小时2栋)。</w:t>
      </w:r>
    </w:p>
    <w:p w14:paraId="3A8839D2">
      <w:pPr>
        <w:pStyle w:val="2"/>
        <w:spacing w:before="50" w:line="222" w:lineRule="auto"/>
        <w:ind w:left="845"/>
        <w:rPr>
          <w:sz w:val="31"/>
          <w:szCs w:val="31"/>
        </w:rPr>
      </w:pPr>
      <w:r>
        <w:rPr>
          <w:rFonts w:ascii="宋体" w:hAnsi="宋体" w:eastAsia="宋体" w:cs="宋体"/>
          <w:spacing w:val="10"/>
          <w:sz w:val="31"/>
          <w:szCs w:val="31"/>
        </w:rPr>
        <w:t>6.</w:t>
      </w:r>
      <w:r>
        <w:rPr>
          <w:spacing w:val="10"/>
          <w:sz w:val="31"/>
          <w:szCs w:val="31"/>
        </w:rPr>
        <w:t>新盛公司高层建筑159栋。</w:t>
      </w:r>
    </w:p>
    <w:p w14:paraId="074AA8BA">
      <w:pPr>
        <w:pStyle w:val="2"/>
        <w:spacing w:before="197" w:line="341" w:lineRule="auto"/>
        <w:ind w:left="196" w:right="24" w:firstLine="729"/>
        <w:rPr>
          <w:sz w:val="31"/>
          <w:szCs w:val="31"/>
        </w:rPr>
      </w:pPr>
      <w:r>
        <w:rPr>
          <w:spacing w:val="19"/>
          <w:sz w:val="31"/>
          <w:szCs w:val="31"/>
        </w:rPr>
        <w:t>无超高层建筑，159栋均为高层住宅建筑(万寿雅苑35</w:t>
      </w:r>
      <w:r>
        <w:rPr>
          <w:spacing w:val="29"/>
          <w:sz w:val="31"/>
          <w:szCs w:val="31"/>
        </w:rPr>
        <w:t>栋、思源雅苑24栋、龙骏雅苑21栋、天堡雅苑21栋、双溪雅苑20栋、新能雅苑15栋、协创雅苑9栋</w:t>
      </w:r>
      <w:r>
        <w:rPr>
          <w:spacing w:val="28"/>
          <w:sz w:val="31"/>
          <w:szCs w:val="31"/>
        </w:rPr>
        <w:t>、清溪雅苑9</w:t>
      </w:r>
      <w:r>
        <w:rPr>
          <w:spacing w:val="26"/>
          <w:sz w:val="31"/>
          <w:szCs w:val="31"/>
        </w:rPr>
        <w:t>栋、上领雅苑5栋，均为公租房)。</w:t>
      </w:r>
    </w:p>
    <w:p w14:paraId="0561617B">
      <w:pPr>
        <w:spacing w:line="220" w:lineRule="auto"/>
        <w:ind w:left="1046"/>
        <w:rPr>
          <w:rFonts w:ascii="楷体" w:hAnsi="楷体" w:eastAsia="楷体" w:cs="楷体"/>
          <w:sz w:val="31"/>
          <w:szCs w:val="31"/>
        </w:rPr>
      </w:pPr>
      <w:r>
        <w:rPr>
          <w:rFonts w:ascii="楷体" w:hAnsi="楷体" w:eastAsia="楷体" w:cs="楷体"/>
          <w:spacing w:val="19"/>
          <w:sz w:val="31"/>
          <w:szCs w:val="31"/>
        </w:rPr>
        <w:t>(二)集团外部共有126栋高层建筑，其物业管理服务</w:t>
      </w:r>
    </w:p>
    <w:p w14:paraId="38582B27">
      <w:pPr>
        <w:spacing w:line="220" w:lineRule="auto"/>
        <w:rPr>
          <w:rFonts w:ascii="楷体" w:hAnsi="楷体" w:eastAsia="楷体" w:cs="楷体"/>
          <w:sz w:val="31"/>
          <w:szCs w:val="31"/>
        </w:rPr>
        <w:sectPr>
          <w:pgSz w:w="12160" w:h="17000"/>
          <w:pgMar w:top="1367" w:right="1744" w:bottom="400" w:left="1824" w:header="0" w:footer="0" w:gutter="0"/>
          <w:cols w:space="720" w:num="1"/>
        </w:sectPr>
      </w:pPr>
    </w:p>
    <w:p w14:paraId="16FF5C22">
      <w:pPr>
        <w:spacing w:before="63" w:line="355" w:lineRule="auto"/>
        <w:ind w:right="304"/>
        <w:rPr>
          <w:rFonts w:ascii="楷体" w:hAnsi="楷体" w:eastAsia="楷体" w:cs="楷体"/>
          <w:sz w:val="30"/>
          <w:szCs w:val="30"/>
        </w:rPr>
      </w:pPr>
      <w:r>
        <w:rPr>
          <w:rFonts w:ascii="楷体" w:hAnsi="楷体" w:eastAsia="楷体" w:cs="楷体"/>
          <w:spacing w:val="18"/>
          <w:sz w:val="30"/>
          <w:szCs w:val="30"/>
        </w:rPr>
        <w:t>由赛为公司承担，产权归属多为产业集团及其下属子公司和</w:t>
      </w:r>
      <w:r>
        <w:rPr>
          <w:rFonts w:ascii="楷体" w:hAnsi="楷体" w:eastAsia="楷体" w:cs="楷体"/>
          <w:spacing w:val="14"/>
          <w:sz w:val="30"/>
          <w:szCs w:val="30"/>
        </w:rPr>
        <w:t>其他外部单位。</w:t>
      </w:r>
    </w:p>
    <w:p w14:paraId="7D806536">
      <w:pPr>
        <w:pStyle w:val="2"/>
        <w:spacing w:before="15" w:line="359" w:lineRule="auto"/>
        <w:ind w:right="259" w:firstLine="659"/>
      </w:pPr>
      <w:r>
        <w:rPr>
          <w:spacing w:val="37"/>
        </w:rPr>
        <w:t>超高层建筑2栋，高层工业建筑15栋，高层住宅建筑</w:t>
      </w:r>
      <w:r>
        <w:rPr>
          <w:spacing w:val="32"/>
        </w:rPr>
        <w:t>23栋，高层公共建筑86栋。</w:t>
      </w:r>
    </w:p>
    <w:p w14:paraId="02DB7F78">
      <w:pPr>
        <w:spacing w:line="221" w:lineRule="auto"/>
        <w:ind w:left="664"/>
        <w:outlineLvl w:val="1"/>
        <w:rPr>
          <w:rFonts w:ascii="黑体" w:hAnsi="黑体" w:eastAsia="黑体" w:cs="黑体"/>
          <w:sz w:val="30"/>
          <w:szCs w:val="30"/>
        </w:rPr>
      </w:pPr>
      <w:r>
        <w:rPr>
          <w:rFonts w:ascii="黑体" w:hAnsi="黑体" w:eastAsia="黑体" w:cs="黑体"/>
          <w:b/>
          <w:bCs/>
          <w:spacing w:val="4"/>
          <w:sz w:val="30"/>
          <w:szCs w:val="30"/>
        </w:rPr>
        <w:t>二、当前工作进展</w:t>
      </w:r>
    </w:p>
    <w:p w14:paraId="79472920">
      <w:pPr>
        <w:pStyle w:val="2"/>
        <w:spacing w:before="298" w:line="347" w:lineRule="auto"/>
        <w:ind w:right="258" w:firstLine="659"/>
        <w:jc w:val="both"/>
      </w:pPr>
      <w:r>
        <w:rPr>
          <w:spacing w:val="31"/>
        </w:rPr>
        <w:t>根据新区关于12月底前完成超高层建筑接入任务的紧</w:t>
      </w:r>
      <w:r>
        <w:rPr>
          <w:spacing w:val="30"/>
        </w:rPr>
        <w:t>急部署，集团正全力督导江北嘴公司(含江北嘴物业</w:t>
      </w:r>
      <w:r>
        <w:rPr>
          <w:spacing w:val="29"/>
        </w:rPr>
        <w:t>)与赛</w:t>
      </w:r>
      <w:r>
        <w:rPr>
          <w:spacing w:val="22"/>
        </w:rPr>
        <w:t>为公司推进15栋超高层建筑的接入工作。当前进</w:t>
      </w:r>
      <w:r>
        <w:rPr>
          <w:spacing w:val="21"/>
        </w:rPr>
        <w:t>展如下：</w:t>
      </w:r>
    </w:p>
    <w:p w14:paraId="2E375BB9">
      <w:pPr>
        <w:spacing w:before="1" w:line="224" w:lineRule="auto"/>
        <w:ind w:left="790"/>
        <w:outlineLvl w:val="2"/>
        <w:rPr>
          <w:rFonts w:ascii="楷体" w:hAnsi="楷体" w:eastAsia="楷体" w:cs="楷体"/>
          <w:sz w:val="30"/>
          <w:szCs w:val="30"/>
        </w:rPr>
      </w:pPr>
      <w:r>
        <w:rPr>
          <w:rFonts w:ascii="宋体" w:hAnsi="宋体" w:eastAsia="宋体" w:cs="宋体"/>
          <w:spacing w:val="4"/>
          <w:sz w:val="30"/>
          <w:szCs w:val="30"/>
        </w:rPr>
        <w:t>(一)</w:t>
      </w:r>
      <w:r>
        <w:rPr>
          <w:rFonts w:ascii="楷体" w:hAnsi="楷体" w:eastAsia="楷体" w:cs="楷体"/>
          <w:spacing w:val="4"/>
          <w:sz w:val="30"/>
          <w:szCs w:val="30"/>
        </w:rPr>
        <w:t>已完成接入部分</w:t>
      </w:r>
    </w:p>
    <w:p w14:paraId="04CA4E28">
      <w:pPr>
        <w:pStyle w:val="2"/>
        <w:spacing w:before="227" w:line="358" w:lineRule="auto"/>
        <w:ind w:right="14" w:firstLine="659"/>
      </w:pPr>
      <w:r>
        <w:rPr>
          <w:spacing w:val="25"/>
        </w:rPr>
        <w:t>赛为公司管理的北恒紫云项目2栋超高层建筑，其消防</w:t>
      </w:r>
      <w:r>
        <w:rPr>
          <w:spacing w:val="17"/>
        </w:rPr>
        <w:t>物联感知设备已完成数据采集与接入，率先达成阶段性目标。</w:t>
      </w:r>
    </w:p>
    <w:p w14:paraId="24955604">
      <w:pPr>
        <w:spacing w:before="1" w:line="224" w:lineRule="auto"/>
        <w:ind w:left="794"/>
        <w:outlineLvl w:val="2"/>
        <w:rPr>
          <w:rFonts w:ascii="楷体" w:hAnsi="楷体" w:eastAsia="楷体" w:cs="楷体"/>
          <w:sz w:val="30"/>
          <w:szCs w:val="30"/>
        </w:rPr>
      </w:pPr>
      <w:r>
        <w:rPr>
          <w:rFonts w:ascii="楷体" w:hAnsi="楷体" w:eastAsia="楷体" w:cs="楷体"/>
          <w:b/>
          <w:bCs/>
          <w:spacing w:val="30"/>
          <w:sz w:val="30"/>
          <w:szCs w:val="30"/>
        </w:rPr>
        <w:t>(二)正在协调推进部分</w:t>
      </w:r>
    </w:p>
    <w:p w14:paraId="21011BCC">
      <w:pPr>
        <w:pStyle w:val="2"/>
        <w:spacing w:before="237" w:line="358" w:lineRule="auto"/>
        <w:ind w:right="15" w:firstLine="659"/>
      </w:pPr>
      <w:r>
        <w:rPr>
          <w:spacing w:val="31"/>
        </w:rPr>
        <w:t>江北嘴公司负责的13栋超高层建筑，现正积极优化接</w:t>
      </w:r>
      <w:r>
        <w:rPr>
          <w:spacing w:val="19"/>
        </w:rPr>
        <w:t>入方案，采用“新建标准化感知设备”的路径以加速启动设</w:t>
      </w:r>
      <w:r>
        <w:rPr>
          <w:spacing w:val="17"/>
        </w:rPr>
        <w:t>备安装与数据接入，目前江北嘴物业正在申请费用申请流程。</w:t>
      </w:r>
      <w:r>
        <w:rPr>
          <w:spacing w:val="26"/>
        </w:rPr>
        <w:t>(注：原利旧现有设备接入方式实现周期过长，且市消防总</w:t>
      </w:r>
      <w:r>
        <w:rPr>
          <w:spacing w:val="18"/>
        </w:rPr>
        <w:t>队物联平台暂不支持配合开发工作，导致接入受阻，故调整</w:t>
      </w:r>
      <w:r>
        <w:rPr>
          <w:spacing w:val="36"/>
        </w:rPr>
        <w:t>方案。)</w:t>
      </w:r>
    </w:p>
    <w:p w14:paraId="450319BC">
      <w:pPr>
        <w:spacing w:before="30" w:line="223" w:lineRule="auto"/>
        <w:ind w:left="790"/>
        <w:outlineLvl w:val="2"/>
        <w:rPr>
          <w:rFonts w:ascii="楷体" w:hAnsi="楷体" w:eastAsia="楷体" w:cs="楷体"/>
          <w:sz w:val="30"/>
          <w:szCs w:val="30"/>
        </w:rPr>
      </w:pPr>
      <w:r>
        <w:rPr>
          <w:rFonts w:ascii="楷体" w:hAnsi="楷体" w:eastAsia="楷体" w:cs="楷体"/>
          <w:spacing w:val="38"/>
          <w:sz w:val="30"/>
          <w:szCs w:val="30"/>
        </w:rPr>
        <w:t>(三)数据同步要求</w:t>
      </w:r>
    </w:p>
    <w:p w14:paraId="40543215">
      <w:pPr>
        <w:pStyle w:val="2"/>
        <w:spacing w:before="207" w:line="363" w:lineRule="auto"/>
        <w:ind w:right="298" w:firstLine="659"/>
      </w:pPr>
      <w:r>
        <w:rPr>
          <w:spacing w:val="17"/>
        </w:rPr>
        <w:t>集团已明确要求赛为公司及江北嘴公司，在本次安装合</w:t>
      </w:r>
      <w:r>
        <w:rPr>
          <w:spacing w:val="8"/>
        </w:rPr>
        <w:t>同中须纳入以下条款：</w:t>
      </w:r>
    </w:p>
    <w:p w14:paraId="5A9267F0">
      <w:pPr>
        <w:pStyle w:val="2"/>
        <w:spacing w:before="5" w:line="357" w:lineRule="auto"/>
        <w:ind w:right="262" w:firstLine="659"/>
        <w:jc w:val="both"/>
      </w:pPr>
      <w:r>
        <w:rPr>
          <w:spacing w:val="19"/>
        </w:rPr>
        <w:t>设备安装完成后，关联数据治理信息在推送</w:t>
      </w:r>
      <w:r>
        <w:rPr>
          <w:spacing w:val="18"/>
        </w:rPr>
        <w:t>至市级消防平台时，须同步推送至两江投资集团物联感知平台。甲方经</w:t>
      </w:r>
      <w:r>
        <w:rPr>
          <w:spacing w:val="17"/>
        </w:rPr>
        <w:t>该平台确认数据接入无误后，方视为产品最终验收合格。</w:t>
      </w:r>
    </w:p>
    <w:p w14:paraId="26AC2809">
      <w:pPr>
        <w:spacing w:line="357" w:lineRule="auto"/>
        <w:sectPr>
          <w:pgSz w:w="11900" w:h="16820"/>
          <w:pgMar w:top="1367" w:right="1785" w:bottom="400" w:left="1539" w:header="0" w:footer="0" w:gutter="0"/>
          <w:cols w:space="720" w:num="1"/>
        </w:sectPr>
      </w:pPr>
    </w:p>
    <w:p w14:paraId="4D8D3795">
      <w:pPr>
        <w:spacing w:before="60" w:line="222" w:lineRule="auto"/>
        <w:ind w:left="744"/>
        <w:outlineLvl w:val="1"/>
        <w:rPr>
          <w:rFonts w:ascii="黑体" w:hAnsi="黑体" w:eastAsia="黑体" w:cs="黑体"/>
          <w:sz w:val="30"/>
          <w:szCs w:val="30"/>
        </w:rPr>
      </w:pPr>
      <w:r>
        <w:rPr>
          <w:rFonts w:ascii="黑体" w:hAnsi="黑体" w:eastAsia="黑体" w:cs="黑体"/>
          <w:b/>
          <w:bCs/>
          <w:spacing w:val="5"/>
          <w:sz w:val="30"/>
          <w:szCs w:val="30"/>
        </w:rPr>
        <w:t>三、技术配合单位建议</w:t>
      </w:r>
    </w:p>
    <w:p w14:paraId="4E3D6842">
      <w:pPr>
        <w:pStyle w:val="2"/>
        <w:spacing w:before="220" w:line="369" w:lineRule="auto"/>
        <w:ind w:right="107" w:firstLine="740"/>
        <w:jc w:val="both"/>
      </w:pPr>
      <w:r>
        <w:rPr>
          <w:spacing w:val="42"/>
        </w:rPr>
        <w:t>高层建筑消防物联感知设备接入工作已被列入市级</w:t>
      </w:r>
      <w:r>
        <w:rPr>
          <w:spacing w:val="19"/>
        </w:rPr>
        <w:t>“885”清单及中央巡视整改任务要求。全区</w:t>
      </w:r>
      <w:r>
        <w:rPr>
          <w:spacing w:val="18"/>
        </w:rPr>
        <w:t>高层建筑接入</w:t>
      </w:r>
      <w:r>
        <w:rPr>
          <w:spacing w:val="24"/>
        </w:rPr>
        <w:t>工作整体目标如下：</w:t>
      </w:r>
    </w:p>
    <w:p w14:paraId="54E40608">
      <w:pPr>
        <w:pStyle w:val="2"/>
        <w:spacing w:before="2" w:line="359" w:lineRule="auto"/>
        <w:ind w:left="150" w:firstLine="590"/>
        <w:jc w:val="both"/>
      </w:pPr>
      <w:r>
        <w:rPr>
          <w:spacing w:val="16"/>
        </w:rPr>
        <w:t>2025年12月底前：每栋超高层建筑及大型商业综合体，</w:t>
      </w:r>
      <w:r>
        <w:rPr>
          <w:spacing w:val="23"/>
        </w:rPr>
        <w:t>至少安装1个室内消火栓最不利点液压传感器和1套电气火</w:t>
      </w:r>
      <w:r>
        <w:t>灾监控设备。</w:t>
      </w:r>
    </w:p>
    <w:p w14:paraId="1CAF188B">
      <w:pPr>
        <w:pStyle w:val="2"/>
        <w:spacing w:line="365" w:lineRule="auto"/>
        <w:ind w:left="150" w:right="129" w:firstLine="590"/>
        <w:jc w:val="both"/>
      </w:pPr>
      <w:r>
        <w:rPr>
          <w:spacing w:val="17"/>
        </w:rPr>
        <w:t>2.2026年3月底前：每栋高层建筑、酒店、足球场等人</w:t>
      </w:r>
      <w:r>
        <w:rPr>
          <w:spacing w:val="10"/>
        </w:rPr>
        <w:t>员密集场所，须完成室内消火栓系统接入(含消防水箱/水池</w:t>
      </w:r>
      <w:r>
        <w:rPr>
          <w:spacing w:val="23"/>
        </w:rPr>
        <w:t>液位传感器、至少1个室内消火栓最不利点液压传感器)。</w:t>
      </w:r>
    </w:p>
    <w:p w14:paraId="39358519">
      <w:pPr>
        <w:pStyle w:val="2"/>
        <w:spacing w:line="363" w:lineRule="auto"/>
        <w:ind w:left="150" w:right="155" w:firstLine="590"/>
      </w:pPr>
      <w:r>
        <w:rPr>
          <w:spacing w:val="16"/>
        </w:rPr>
        <w:t>3.2026年6月底前：完成火灾自动报警系统用户传输装</w:t>
      </w:r>
      <w:r>
        <w:rPr>
          <w:spacing w:val="10"/>
        </w:rPr>
        <w:t>置、自动喷水灭火系统管网液压传感器的接入。</w:t>
      </w:r>
    </w:p>
    <w:p w14:paraId="48FC8709">
      <w:pPr>
        <w:pStyle w:val="2"/>
        <w:spacing w:before="1" w:line="360" w:lineRule="auto"/>
        <w:ind w:left="150" w:right="125" w:firstLine="590"/>
      </w:pPr>
      <w:r>
        <w:rPr>
          <w:spacing w:val="17"/>
        </w:rPr>
        <w:t>4.2026年9月底前：完成高层建筑消防控制室离岗视频</w:t>
      </w:r>
      <w:r>
        <w:rPr>
          <w:spacing w:val="11"/>
        </w:rPr>
        <w:t>监控及消防车道易占堵路段视频监控的接入。</w:t>
      </w:r>
    </w:p>
    <w:p w14:paraId="0DDDFB28">
      <w:pPr>
        <w:pStyle w:val="2"/>
        <w:spacing w:line="222" w:lineRule="auto"/>
        <w:ind w:right="30"/>
        <w:jc w:val="right"/>
      </w:pPr>
      <w:r>
        <w:rPr>
          <w:spacing w:val="20"/>
        </w:rPr>
        <w:t>5.2026年9月至11月底：力争实现公共视频监控接入。</w:t>
      </w:r>
    </w:p>
    <w:p w14:paraId="6B80F4DF">
      <w:pPr>
        <w:pStyle w:val="2"/>
        <w:spacing w:before="236" w:line="357" w:lineRule="auto"/>
        <w:ind w:left="150" w:right="147" w:firstLine="590"/>
      </w:pPr>
      <w:r>
        <w:rPr>
          <w:spacing w:val="9"/>
        </w:rPr>
        <w:t>由于本次工作督办时限紧迫、任务量繁重，方案调整、</w:t>
      </w:r>
      <w:r>
        <w:rPr>
          <w:spacing w:val="11"/>
        </w:rPr>
        <w:t>采购实施与安装调试等各环节需高效衔接、无缝推进。考虑</w:t>
      </w:r>
      <w:r>
        <w:rPr>
          <w:spacing w:val="27"/>
        </w:rPr>
        <w:t>到智慧城投公司已于2024年8月配合新区消防支队开展原</w:t>
      </w:r>
      <w:r>
        <w:rPr>
          <w:spacing w:val="11"/>
        </w:rPr>
        <w:t>直管街道高层建筑调研及设备实施工作，并承担</w:t>
      </w:r>
      <w:r>
        <w:rPr>
          <w:spacing w:val="10"/>
        </w:rPr>
        <w:t>了三年运维</w:t>
      </w:r>
      <w:r>
        <w:rPr>
          <w:spacing w:val="11"/>
        </w:rPr>
        <w:t>服务，具备扎实的工作基础和丰富经验，拟建</w:t>
      </w:r>
      <w:r>
        <w:rPr>
          <w:spacing w:val="10"/>
        </w:rPr>
        <w:t>议由智慧城投</w:t>
      </w:r>
      <w:r>
        <w:rPr>
          <w:spacing w:val="11"/>
        </w:rPr>
        <w:t>公司作为本次接入工作的技术支持单位。在完成超高层</w:t>
      </w:r>
      <w:r>
        <w:rPr>
          <w:spacing w:val="10"/>
        </w:rPr>
        <w:t>建筑</w:t>
      </w:r>
      <w:r>
        <w:rPr>
          <w:spacing w:val="16"/>
        </w:rPr>
        <w:t>接入任务后，协同相关业主及物业方，对678栋高层建筑的</w:t>
      </w:r>
      <w:r>
        <w:rPr>
          <w:spacing w:val="10"/>
        </w:rPr>
        <w:t>消防设备现状开展二次全面摸排，据此制定分批次、</w:t>
      </w:r>
      <w:r>
        <w:rPr>
          <w:spacing w:val="9"/>
        </w:rPr>
        <w:t>分类别</w:t>
      </w:r>
      <w:r>
        <w:rPr>
          <w:spacing w:val="5"/>
        </w:rPr>
        <w:t>的详细接入实施方案。</w:t>
      </w:r>
    </w:p>
    <w:p w14:paraId="3C35A28F">
      <w:pPr>
        <w:spacing w:line="357" w:lineRule="auto"/>
        <w:sectPr>
          <w:pgSz w:w="11900" w:h="16820"/>
          <w:pgMar w:top="1355" w:right="1760" w:bottom="400" w:left="1749" w:header="0" w:footer="0" w:gutter="0"/>
          <w:cols w:space="720" w:num="1"/>
        </w:sectPr>
      </w:pPr>
    </w:p>
    <w:p w14:paraId="73F7D7A2">
      <w:pPr>
        <w:spacing w:before="64" w:line="222" w:lineRule="auto"/>
        <w:ind w:left="604"/>
        <w:outlineLvl w:val="1"/>
        <w:rPr>
          <w:rFonts w:ascii="黑体" w:hAnsi="黑体" w:eastAsia="黑体" w:cs="黑体"/>
          <w:sz w:val="32"/>
          <w:szCs w:val="32"/>
        </w:rPr>
      </w:pPr>
      <w:r>
        <w:rPr>
          <w:rFonts w:ascii="黑体" w:hAnsi="黑体" w:eastAsia="黑体" w:cs="黑体"/>
          <w:b/>
          <w:bCs/>
          <w:spacing w:val="-8"/>
          <w:sz w:val="32"/>
          <w:szCs w:val="32"/>
        </w:rPr>
        <w:t>四、建设费用预估</w:t>
      </w:r>
    </w:p>
    <w:p w14:paraId="44EB3569">
      <w:pPr>
        <w:pStyle w:val="2"/>
        <w:spacing w:before="284" w:line="315" w:lineRule="auto"/>
        <w:ind w:right="29" w:firstLine="599"/>
        <w:jc w:val="both"/>
      </w:pPr>
      <w:r>
        <w:rPr>
          <w:spacing w:val="14"/>
        </w:rPr>
        <w:t>经前期排查，集团需接入消防物联设备的建筑共552栋，</w:t>
      </w:r>
      <w:r>
        <w:rPr>
          <w:spacing w:val="21"/>
        </w:rPr>
        <w:t>初步测算建设费用约470万元，详细情况由智慧城投公司做</w:t>
      </w:r>
      <w:r>
        <w:rPr>
          <w:spacing w:val="-1"/>
        </w:rPr>
        <w:t>补充汇报。</w:t>
      </w:r>
    </w:p>
    <w:p w14:paraId="2ED1EC2E">
      <w:pPr>
        <w:pStyle w:val="2"/>
        <w:spacing w:before="69" w:line="348" w:lineRule="auto"/>
        <w:ind w:firstLine="599"/>
        <w:jc w:val="both"/>
      </w:pPr>
      <w:r>
        <w:rPr>
          <w:spacing w:val="30"/>
        </w:rPr>
        <w:t>同时建议赛为公司对其管理的产业集团及其下属子公</w:t>
      </w:r>
      <w:r>
        <w:rPr>
          <w:spacing w:val="21"/>
        </w:rPr>
        <w:t>司和其他外部单位的高层建筑，初步测算建设费用约110万</w:t>
      </w:r>
      <w:r>
        <w:rPr>
          <w:spacing w:val="9"/>
        </w:rPr>
        <w:t>元，积极向相关单位申请资金，确保该项工作能够顺利推进。</w:t>
      </w:r>
    </w:p>
    <w:p w14:paraId="674D7B16">
      <w:pPr>
        <w:spacing w:line="221" w:lineRule="auto"/>
        <w:ind w:left="604"/>
        <w:outlineLvl w:val="1"/>
        <w:rPr>
          <w:rFonts w:ascii="黑体" w:hAnsi="黑体" w:eastAsia="黑体" w:cs="黑体"/>
          <w:sz w:val="32"/>
          <w:szCs w:val="32"/>
        </w:rPr>
      </w:pPr>
      <w:r>
        <w:rPr>
          <w:rFonts w:ascii="黑体" w:hAnsi="黑体" w:eastAsia="黑体" w:cs="黑体"/>
          <w:b/>
          <w:bCs/>
          <w:spacing w:val="-8"/>
          <w:sz w:val="32"/>
          <w:szCs w:val="32"/>
        </w:rPr>
        <w:t>五、后续工作安排</w:t>
      </w:r>
    </w:p>
    <w:p w14:paraId="48AEF869">
      <w:pPr>
        <w:pStyle w:val="2"/>
        <w:spacing w:before="232" w:line="359" w:lineRule="auto"/>
        <w:ind w:right="130" w:firstLine="599"/>
        <w:jc w:val="both"/>
      </w:pPr>
      <w:r>
        <w:rPr>
          <w:spacing w:val="18"/>
        </w:rPr>
        <w:t>各单位在会后要明确牵头责任人，及时反馈</w:t>
      </w:r>
      <w:r>
        <w:rPr>
          <w:spacing w:val="17"/>
        </w:rPr>
        <w:t>工作推进情</w:t>
      </w:r>
      <w:r>
        <w:rPr>
          <w:spacing w:val="27"/>
        </w:rPr>
        <w:t>况和存在困难；同时，也建议各相关单位立即调整2026年</w:t>
      </w:r>
      <w:r>
        <w:rPr>
          <w:spacing w:val="16"/>
        </w:rPr>
        <w:t>投资计划，确保专项资金到位，以支撑后续高层建筑设备批</w:t>
      </w:r>
      <w:r>
        <w:rPr>
          <w:spacing w:val="7"/>
        </w:rPr>
        <w:t>量安装与接入。</w:t>
      </w:r>
    </w:p>
    <w:p w14:paraId="2F18B5A6">
      <w:pPr>
        <w:pStyle w:val="2"/>
        <w:spacing w:before="2" w:line="376" w:lineRule="auto"/>
        <w:ind w:right="154" w:firstLine="599"/>
      </w:pPr>
      <w:r>
        <w:rPr>
          <w:spacing w:val="17"/>
        </w:rPr>
        <w:t>集团建管部也会积极主动加强与新区消防支队</w:t>
      </w:r>
      <w:r>
        <w:rPr>
          <w:spacing w:val="16"/>
        </w:rPr>
        <w:t>、国资委</w:t>
      </w:r>
      <w:r>
        <w:rPr>
          <w:spacing w:val="15"/>
        </w:rPr>
        <w:t>等相关部门的沟通协调与汇报对接，积极争取政策支持。</w:t>
      </w:r>
    </w:p>
    <w:p w14:paraId="62C8FF7E">
      <w:pPr>
        <w:spacing w:line="268" w:lineRule="auto"/>
        <w:rPr>
          <w:rFonts w:ascii="Arial"/>
          <w:sz w:val="21"/>
        </w:rPr>
      </w:pPr>
    </w:p>
    <w:p w14:paraId="2E1C3A62">
      <w:pPr>
        <w:spacing w:line="268" w:lineRule="auto"/>
        <w:rPr>
          <w:rFonts w:ascii="Arial"/>
          <w:sz w:val="21"/>
        </w:rPr>
      </w:pPr>
    </w:p>
    <w:p w14:paraId="2EC1D70F">
      <w:pPr>
        <w:spacing w:line="268" w:lineRule="auto"/>
        <w:rPr>
          <w:rFonts w:ascii="Arial"/>
          <w:sz w:val="21"/>
        </w:rPr>
      </w:pPr>
    </w:p>
    <w:p w14:paraId="5C601F61">
      <w:pPr>
        <w:spacing w:line="269" w:lineRule="auto"/>
        <w:rPr>
          <w:rFonts w:ascii="Arial"/>
          <w:sz w:val="21"/>
        </w:rPr>
      </w:pPr>
    </w:p>
    <w:p w14:paraId="2F7D40A8">
      <w:pPr>
        <w:pStyle w:val="2"/>
        <w:spacing w:before="97" w:line="222" w:lineRule="auto"/>
        <w:ind w:left="6039"/>
      </w:pPr>
      <w:r>
        <w:rPr>
          <w:spacing w:val="11"/>
        </w:rPr>
        <w:t>集团建设管理部</w:t>
      </w:r>
    </w:p>
    <w:p w14:paraId="1188B712">
      <w:pPr>
        <w:pStyle w:val="2"/>
        <w:spacing w:before="222" w:line="222" w:lineRule="auto"/>
        <w:ind w:left="5920"/>
        <w:rPr>
          <w:rFonts w:ascii="Times New Roman" w:hAnsi="Times New Roman" w:eastAsia="Times New Roman" w:cs="Times New Roman"/>
          <w:sz w:val="10"/>
          <w:szCs w:val="10"/>
        </w:rPr>
        <w:sectPr>
          <w:pgSz w:w="11900" w:h="16820"/>
          <w:pgMar w:top="1429" w:right="472" w:bottom="400" w:left="1785" w:header="0" w:footer="0" w:gutter="0"/>
          <w:cols w:space="720" w:num="1"/>
        </w:sectPr>
      </w:pPr>
      <w:r>
        <w:rPr>
          <w:spacing w:val="49"/>
          <w:w w:val="104"/>
        </w:rPr>
        <w:t>2025年1月7日</w:t>
      </w:r>
    </w:p>
    <w:p w14:paraId="6BACF656">
      <w:pPr>
        <w:spacing w:before="80" w:line="219" w:lineRule="auto"/>
        <w:ind w:left="3290"/>
        <w:rPr>
          <w:rFonts w:ascii="宋体" w:hAnsi="宋体" w:eastAsia="宋体" w:cs="宋体"/>
          <w:sz w:val="40"/>
          <w:szCs w:val="40"/>
        </w:rPr>
      </w:pPr>
      <w:r>
        <w:rPr>
          <w:rFonts w:ascii="宋体" w:hAnsi="宋体" w:eastAsia="宋体" w:cs="宋体"/>
          <w:b/>
          <w:bCs/>
          <w:spacing w:val="-4"/>
          <w:sz w:val="40"/>
          <w:szCs w:val="40"/>
        </w:rPr>
        <w:t>两江新区高层建筑物联感知设备接入工作要求汇总表</w:t>
      </w:r>
    </w:p>
    <w:p w14:paraId="7F9635FC">
      <w:pPr>
        <w:spacing w:line="59" w:lineRule="exact"/>
      </w:pPr>
    </w:p>
    <w:tbl>
      <w:tblPr>
        <w:tblStyle w:val="5"/>
        <w:tblW w:w="156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5"/>
        <w:gridCol w:w="1299"/>
        <w:gridCol w:w="1399"/>
        <w:gridCol w:w="669"/>
        <w:gridCol w:w="879"/>
        <w:gridCol w:w="1259"/>
        <w:gridCol w:w="5387"/>
        <w:gridCol w:w="2219"/>
        <w:gridCol w:w="1954"/>
      </w:tblGrid>
      <w:tr w14:paraId="1C68F4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535" w:type="dxa"/>
            <w:vAlign w:val="top"/>
          </w:tcPr>
          <w:p w14:paraId="36D70F50">
            <w:pPr>
              <w:pStyle w:val="6"/>
              <w:spacing w:before="201" w:line="221" w:lineRule="auto"/>
              <w:ind w:left="57"/>
              <w:rPr>
                <w:sz w:val="20"/>
                <w:szCs w:val="20"/>
              </w:rPr>
            </w:pPr>
            <w:r>
              <w:rPr>
                <w:b/>
                <w:bCs/>
                <w:spacing w:val="-4"/>
                <w:sz w:val="20"/>
                <w:szCs w:val="20"/>
              </w:rPr>
              <w:t>序号</w:t>
            </w:r>
          </w:p>
        </w:tc>
        <w:tc>
          <w:tcPr>
            <w:tcW w:w="1299" w:type="dxa"/>
            <w:vAlign w:val="top"/>
          </w:tcPr>
          <w:p w14:paraId="1B9FDAE4">
            <w:pPr>
              <w:pStyle w:val="6"/>
              <w:spacing w:before="200" w:line="219" w:lineRule="auto"/>
              <w:ind w:left="242"/>
              <w:rPr>
                <w:sz w:val="20"/>
                <w:szCs w:val="20"/>
              </w:rPr>
            </w:pPr>
            <w:r>
              <w:rPr>
                <w:b/>
                <w:bCs/>
                <w:spacing w:val="-4"/>
                <w:sz w:val="20"/>
                <w:szCs w:val="20"/>
              </w:rPr>
              <w:t>接入类型</w:t>
            </w:r>
          </w:p>
        </w:tc>
        <w:tc>
          <w:tcPr>
            <w:tcW w:w="1399" w:type="dxa"/>
            <w:vAlign w:val="top"/>
          </w:tcPr>
          <w:p w14:paraId="03CC78DD">
            <w:pPr>
              <w:pStyle w:val="6"/>
              <w:spacing w:before="200" w:line="220" w:lineRule="auto"/>
              <w:ind w:left="293"/>
              <w:rPr>
                <w:sz w:val="20"/>
                <w:szCs w:val="20"/>
              </w:rPr>
            </w:pPr>
            <w:r>
              <w:rPr>
                <w:b/>
                <w:bCs/>
                <w:spacing w:val="-5"/>
                <w:sz w:val="20"/>
                <w:szCs w:val="20"/>
              </w:rPr>
              <w:t>安装位置</w:t>
            </w:r>
          </w:p>
        </w:tc>
        <w:tc>
          <w:tcPr>
            <w:tcW w:w="669" w:type="dxa"/>
            <w:vAlign w:val="top"/>
          </w:tcPr>
          <w:p w14:paraId="1A8EE250">
            <w:pPr>
              <w:pStyle w:val="6"/>
              <w:spacing w:before="40" w:line="219" w:lineRule="auto"/>
              <w:ind w:left="124"/>
              <w:rPr>
                <w:sz w:val="20"/>
                <w:szCs w:val="20"/>
              </w:rPr>
            </w:pPr>
            <w:r>
              <w:rPr>
                <w:b/>
                <w:bCs/>
                <w:spacing w:val="-5"/>
                <w:sz w:val="20"/>
                <w:szCs w:val="20"/>
              </w:rPr>
              <w:t>计数</w:t>
            </w:r>
          </w:p>
          <w:p w14:paraId="1DC673C1">
            <w:pPr>
              <w:pStyle w:val="6"/>
              <w:spacing w:before="43" w:line="220" w:lineRule="auto"/>
              <w:ind w:left="124"/>
              <w:rPr>
                <w:sz w:val="20"/>
                <w:szCs w:val="20"/>
              </w:rPr>
            </w:pPr>
            <w:r>
              <w:rPr>
                <w:b/>
                <w:bCs/>
                <w:spacing w:val="-5"/>
                <w:sz w:val="20"/>
                <w:szCs w:val="20"/>
              </w:rPr>
              <w:t>单位</w:t>
            </w:r>
          </w:p>
        </w:tc>
        <w:tc>
          <w:tcPr>
            <w:tcW w:w="879" w:type="dxa"/>
            <w:vAlign w:val="top"/>
          </w:tcPr>
          <w:p w14:paraId="1840FBE0">
            <w:pPr>
              <w:pStyle w:val="6"/>
              <w:spacing w:before="31" w:line="220" w:lineRule="auto"/>
              <w:ind w:left="235"/>
              <w:rPr>
                <w:sz w:val="20"/>
                <w:szCs w:val="20"/>
              </w:rPr>
            </w:pPr>
            <w:r>
              <w:rPr>
                <w:b/>
                <w:bCs/>
                <w:spacing w:val="-6"/>
                <w:sz w:val="20"/>
                <w:szCs w:val="20"/>
              </w:rPr>
              <w:t>安装</w:t>
            </w:r>
          </w:p>
          <w:p w14:paraId="2E80177F">
            <w:pPr>
              <w:pStyle w:val="6"/>
              <w:spacing w:before="51" w:line="219" w:lineRule="auto"/>
              <w:ind w:left="235"/>
              <w:rPr>
                <w:sz w:val="20"/>
                <w:szCs w:val="20"/>
              </w:rPr>
            </w:pPr>
            <w:r>
              <w:rPr>
                <w:b/>
                <w:bCs/>
                <w:spacing w:val="-5"/>
                <w:sz w:val="20"/>
                <w:szCs w:val="20"/>
              </w:rPr>
              <w:t>数量</w:t>
            </w:r>
          </w:p>
        </w:tc>
        <w:tc>
          <w:tcPr>
            <w:tcW w:w="1259" w:type="dxa"/>
            <w:vAlign w:val="top"/>
          </w:tcPr>
          <w:p w14:paraId="0CAE3879">
            <w:pPr>
              <w:pStyle w:val="6"/>
              <w:spacing w:before="200" w:line="219" w:lineRule="auto"/>
              <w:ind w:left="226"/>
              <w:rPr>
                <w:sz w:val="20"/>
                <w:szCs w:val="20"/>
              </w:rPr>
            </w:pPr>
            <w:r>
              <w:rPr>
                <w:b/>
                <w:bCs/>
                <w:spacing w:val="-5"/>
                <w:sz w:val="20"/>
                <w:szCs w:val="20"/>
              </w:rPr>
              <w:t>设备类型</w:t>
            </w:r>
          </w:p>
        </w:tc>
        <w:tc>
          <w:tcPr>
            <w:tcW w:w="5387" w:type="dxa"/>
            <w:vAlign w:val="top"/>
          </w:tcPr>
          <w:p w14:paraId="745EC79A">
            <w:pPr>
              <w:pStyle w:val="6"/>
              <w:spacing w:before="201" w:line="221" w:lineRule="auto"/>
              <w:ind w:left="2087"/>
              <w:rPr>
                <w:sz w:val="20"/>
                <w:szCs w:val="20"/>
              </w:rPr>
            </w:pPr>
            <w:r>
              <w:rPr>
                <w:b/>
                <w:bCs/>
                <w:spacing w:val="-4"/>
                <w:sz w:val="20"/>
                <w:szCs w:val="20"/>
              </w:rPr>
              <w:t>设备主要功能</w:t>
            </w:r>
          </w:p>
        </w:tc>
        <w:tc>
          <w:tcPr>
            <w:tcW w:w="2219" w:type="dxa"/>
            <w:vAlign w:val="top"/>
          </w:tcPr>
          <w:p w14:paraId="3F5C308C">
            <w:pPr>
              <w:pStyle w:val="6"/>
              <w:spacing w:before="200" w:line="219" w:lineRule="auto"/>
              <w:ind w:left="710"/>
              <w:rPr>
                <w:sz w:val="20"/>
                <w:szCs w:val="20"/>
              </w:rPr>
            </w:pPr>
            <w:r>
              <w:rPr>
                <w:b/>
                <w:bCs/>
                <w:spacing w:val="-5"/>
                <w:sz w:val="20"/>
                <w:szCs w:val="20"/>
              </w:rPr>
              <w:t>建筑类型</w:t>
            </w:r>
          </w:p>
        </w:tc>
        <w:tc>
          <w:tcPr>
            <w:tcW w:w="1954" w:type="dxa"/>
            <w:vAlign w:val="top"/>
          </w:tcPr>
          <w:p w14:paraId="140A15B7">
            <w:pPr>
              <w:pStyle w:val="6"/>
              <w:spacing w:before="200" w:line="220" w:lineRule="auto"/>
              <w:ind w:left="571"/>
              <w:rPr>
                <w:sz w:val="20"/>
                <w:szCs w:val="20"/>
              </w:rPr>
            </w:pPr>
            <w:r>
              <w:rPr>
                <w:b/>
                <w:bCs/>
                <w:sz w:val="20"/>
                <w:szCs w:val="20"/>
              </w:rPr>
              <w:t>时间节点</w:t>
            </w:r>
          </w:p>
        </w:tc>
      </w:tr>
      <w:tr w14:paraId="6A30B2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535" w:type="dxa"/>
            <w:vMerge w:val="restart"/>
            <w:tcBorders>
              <w:bottom w:val="nil"/>
            </w:tcBorders>
            <w:vAlign w:val="top"/>
          </w:tcPr>
          <w:p w14:paraId="2BFA6C85">
            <w:pPr>
              <w:spacing w:line="263" w:lineRule="auto"/>
              <w:rPr>
                <w:rFonts w:ascii="Arial"/>
                <w:sz w:val="21"/>
              </w:rPr>
            </w:pPr>
          </w:p>
          <w:p w14:paraId="3834AF3E">
            <w:pPr>
              <w:spacing w:line="263" w:lineRule="auto"/>
              <w:rPr>
                <w:rFonts w:ascii="Arial"/>
                <w:sz w:val="21"/>
              </w:rPr>
            </w:pPr>
          </w:p>
          <w:p w14:paraId="1C45A32E">
            <w:pPr>
              <w:spacing w:line="263" w:lineRule="auto"/>
              <w:rPr>
                <w:rFonts w:ascii="Arial"/>
                <w:sz w:val="21"/>
              </w:rPr>
            </w:pPr>
          </w:p>
          <w:p w14:paraId="301E76B7">
            <w:pPr>
              <w:pStyle w:val="6"/>
              <w:spacing w:before="65" w:line="241" w:lineRule="auto"/>
              <w:ind w:left="205"/>
              <w:rPr>
                <w:sz w:val="20"/>
                <w:szCs w:val="20"/>
              </w:rPr>
            </w:pPr>
            <w:r>
              <w:rPr>
                <w:sz w:val="20"/>
                <w:szCs w:val="20"/>
              </w:rPr>
              <w:t>1</w:t>
            </w:r>
          </w:p>
        </w:tc>
        <w:tc>
          <w:tcPr>
            <w:tcW w:w="1299" w:type="dxa"/>
            <w:vMerge w:val="restart"/>
            <w:tcBorders>
              <w:bottom w:val="nil"/>
            </w:tcBorders>
            <w:vAlign w:val="top"/>
          </w:tcPr>
          <w:p w14:paraId="49B12AF6">
            <w:pPr>
              <w:spacing w:line="335" w:lineRule="auto"/>
              <w:rPr>
                <w:rFonts w:ascii="Arial"/>
                <w:color w:val="FF0000"/>
                <w:sz w:val="21"/>
              </w:rPr>
            </w:pPr>
          </w:p>
          <w:p w14:paraId="6BC006A6">
            <w:pPr>
              <w:spacing w:line="335" w:lineRule="auto"/>
              <w:rPr>
                <w:rFonts w:ascii="Arial"/>
                <w:color w:val="FF0000"/>
                <w:sz w:val="21"/>
              </w:rPr>
            </w:pPr>
          </w:p>
          <w:p w14:paraId="5852D555">
            <w:pPr>
              <w:pStyle w:val="6"/>
              <w:spacing w:before="65" w:line="217" w:lineRule="auto"/>
              <w:ind w:left="539" w:right="30" w:hanging="499"/>
              <w:rPr>
                <w:color w:val="FF0000"/>
                <w:sz w:val="20"/>
                <w:szCs w:val="20"/>
              </w:rPr>
            </w:pPr>
            <w:r>
              <w:rPr>
                <w:color w:val="FF0000"/>
                <w:spacing w:val="3"/>
                <w:sz w:val="20"/>
                <w:szCs w:val="20"/>
              </w:rPr>
              <w:t>室内消火栓系</w:t>
            </w:r>
            <w:r>
              <w:rPr>
                <w:color w:val="FF0000"/>
                <w:sz w:val="20"/>
                <w:szCs w:val="20"/>
              </w:rPr>
              <w:t>统</w:t>
            </w:r>
          </w:p>
        </w:tc>
        <w:tc>
          <w:tcPr>
            <w:tcW w:w="1399" w:type="dxa"/>
            <w:vAlign w:val="top"/>
          </w:tcPr>
          <w:p w14:paraId="7BD954FA">
            <w:pPr>
              <w:pStyle w:val="6"/>
              <w:spacing w:before="139" w:line="219" w:lineRule="auto"/>
              <w:ind w:left="291"/>
              <w:rPr>
                <w:color w:val="FF0000"/>
                <w:sz w:val="20"/>
                <w:szCs w:val="20"/>
              </w:rPr>
            </w:pPr>
            <w:r>
              <w:rPr>
                <w:color w:val="FF0000"/>
                <w:spacing w:val="2"/>
                <w:sz w:val="20"/>
                <w:szCs w:val="20"/>
              </w:rPr>
              <w:t>消防水箱</w:t>
            </w:r>
          </w:p>
        </w:tc>
        <w:tc>
          <w:tcPr>
            <w:tcW w:w="669" w:type="dxa"/>
            <w:vAlign w:val="top"/>
          </w:tcPr>
          <w:p w14:paraId="7BD6CB21">
            <w:pPr>
              <w:pStyle w:val="6"/>
              <w:spacing w:before="143" w:line="224" w:lineRule="auto"/>
              <w:ind w:left="222"/>
              <w:rPr>
                <w:color w:val="FF0000"/>
                <w:sz w:val="20"/>
                <w:szCs w:val="20"/>
              </w:rPr>
            </w:pPr>
            <w:r>
              <w:rPr>
                <w:color w:val="FF0000"/>
                <w:sz w:val="20"/>
                <w:szCs w:val="20"/>
              </w:rPr>
              <w:t>处</w:t>
            </w:r>
          </w:p>
        </w:tc>
        <w:tc>
          <w:tcPr>
            <w:tcW w:w="879" w:type="dxa"/>
            <w:vAlign w:val="top"/>
          </w:tcPr>
          <w:p w14:paraId="6A870E5E">
            <w:pPr>
              <w:pStyle w:val="6"/>
              <w:spacing w:before="159" w:line="241" w:lineRule="auto"/>
              <w:ind w:left="383"/>
              <w:rPr>
                <w:color w:val="FF0000"/>
                <w:sz w:val="20"/>
                <w:szCs w:val="20"/>
              </w:rPr>
            </w:pPr>
            <w:r>
              <w:rPr>
                <w:color w:val="FF0000"/>
                <w:sz w:val="20"/>
                <w:szCs w:val="20"/>
              </w:rPr>
              <w:t>1</w:t>
            </w:r>
          </w:p>
        </w:tc>
        <w:tc>
          <w:tcPr>
            <w:tcW w:w="1259" w:type="dxa"/>
            <w:vMerge w:val="restart"/>
            <w:tcBorders>
              <w:bottom w:val="nil"/>
            </w:tcBorders>
            <w:vAlign w:val="top"/>
          </w:tcPr>
          <w:p w14:paraId="22607F07">
            <w:pPr>
              <w:spacing w:line="283" w:lineRule="auto"/>
              <w:rPr>
                <w:rFonts w:ascii="Arial"/>
                <w:sz w:val="21"/>
              </w:rPr>
            </w:pPr>
          </w:p>
          <w:p w14:paraId="16B4898C">
            <w:pPr>
              <w:pStyle w:val="6"/>
              <w:spacing w:before="65" w:line="225" w:lineRule="auto"/>
              <w:ind w:left="524" w:right="15" w:hanging="500"/>
              <w:rPr>
                <w:sz w:val="20"/>
                <w:szCs w:val="20"/>
              </w:rPr>
            </w:pPr>
            <w:r>
              <w:rPr>
                <w:spacing w:val="1"/>
                <w:sz w:val="20"/>
                <w:szCs w:val="20"/>
              </w:rPr>
              <w:t>一体式液位设</w:t>
            </w:r>
            <w:r>
              <w:rPr>
                <w:sz w:val="20"/>
                <w:szCs w:val="20"/>
              </w:rPr>
              <w:t>备</w:t>
            </w:r>
          </w:p>
        </w:tc>
        <w:tc>
          <w:tcPr>
            <w:tcW w:w="5387" w:type="dxa"/>
            <w:vMerge w:val="restart"/>
            <w:tcBorders>
              <w:bottom w:val="nil"/>
            </w:tcBorders>
            <w:vAlign w:val="top"/>
          </w:tcPr>
          <w:p w14:paraId="038C81F4">
            <w:pPr>
              <w:pStyle w:val="6"/>
              <w:spacing w:before="89" w:line="219" w:lineRule="auto"/>
              <w:ind w:left="15"/>
              <w:rPr>
                <w:color w:val="FF0000"/>
                <w:sz w:val="20"/>
                <w:szCs w:val="20"/>
              </w:rPr>
            </w:pPr>
            <w:r>
              <w:rPr>
                <w:color w:val="FF0000"/>
                <w:sz w:val="20"/>
                <w:szCs w:val="20"/>
              </w:rPr>
              <w:t>针对消防水池或消防水箱监测深度，设备应满足如下规定：</w:t>
            </w:r>
          </w:p>
          <w:p w14:paraId="62158333">
            <w:pPr>
              <w:pStyle w:val="6"/>
              <w:spacing w:before="12" w:line="224" w:lineRule="auto"/>
              <w:ind w:left="15" w:right="81" w:firstLine="69"/>
              <w:rPr>
                <w:sz w:val="20"/>
                <w:szCs w:val="20"/>
              </w:rPr>
            </w:pPr>
            <w:r>
              <w:rPr>
                <w:color w:val="FF0000"/>
                <w:sz w:val="20"/>
                <w:szCs w:val="20"/>
              </w:rPr>
              <w:t>实时监测点位信息数值；动态更新设备状态如电量、信号强</w:t>
            </w:r>
            <w:r>
              <w:rPr>
                <w:color w:val="FF0000"/>
                <w:spacing w:val="2"/>
                <w:sz w:val="20"/>
                <w:szCs w:val="20"/>
              </w:rPr>
              <w:t>度等内容；设备故障报警、监测值超阈值报警；接入设备类</w:t>
            </w:r>
            <w:r>
              <w:rPr>
                <w:color w:val="FF0000"/>
                <w:spacing w:val="-1"/>
                <w:sz w:val="20"/>
                <w:szCs w:val="20"/>
              </w:rPr>
              <w:t>型为直连设备。</w:t>
            </w:r>
          </w:p>
        </w:tc>
        <w:tc>
          <w:tcPr>
            <w:tcW w:w="2219" w:type="dxa"/>
            <w:vAlign w:val="top"/>
          </w:tcPr>
          <w:p w14:paraId="42AA3CCA">
            <w:pPr>
              <w:pStyle w:val="6"/>
              <w:spacing w:before="139" w:line="219" w:lineRule="auto"/>
              <w:ind w:left="708"/>
              <w:rPr>
                <w:sz w:val="20"/>
                <w:szCs w:val="20"/>
              </w:rPr>
            </w:pPr>
            <w:r>
              <w:rPr>
                <w:spacing w:val="1"/>
                <w:sz w:val="20"/>
                <w:szCs w:val="20"/>
              </w:rPr>
              <w:t>高层建筑</w:t>
            </w:r>
          </w:p>
        </w:tc>
        <w:tc>
          <w:tcPr>
            <w:tcW w:w="1954" w:type="dxa"/>
            <w:vAlign w:val="top"/>
          </w:tcPr>
          <w:p w14:paraId="35660B81">
            <w:pPr>
              <w:pStyle w:val="6"/>
              <w:spacing w:before="139" w:line="219" w:lineRule="auto"/>
              <w:ind w:left="419"/>
              <w:rPr>
                <w:sz w:val="20"/>
                <w:szCs w:val="20"/>
              </w:rPr>
            </w:pPr>
            <w:r>
              <w:rPr>
                <w:spacing w:val="1"/>
                <w:sz w:val="20"/>
                <w:szCs w:val="20"/>
              </w:rPr>
              <w:t>2026年3月底</w:t>
            </w:r>
          </w:p>
        </w:tc>
      </w:tr>
      <w:tr w14:paraId="73BDD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535" w:type="dxa"/>
            <w:vMerge w:val="continue"/>
            <w:tcBorders>
              <w:top w:val="nil"/>
              <w:bottom w:val="nil"/>
            </w:tcBorders>
            <w:vAlign w:val="top"/>
          </w:tcPr>
          <w:p w14:paraId="56239A81">
            <w:pPr>
              <w:rPr>
                <w:rFonts w:ascii="Arial"/>
                <w:sz w:val="21"/>
              </w:rPr>
            </w:pPr>
          </w:p>
        </w:tc>
        <w:tc>
          <w:tcPr>
            <w:tcW w:w="1299" w:type="dxa"/>
            <w:vMerge w:val="continue"/>
            <w:tcBorders>
              <w:top w:val="nil"/>
              <w:bottom w:val="nil"/>
            </w:tcBorders>
            <w:vAlign w:val="top"/>
          </w:tcPr>
          <w:p w14:paraId="1F1E6FB9">
            <w:pPr>
              <w:rPr>
                <w:rFonts w:ascii="Arial"/>
                <w:color w:val="FF0000"/>
                <w:sz w:val="21"/>
              </w:rPr>
            </w:pPr>
          </w:p>
        </w:tc>
        <w:tc>
          <w:tcPr>
            <w:tcW w:w="1399" w:type="dxa"/>
            <w:vAlign w:val="top"/>
          </w:tcPr>
          <w:p w14:paraId="3D98948C">
            <w:pPr>
              <w:pStyle w:val="6"/>
              <w:spacing w:before="199" w:line="219" w:lineRule="auto"/>
              <w:ind w:left="291"/>
              <w:rPr>
                <w:color w:val="FF0000"/>
                <w:sz w:val="20"/>
                <w:szCs w:val="20"/>
              </w:rPr>
            </w:pPr>
            <w:r>
              <w:rPr>
                <w:color w:val="FF0000"/>
                <w:spacing w:val="2"/>
                <w:sz w:val="20"/>
                <w:szCs w:val="20"/>
              </w:rPr>
              <w:t>消防水池</w:t>
            </w:r>
          </w:p>
        </w:tc>
        <w:tc>
          <w:tcPr>
            <w:tcW w:w="669" w:type="dxa"/>
            <w:vAlign w:val="top"/>
          </w:tcPr>
          <w:p w14:paraId="20D1AED4">
            <w:pPr>
              <w:pStyle w:val="6"/>
              <w:spacing w:before="203" w:line="224" w:lineRule="auto"/>
              <w:ind w:left="222"/>
              <w:rPr>
                <w:color w:val="FF0000"/>
                <w:sz w:val="20"/>
                <w:szCs w:val="20"/>
              </w:rPr>
            </w:pPr>
            <w:r>
              <w:rPr>
                <w:color w:val="FF0000"/>
                <w:sz w:val="20"/>
                <w:szCs w:val="20"/>
              </w:rPr>
              <w:t>处</w:t>
            </w:r>
          </w:p>
        </w:tc>
        <w:tc>
          <w:tcPr>
            <w:tcW w:w="879" w:type="dxa"/>
            <w:vAlign w:val="top"/>
          </w:tcPr>
          <w:p w14:paraId="7772B7F4">
            <w:pPr>
              <w:pStyle w:val="6"/>
              <w:spacing w:before="219" w:line="241" w:lineRule="auto"/>
              <w:ind w:left="383"/>
              <w:rPr>
                <w:color w:val="FF0000"/>
                <w:sz w:val="20"/>
                <w:szCs w:val="20"/>
              </w:rPr>
            </w:pPr>
            <w:r>
              <w:rPr>
                <w:color w:val="FF0000"/>
                <w:sz w:val="20"/>
                <w:szCs w:val="20"/>
              </w:rPr>
              <w:t>1</w:t>
            </w:r>
          </w:p>
        </w:tc>
        <w:tc>
          <w:tcPr>
            <w:tcW w:w="1259" w:type="dxa"/>
            <w:vMerge w:val="continue"/>
            <w:tcBorders>
              <w:top w:val="nil"/>
            </w:tcBorders>
            <w:vAlign w:val="top"/>
          </w:tcPr>
          <w:p w14:paraId="7E1ED2BF">
            <w:pPr>
              <w:rPr>
                <w:rFonts w:ascii="Arial"/>
                <w:sz w:val="21"/>
              </w:rPr>
            </w:pPr>
          </w:p>
        </w:tc>
        <w:tc>
          <w:tcPr>
            <w:tcW w:w="5387" w:type="dxa"/>
            <w:vMerge w:val="continue"/>
            <w:tcBorders>
              <w:top w:val="nil"/>
            </w:tcBorders>
            <w:vAlign w:val="top"/>
          </w:tcPr>
          <w:p w14:paraId="17A692C2">
            <w:pPr>
              <w:rPr>
                <w:rFonts w:ascii="Arial"/>
                <w:sz w:val="21"/>
              </w:rPr>
            </w:pPr>
          </w:p>
        </w:tc>
        <w:tc>
          <w:tcPr>
            <w:tcW w:w="2219" w:type="dxa"/>
            <w:vAlign w:val="top"/>
          </w:tcPr>
          <w:p w14:paraId="521B5E23">
            <w:pPr>
              <w:pStyle w:val="6"/>
              <w:spacing w:before="199" w:line="219" w:lineRule="auto"/>
              <w:ind w:left="708"/>
              <w:rPr>
                <w:sz w:val="20"/>
                <w:szCs w:val="20"/>
              </w:rPr>
            </w:pPr>
            <w:r>
              <w:rPr>
                <w:spacing w:val="1"/>
                <w:sz w:val="20"/>
                <w:szCs w:val="20"/>
              </w:rPr>
              <w:t>高层建筑</w:t>
            </w:r>
          </w:p>
        </w:tc>
        <w:tc>
          <w:tcPr>
            <w:tcW w:w="1954" w:type="dxa"/>
            <w:vAlign w:val="top"/>
          </w:tcPr>
          <w:p w14:paraId="7CFA841F">
            <w:pPr>
              <w:pStyle w:val="6"/>
              <w:spacing w:before="199" w:line="219" w:lineRule="auto"/>
              <w:ind w:left="419"/>
              <w:rPr>
                <w:sz w:val="20"/>
                <w:szCs w:val="20"/>
              </w:rPr>
            </w:pPr>
            <w:r>
              <w:rPr>
                <w:spacing w:val="1"/>
                <w:sz w:val="20"/>
                <w:szCs w:val="20"/>
              </w:rPr>
              <w:t>2026年3月底</w:t>
            </w:r>
          </w:p>
        </w:tc>
      </w:tr>
      <w:tr w14:paraId="0201E2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535" w:type="dxa"/>
            <w:vMerge w:val="continue"/>
            <w:tcBorders>
              <w:top w:val="nil"/>
            </w:tcBorders>
            <w:vAlign w:val="top"/>
          </w:tcPr>
          <w:p w14:paraId="2D6374FC">
            <w:pPr>
              <w:rPr>
                <w:rFonts w:ascii="Arial"/>
                <w:sz w:val="21"/>
              </w:rPr>
            </w:pPr>
          </w:p>
        </w:tc>
        <w:tc>
          <w:tcPr>
            <w:tcW w:w="1299" w:type="dxa"/>
            <w:vMerge w:val="continue"/>
            <w:tcBorders>
              <w:top w:val="nil"/>
            </w:tcBorders>
            <w:vAlign w:val="top"/>
          </w:tcPr>
          <w:p w14:paraId="212ED908">
            <w:pPr>
              <w:rPr>
                <w:rFonts w:ascii="Arial"/>
                <w:color w:val="FF0000"/>
                <w:sz w:val="21"/>
              </w:rPr>
            </w:pPr>
          </w:p>
        </w:tc>
        <w:tc>
          <w:tcPr>
            <w:tcW w:w="1399" w:type="dxa"/>
            <w:vAlign w:val="top"/>
          </w:tcPr>
          <w:p w14:paraId="6F8C08BA">
            <w:pPr>
              <w:pStyle w:val="6"/>
              <w:spacing w:before="168" w:line="224" w:lineRule="auto"/>
              <w:ind w:left="190" w:right="88" w:hanging="99"/>
              <w:rPr>
                <w:color w:val="FF0000"/>
                <w:sz w:val="20"/>
                <w:szCs w:val="20"/>
              </w:rPr>
            </w:pPr>
            <w:r>
              <w:rPr>
                <w:color w:val="FF0000"/>
                <w:spacing w:val="1"/>
                <w:sz w:val="20"/>
                <w:szCs w:val="20"/>
              </w:rPr>
              <w:t>室内消火栓压</w:t>
            </w:r>
            <w:r>
              <w:rPr>
                <w:color w:val="FF0000"/>
                <w:spacing w:val="3"/>
                <w:sz w:val="20"/>
                <w:szCs w:val="20"/>
              </w:rPr>
              <w:t>力最不利点</w:t>
            </w:r>
          </w:p>
        </w:tc>
        <w:tc>
          <w:tcPr>
            <w:tcW w:w="669" w:type="dxa"/>
            <w:vAlign w:val="top"/>
          </w:tcPr>
          <w:p w14:paraId="2D08673C">
            <w:pPr>
              <w:pStyle w:val="6"/>
              <w:spacing w:before="289" w:line="219" w:lineRule="auto"/>
              <w:ind w:left="121"/>
              <w:rPr>
                <w:color w:val="FF0000"/>
                <w:sz w:val="20"/>
                <w:szCs w:val="20"/>
              </w:rPr>
            </w:pPr>
            <w:r>
              <w:rPr>
                <w:color w:val="FF0000"/>
                <w:spacing w:val="-2"/>
                <w:sz w:val="20"/>
                <w:szCs w:val="20"/>
              </w:rPr>
              <w:t>每栋</w:t>
            </w:r>
          </w:p>
        </w:tc>
        <w:tc>
          <w:tcPr>
            <w:tcW w:w="879" w:type="dxa"/>
            <w:vAlign w:val="top"/>
          </w:tcPr>
          <w:p w14:paraId="421C8A91">
            <w:pPr>
              <w:spacing w:line="242" w:lineRule="auto"/>
              <w:rPr>
                <w:rFonts w:ascii="Arial"/>
                <w:color w:val="FF0000"/>
                <w:sz w:val="21"/>
              </w:rPr>
            </w:pPr>
          </w:p>
          <w:p w14:paraId="3A7309D4">
            <w:pPr>
              <w:pStyle w:val="6"/>
              <w:spacing w:before="65" w:line="241" w:lineRule="auto"/>
              <w:ind w:left="383"/>
              <w:rPr>
                <w:color w:val="FF0000"/>
                <w:sz w:val="20"/>
                <w:szCs w:val="20"/>
              </w:rPr>
            </w:pPr>
            <w:r>
              <w:rPr>
                <w:color w:val="FF0000"/>
                <w:sz w:val="20"/>
                <w:szCs w:val="20"/>
              </w:rPr>
              <w:t>1</w:t>
            </w:r>
          </w:p>
        </w:tc>
        <w:tc>
          <w:tcPr>
            <w:tcW w:w="1259" w:type="dxa"/>
            <w:vMerge w:val="restart"/>
            <w:tcBorders>
              <w:bottom w:val="nil"/>
            </w:tcBorders>
            <w:vAlign w:val="top"/>
          </w:tcPr>
          <w:p w14:paraId="7F810423">
            <w:pPr>
              <w:spacing w:line="271" w:lineRule="auto"/>
              <w:rPr>
                <w:rFonts w:ascii="Arial"/>
                <w:sz w:val="21"/>
              </w:rPr>
            </w:pPr>
          </w:p>
          <w:p w14:paraId="6902BD97">
            <w:pPr>
              <w:spacing w:line="271" w:lineRule="auto"/>
              <w:rPr>
                <w:rFonts w:ascii="Arial"/>
                <w:sz w:val="21"/>
              </w:rPr>
            </w:pPr>
          </w:p>
          <w:p w14:paraId="3E8AD191">
            <w:pPr>
              <w:pStyle w:val="6"/>
              <w:spacing w:before="65" w:line="212" w:lineRule="auto"/>
              <w:ind w:left="524" w:right="15" w:hanging="500"/>
              <w:rPr>
                <w:sz w:val="20"/>
                <w:szCs w:val="20"/>
              </w:rPr>
            </w:pPr>
            <w:r>
              <w:rPr>
                <w:spacing w:val="1"/>
                <w:sz w:val="20"/>
                <w:szCs w:val="20"/>
              </w:rPr>
              <w:t>一体式液压设</w:t>
            </w:r>
            <w:r>
              <w:rPr>
                <w:sz w:val="20"/>
                <w:szCs w:val="20"/>
              </w:rPr>
              <w:t>备</w:t>
            </w:r>
          </w:p>
        </w:tc>
        <w:tc>
          <w:tcPr>
            <w:tcW w:w="5387" w:type="dxa"/>
            <w:vMerge w:val="restart"/>
            <w:tcBorders>
              <w:bottom w:val="nil"/>
            </w:tcBorders>
            <w:vAlign w:val="top"/>
          </w:tcPr>
          <w:p w14:paraId="5BFCB25C">
            <w:pPr>
              <w:spacing w:line="284" w:lineRule="auto"/>
              <w:rPr>
                <w:rFonts w:ascii="Arial"/>
                <w:sz w:val="21"/>
              </w:rPr>
            </w:pPr>
          </w:p>
          <w:p w14:paraId="41102487">
            <w:pPr>
              <w:pStyle w:val="6"/>
              <w:spacing w:before="65" w:line="216" w:lineRule="auto"/>
              <w:ind w:left="15" w:right="99" w:firstLine="69"/>
              <w:jc w:val="both"/>
              <w:rPr>
                <w:sz w:val="20"/>
                <w:szCs w:val="20"/>
              </w:rPr>
            </w:pPr>
            <w:r>
              <w:rPr>
                <w:color w:val="FF0000"/>
                <w:spacing w:val="-1"/>
                <w:sz w:val="20"/>
                <w:szCs w:val="20"/>
              </w:rPr>
              <w:t>针对消防管道出口点或管道最不利点进行压力监测，设备应</w:t>
            </w:r>
            <w:r>
              <w:rPr>
                <w:color w:val="FF0000"/>
                <w:spacing w:val="2"/>
                <w:sz w:val="20"/>
                <w:szCs w:val="20"/>
              </w:rPr>
              <w:t>满足如下规定；实时监测点位信息数值；动态更新设备状态</w:t>
            </w:r>
            <w:r>
              <w:rPr>
                <w:color w:val="FF0000"/>
                <w:sz w:val="20"/>
                <w:szCs w:val="20"/>
              </w:rPr>
              <w:t>如电量、信号强度等内容；设备故障报警、监测值超阈值报警；接入设备类型为直连设备。</w:t>
            </w:r>
          </w:p>
        </w:tc>
        <w:tc>
          <w:tcPr>
            <w:tcW w:w="2219" w:type="dxa"/>
            <w:vAlign w:val="top"/>
          </w:tcPr>
          <w:p w14:paraId="4F6CA33E">
            <w:pPr>
              <w:pStyle w:val="6"/>
              <w:spacing w:before="178" w:line="216" w:lineRule="auto"/>
              <w:ind w:left="78" w:right="39" w:hanging="20"/>
              <w:rPr>
                <w:sz w:val="20"/>
                <w:szCs w:val="20"/>
              </w:rPr>
            </w:pPr>
            <w:r>
              <w:rPr>
                <w:sz w:val="20"/>
                <w:szCs w:val="20"/>
              </w:rPr>
              <w:t>1、超高层、大型商业综</w:t>
            </w:r>
            <w:r>
              <w:rPr>
                <w:spacing w:val="-1"/>
                <w:sz w:val="20"/>
                <w:szCs w:val="20"/>
              </w:rPr>
              <w:t>合体；2、其他高层建筑</w:t>
            </w:r>
          </w:p>
        </w:tc>
        <w:tc>
          <w:tcPr>
            <w:tcW w:w="1954" w:type="dxa"/>
            <w:vAlign w:val="top"/>
          </w:tcPr>
          <w:p w14:paraId="1C0B139F">
            <w:pPr>
              <w:pStyle w:val="6"/>
              <w:spacing w:before="169" w:line="212" w:lineRule="auto"/>
              <w:ind w:left="119"/>
              <w:rPr>
                <w:sz w:val="20"/>
                <w:szCs w:val="20"/>
              </w:rPr>
            </w:pPr>
            <w:r>
              <w:rPr>
                <w:spacing w:val="8"/>
                <w:sz w:val="20"/>
                <w:szCs w:val="20"/>
              </w:rPr>
              <w:t>1、2025年12月底；</w:t>
            </w:r>
          </w:p>
          <w:p w14:paraId="72E98EF3">
            <w:pPr>
              <w:pStyle w:val="6"/>
              <w:spacing w:line="219" w:lineRule="auto"/>
              <w:ind w:left="269"/>
              <w:rPr>
                <w:sz w:val="20"/>
                <w:szCs w:val="20"/>
              </w:rPr>
            </w:pPr>
            <w:r>
              <w:rPr>
                <w:spacing w:val="1"/>
                <w:sz w:val="20"/>
                <w:szCs w:val="20"/>
              </w:rPr>
              <w:t>2、2026年3月底</w:t>
            </w:r>
          </w:p>
        </w:tc>
      </w:tr>
      <w:tr w14:paraId="71937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9" w:hRule="atLeast"/>
        </w:trPr>
        <w:tc>
          <w:tcPr>
            <w:tcW w:w="535" w:type="dxa"/>
            <w:vAlign w:val="top"/>
          </w:tcPr>
          <w:p w14:paraId="7EA4BC54">
            <w:pPr>
              <w:spacing w:line="263" w:lineRule="auto"/>
              <w:rPr>
                <w:rFonts w:ascii="Arial"/>
                <w:sz w:val="21"/>
              </w:rPr>
            </w:pPr>
          </w:p>
          <w:p w14:paraId="52F17C39">
            <w:pPr>
              <w:pStyle w:val="6"/>
              <w:spacing w:before="65" w:line="241" w:lineRule="auto"/>
              <w:ind w:left="205"/>
              <w:rPr>
                <w:sz w:val="20"/>
                <w:szCs w:val="20"/>
              </w:rPr>
            </w:pPr>
            <w:r>
              <w:rPr>
                <w:sz w:val="20"/>
                <w:szCs w:val="20"/>
              </w:rPr>
              <w:t>2</w:t>
            </w:r>
          </w:p>
        </w:tc>
        <w:tc>
          <w:tcPr>
            <w:tcW w:w="1299" w:type="dxa"/>
            <w:vAlign w:val="top"/>
          </w:tcPr>
          <w:p w14:paraId="41851628">
            <w:pPr>
              <w:pStyle w:val="6"/>
              <w:spacing w:before="199" w:line="226" w:lineRule="auto"/>
              <w:ind w:left="439" w:right="41" w:hanging="399"/>
              <w:rPr>
                <w:sz w:val="20"/>
                <w:szCs w:val="20"/>
              </w:rPr>
            </w:pPr>
            <w:r>
              <w:rPr>
                <w:color w:val="FF0000"/>
                <w:spacing w:val="1"/>
                <w:sz w:val="20"/>
                <w:szCs w:val="20"/>
              </w:rPr>
              <w:t>自动喷水灭火</w:t>
            </w:r>
            <w:r>
              <w:rPr>
                <w:color w:val="FF0000"/>
                <w:spacing w:val="4"/>
                <w:sz w:val="20"/>
                <w:szCs w:val="20"/>
              </w:rPr>
              <w:t>系统</w:t>
            </w:r>
          </w:p>
        </w:tc>
        <w:tc>
          <w:tcPr>
            <w:tcW w:w="1399" w:type="dxa"/>
            <w:vAlign w:val="top"/>
          </w:tcPr>
          <w:p w14:paraId="2B6EE6FB">
            <w:pPr>
              <w:pStyle w:val="6"/>
              <w:spacing w:before="199" w:line="233" w:lineRule="auto"/>
              <w:ind w:left="190" w:right="105" w:hanging="99"/>
              <w:rPr>
                <w:color w:val="FF0000"/>
                <w:sz w:val="20"/>
                <w:szCs w:val="20"/>
              </w:rPr>
            </w:pPr>
            <w:r>
              <w:rPr>
                <w:color w:val="FF0000"/>
                <w:spacing w:val="-2"/>
                <w:sz w:val="20"/>
                <w:szCs w:val="20"/>
              </w:rPr>
              <w:t>湿式报警阀末端试水装置</w:t>
            </w:r>
          </w:p>
        </w:tc>
        <w:tc>
          <w:tcPr>
            <w:tcW w:w="669" w:type="dxa"/>
            <w:vAlign w:val="top"/>
          </w:tcPr>
          <w:p w14:paraId="38D63C30">
            <w:pPr>
              <w:spacing w:line="243" w:lineRule="auto"/>
              <w:rPr>
                <w:rFonts w:ascii="Arial"/>
                <w:color w:val="FF0000"/>
                <w:sz w:val="21"/>
              </w:rPr>
            </w:pPr>
          </w:p>
          <w:p w14:paraId="29F124D8">
            <w:pPr>
              <w:pStyle w:val="6"/>
              <w:spacing w:before="65" w:line="219" w:lineRule="auto"/>
              <w:ind w:left="121"/>
              <w:rPr>
                <w:color w:val="FF0000"/>
                <w:sz w:val="20"/>
                <w:szCs w:val="20"/>
              </w:rPr>
            </w:pPr>
            <w:r>
              <w:rPr>
                <w:color w:val="FF0000"/>
                <w:spacing w:val="-2"/>
                <w:sz w:val="20"/>
                <w:szCs w:val="20"/>
              </w:rPr>
              <w:t>每组</w:t>
            </w:r>
          </w:p>
        </w:tc>
        <w:tc>
          <w:tcPr>
            <w:tcW w:w="879" w:type="dxa"/>
            <w:vAlign w:val="top"/>
          </w:tcPr>
          <w:p w14:paraId="089B9B7C">
            <w:pPr>
              <w:spacing w:line="263" w:lineRule="auto"/>
              <w:rPr>
                <w:rFonts w:ascii="Arial"/>
                <w:sz w:val="21"/>
              </w:rPr>
            </w:pPr>
          </w:p>
          <w:p w14:paraId="4B5E7E48">
            <w:pPr>
              <w:pStyle w:val="6"/>
              <w:spacing w:before="65" w:line="241" w:lineRule="auto"/>
              <w:ind w:left="383"/>
              <w:rPr>
                <w:sz w:val="20"/>
                <w:szCs w:val="20"/>
              </w:rPr>
            </w:pPr>
            <w:r>
              <w:rPr>
                <w:sz w:val="20"/>
                <w:szCs w:val="20"/>
              </w:rPr>
              <w:t>1</w:t>
            </w:r>
          </w:p>
        </w:tc>
        <w:tc>
          <w:tcPr>
            <w:tcW w:w="1259" w:type="dxa"/>
            <w:vMerge w:val="continue"/>
            <w:tcBorders>
              <w:top w:val="nil"/>
            </w:tcBorders>
            <w:vAlign w:val="top"/>
          </w:tcPr>
          <w:p w14:paraId="3AF480A1">
            <w:pPr>
              <w:rPr>
                <w:rFonts w:ascii="Arial"/>
                <w:sz w:val="21"/>
              </w:rPr>
            </w:pPr>
          </w:p>
        </w:tc>
        <w:tc>
          <w:tcPr>
            <w:tcW w:w="5387" w:type="dxa"/>
            <w:vMerge w:val="continue"/>
            <w:tcBorders>
              <w:top w:val="nil"/>
            </w:tcBorders>
            <w:vAlign w:val="top"/>
          </w:tcPr>
          <w:p w14:paraId="343CDBB6">
            <w:pPr>
              <w:rPr>
                <w:rFonts w:ascii="Arial"/>
                <w:sz w:val="21"/>
              </w:rPr>
            </w:pPr>
          </w:p>
        </w:tc>
        <w:tc>
          <w:tcPr>
            <w:tcW w:w="2219" w:type="dxa"/>
            <w:vAlign w:val="top"/>
          </w:tcPr>
          <w:p w14:paraId="4382FD36">
            <w:pPr>
              <w:pStyle w:val="6"/>
              <w:spacing w:before="60" w:line="219" w:lineRule="auto"/>
              <w:ind w:left="108"/>
              <w:rPr>
                <w:sz w:val="20"/>
                <w:szCs w:val="20"/>
              </w:rPr>
            </w:pPr>
            <w:r>
              <w:rPr>
                <w:spacing w:val="-1"/>
                <w:sz w:val="20"/>
                <w:szCs w:val="20"/>
              </w:rPr>
              <w:t>超高层、大型商业综合</w:t>
            </w:r>
          </w:p>
          <w:p w14:paraId="0672DBD1">
            <w:pPr>
              <w:pStyle w:val="6"/>
              <w:spacing w:before="2" w:line="219" w:lineRule="auto"/>
              <w:ind w:left="108"/>
              <w:rPr>
                <w:sz w:val="20"/>
                <w:szCs w:val="20"/>
              </w:rPr>
            </w:pPr>
            <w:r>
              <w:rPr>
                <w:spacing w:val="-1"/>
                <w:sz w:val="20"/>
                <w:szCs w:val="20"/>
              </w:rPr>
              <w:t>体、高层公共建筑、高</w:t>
            </w:r>
          </w:p>
          <w:p w14:paraId="305469E5">
            <w:pPr>
              <w:pStyle w:val="6"/>
              <w:spacing w:before="12" w:line="219" w:lineRule="auto"/>
              <w:ind w:left="608"/>
              <w:rPr>
                <w:sz w:val="20"/>
                <w:szCs w:val="20"/>
              </w:rPr>
            </w:pPr>
            <w:r>
              <w:rPr>
                <w:spacing w:val="-2"/>
                <w:sz w:val="20"/>
                <w:szCs w:val="20"/>
              </w:rPr>
              <w:t>层工业建筑</w:t>
            </w:r>
          </w:p>
        </w:tc>
        <w:tc>
          <w:tcPr>
            <w:tcW w:w="1954" w:type="dxa"/>
            <w:vAlign w:val="top"/>
          </w:tcPr>
          <w:p w14:paraId="06C649C6">
            <w:pPr>
              <w:spacing w:line="243" w:lineRule="auto"/>
              <w:rPr>
                <w:rFonts w:ascii="Arial"/>
                <w:sz w:val="21"/>
              </w:rPr>
            </w:pPr>
          </w:p>
          <w:p w14:paraId="552BF14B">
            <w:pPr>
              <w:pStyle w:val="6"/>
              <w:spacing w:before="65" w:line="219" w:lineRule="auto"/>
              <w:ind w:left="419"/>
              <w:rPr>
                <w:sz w:val="20"/>
                <w:szCs w:val="20"/>
              </w:rPr>
            </w:pPr>
            <w:r>
              <w:rPr>
                <w:spacing w:val="1"/>
                <w:sz w:val="20"/>
                <w:szCs w:val="20"/>
              </w:rPr>
              <w:t>2026年3月底</w:t>
            </w:r>
          </w:p>
        </w:tc>
      </w:tr>
      <w:tr w14:paraId="6F617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9" w:hRule="atLeast"/>
        </w:trPr>
        <w:tc>
          <w:tcPr>
            <w:tcW w:w="535" w:type="dxa"/>
            <w:vAlign w:val="top"/>
          </w:tcPr>
          <w:p w14:paraId="31636B46">
            <w:pPr>
              <w:spacing w:line="383" w:lineRule="auto"/>
              <w:rPr>
                <w:rFonts w:ascii="Arial"/>
                <w:sz w:val="21"/>
              </w:rPr>
            </w:pPr>
          </w:p>
          <w:p w14:paraId="78AB45F5">
            <w:pPr>
              <w:pStyle w:val="6"/>
              <w:spacing w:before="65"/>
              <w:ind w:left="205"/>
              <w:rPr>
                <w:sz w:val="20"/>
                <w:szCs w:val="20"/>
              </w:rPr>
            </w:pPr>
            <w:r>
              <w:rPr>
                <w:sz w:val="20"/>
                <w:szCs w:val="20"/>
              </w:rPr>
              <w:t>3</w:t>
            </w:r>
          </w:p>
        </w:tc>
        <w:tc>
          <w:tcPr>
            <w:tcW w:w="1299" w:type="dxa"/>
            <w:vAlign w:val="top"/>
          </w:tcPr>
          <w:p w14:paraId="51540664">
            <w:pPr>
              <w:spacing w:line="264" w:lineRule="auto"/>
              <w:rPr>
                <w:rFonts w:ascii="Arial"/>
                <w:sz w:val="21"/>
              </w:rPr>
            </w:pPr>
          </w:p>
          <w:p w14:paraId="6C4B9BA7">
            <w:pPr>
              <w:pStyle w:val="6"/>
              <w:spacing w:before="65" w:line="219" w:lineRule="auto"/>
              <w:ind w:left="40"/>
              <w:rPr>
                <w:sz w:val="20"/>
                <w:szCs w:val="20"/>
              </w:rPr>
            </w:pPr>
            <w:r>
              <w:rPr>
                <w:spacing w:val="-2"/>
                <w:sz w:val="20"/>
                <w:szCs w:val="20"/>
              </w:rPr>
              <w:t>火灾自动报警</w:t>
            </w:r>
          </w:p>
          <w:p w14:paraId="77793595">
            <w:pPr>
              <w:pStyle w:val="6"/>
              <w:spacing w:before="13" w:line="221" w:lineRule="auto"/>
              <w:ind w:left="440"/>
              <w:rPr>
                <w:sz w:val="20"/>
                <w:szCs w:val="20"/>
              </w:rPr>
            </w:pPr>
            <w:r>
              <w:rPr>
                <w:spacing w:val="4"/>
                <w:sz w:val="20"/>
                <w:szCs w:val="20"/>
              </w:rPr>
              <w:t>系统</w:t>
            </w:r>
          </w:p>
        </w:tc>
        <w:tc>
          <w:tcPr>
            <w:tcW w:w="1399" w:type="dxa"/>
            <w:vAlign w:val="top"/>
          </w:tcPr>
          <w:p w14:paraId="7D88BA37">
            <w:pPr>
              <w:spacing w:line="362" w:lineRule="auto"/>
              <w:rPr>
                <w:rFonts w:ascii="Arial"/>
                <w:sz w:val="21"/>
              </w:rPr>
            </w:pPr>
          </w:p>
          <w:p w14:paraId="6EBF2D1E">
            <w:pPr>
              <w:pStyle w:val="6"/>
              <w:spacing w:before="65" w:line="219" w:lineRule="auto"/>
              <w:ind w:left="91"/>
              <w:rPr>
                <w:sz w:val="20"/>
                <w:szCs w:val="20"/>
              </w:rPr>
            </w:pPr>
            <w:r>
              <w:rPr>
                <w:spacing w:val="-2"/>
                <w:sz w:val="20"/>
                <w:szCs w:val="20"/>
              </w:rPr>
              <w:t>消防报警主机</w:t>
            </w:r>
          </w:p>
        </w:tc>
        <w:tc>
          <w:tcPr>
            <w:tcW w:w="669" w:type="dxa"/>
            <w:vAlign w:val="top"/>
          </w:tcPr>
          <w:p w14:paraId="0840CC6C">
            <w:pPr>
              <w:spacing w:line="366" w:lineRule="auto"/>
              <w:rPr>
                <w:rFonts w:ascii="Arial"/>
                <w:sz w:val="21"/>
              </w:rPr>
            </w:pPr>
          </w:p>
          <w:p w14:paraId="6B213AE7">
            <w:pPr>
              <w:pStyle w:val="6"/>
              <w:spacing w:before="65" w:line="221" w:lineRule="auto"/>
              <w:ind w:left="222"/>
              <w:rPr>
                <w:sz w:val="20"/>
                <w:szCs w:val="20"/>
              </w:rPr>
            </w:pPr>
            <w:r>
              <w:rPr>
                <w:sz w:val="20"/>
                <w:szCs w:val="20"/>
              </w:rPr>
              <w:t>台</w:t>
            </w:r>
          </w:p>
        </w:tc>
        <w:tc>
          <w:tcPr>
            <w:tcW w:w="879" w:type="dxa"/>
            <w:vAlign w:val="top"/>
          </w:tcPr>
          <w:p w14:paraId="55759A85">
            <w:pPr>
              <w:spacing w:line="383" w:lineRule="auto"/>
              <w:rPr>
                <w:rFonts w:ascii="Arial"/>
                <w:sz w:val="21"/>
              </w:rPr>
            </w:pPr>
          </w:p>
          <w:p w14:paraId="5CD6560F">
            <w:pPr>
              <w:pStyle w:val="6"/>
              <w:spacing w:before="65" w:line="241" w:lineRule="auto"/>
              <w:ind w:left="383"/>
              <w:rPr>
                <w:sz w:val="20"/>
                <w:szCs w:val="20"/>
              </w:rPr>
            </w:pPr>
            <w:r>
              <w:rPr>
                <w:sz w:val="20"/>
                <w:szCs w:val="20"/>
              </w:rPr>
              <w:t>1</w:t>
            </w:r>
          </w:p>
        </w:tc>
        <w:tc>
          <w:tcPr>
            <w:tcW w:w="1259" w:type="dxa"/>
            <w:vAlign w:val="top"/>
          </w:tcPr>
          <w:p w14:paraId="28ECC34F">
            <w:pPr>
              <w:spacing w:line="263" w:lineRule="auto"/>
              <w:rPr>
                <w:rFonts w:ascii="Arial"/>
                <w:sz w:val="21"/>
              </w:rPr>
            </w:pPr>
          </w:p>
          <w:p w14:paraId="7660703B">
            <w:pPr>
              <w:pStyle w:val="6"/>
              <w:spacing w:before="65" w:line="217" w:lineRule="auto"/>
              <w:ind w:left="454" w:right="34" w:hanging="430"/>
              <w:rPr>
                <w:sz w:val="20"/>
                <w:szCs w:val="20"/>
              </w:rPr>
            </w:pPr>
            <w:r>
              <w:rPr>
                <w:spacing w:val="-2"/>
                <w:sz w:val="20"/>
                <w:szCs w:val="20"/>
              </w:rPr>
              <w:t>用户信息传输装置</w:t>
            </w:r>
          </w:p>
        </w:tc>
        <w:tc>
          <w:tcPr>
            <w:tcW w:w="5387" w:type="dxa"/>
            <w:vAlign w:val="top"/>
          </w:tcPr>
          <w:p w14:paraId="5C54C500">
            <w:pPr>
              <w:pStyle w:val="6"/>
              <w:spacing w:before="68" w:line="224" w:lineRule="auto"/>
              <w:ind w:left="15" w:right="67" w:firstLine="69"/>
              <w:jc w:val="both"/>
              <w:rPr>
                <w:sz w:val="20"/>
                <w:szCs w:val="20"/>
              </w:rPr>
            </w:pPr>
            <w:r>
              <w:rPr>
                <w:spacing w:val="1"/>
                <w:sz w:val="20"/>
                <w:szCs w:val="20"/>
              </w:rPr>
              <w:t>用户信息传输装置关联火灾报警主机，应采集如下信</w:t>
            </w:r>
            <w:r>
              <w:rPr>
                <w:sz w:val="20"/>
                <w:szCs w:val="20"/>
              </w:rPr>
              <w:t>息：用</w:t>
            </w:r>
            <w:r>
              <w:rPr>
                <w:spacing w:val="3"/>
                <w:sz w:val="20"/>
                <w:szCs w:val="20"/>
              </w:rPr>
              <w:t>户信息传输装置的状态信息；火灾报警主机的状态信息；相关监测点位故障报警信息、火警报警信息；接入设备类型为</w:t>
            </w:r>
            <w:r>
              <w:rPr>
                <w:sz w:val="20"/>
                <w:szCs w:val="20"/>
              </w:rPr>
              <w:t>网关设备。</w:t>
            </w:r>
          </w:p>
        </w:tc>
        <w:tc>
          <w:tcPr>
            <w:tcW w:w="2219" w:type="dxa"/>
            <w:vAlign w:val="top"/>
          </w:tcPr>
          <w:p w14:paraId="1F11D111">
            <w:pPr>
              <w:spacing w:line="253" w:lineRule="auto"/>
              <w:rPr>
                <w:rFonts w:ascii="Arial"/>
                <w:sz w:val="21"/>
              </w:rPr>
            </w:pPr>
          </w:p>
          <w:p w14:paraId="6B79A44D">
            <w:pPr>
              <w:pStyle w:val="6"/>
              <w:spacing w:before="65" w:line="224" w:lineRule="auto"/>
              <w:ind w:left="608" w:right="110" w:hanging="500"/>
              <w:rPr>
                <w:sz w:val="20"/>
                <w:szCs w:val="20"/>
              </w:rPr>
            </w:pPr>
            <w:r>
              <w:rPr>
                <w:spacing w:val="-1"/>
                <w:sz w:val="20"/>
                <w:szCs w:val="20"/>
              </w:rPr>
              <w:t>火灾自动报警系统完好</w:t>
            </w:r>
            <w:r>
              <w:rPr>
                <w:spacing w:val="1"/>
                <w:sz w:val="20"/>
                <w:szCs w:val="20"/>
              </w:rPr>
              <w:t>的高层建筑</w:t>
            </w:r>
          </w:p>
        </w:tc>
        <w:tc>
          <w:tcPr>
            <w:tcW w:w="1954" w:type="dxa"/>
            <w:vAlign w:val="top"/>
          </w:tcPr>
          <w:p w14:paraId="166F41FC">
            <w:pPr>
              <w:spacing w:line="364" w:lineRule="auto"/>
              <w:rPr>
                <w:rFonts w:ascii="Arial"/>
                <w:sz w:val="21"/>
              </w:rPr>
            </w:pPr>
          </w:p>
          <w:p w14:paraId="33B4B4EA">
            <w:pPr>
              <w:pStyle w:val="6"/>
              <w:spacing w:before="65" w:line="219" w:lineRule="auto"/>
              <w:ind w:left="419"/>
              <w:rPr>
                <w:sz w:val="20"/>
                <w:szCs w:val="20"/>
              </w:rPr>
            </w:pPr>
            <w:r>
              <w:rPr>
                <w:spacing w:val="1"/>
                <w:sz w:val="20"/>
                <w:szCs w:val="20"/>
              </w:rPr>
              <w:t>2026年6月底</w:t>
            </w:r>
          </w:p>
        </w:tc>
      </w:tr>
      <w:tr w14:paraId="6D163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8" w:hRule="atLeast"/>
        </w:trPr>
        <w:tc>
          <w:tcPr>
            <w:tcW w:w="535" w:type="dxa"/>
            <w:vAlign w:val="top"/>
          </w:tcPr>
          <w:p w14:paraId="5E542E4F">
            <w:pPr>
              <w:spacing w:line="260" w:lineRule="auto"/>
              <w:rPr>
                <w:rFonts w:ascii="Arial"/>
                <w:sz w:val="21"/>
              </w:rPr>
            </w:pPr>
          </w:p>
          <w:p w14:paraId="36960893">
            <w:pPr>
              <w:spacing w:line="261" w:lineRule="auto"/>
              <w:rPr>
                <w:rFonts w:ascii="Arial"/>
                <w:sz w:val="21"/>
              </w:rPr>
            </w:pPr>
          </w:p>
          <w:p w14:paraId="7CE1B936">
            <w:pPr>
              <w:spacing w:line="261" w:lineRule="auto"/>
              <w:rPr>
                <w:rFonts w:ascii="Arial"/>
                <w:sz w:val="21"/>
              </w:rPr>
            </w:pPr>
          </w:p>
          <w:p w14:paraId="22C86117">
            <w:pPr>
              <w:pStyle w:val="6"/>
              <w:spacing w:before="65" w:line="241" w:lineRule="auto"/>
              <w:ind w:left="205"/>
              <w:rPr>
                <w:sz w:val="20"/>
                <w:szCs w:val="20"/>
              </w:rPr>
            </w:pPr>
            <w:r>
              <w:rPr>
                <w:sz w:val="20"/>
                <w:szCs w:val="20"/>
              </w:rPr>
              <w:t>4</w:t>
            </w:r>
          </w:p>
        </w:tc>
        <w:tc>
          <w:tcPr>
            <w:tcW w:w="1299" w:type="dxa"/>
            <w:vAlign w:val="top"/>
          </w:tcPr>
          <w:p w14:paraId="0BADD0AC">
            <w:pPr>
              <w:spacing w:line="316" w:lineRule="auto"/>
              <w:rPr>
                <w:rFonts w:ascii="Arial"/>
                <w:sz w:val="21"/>
              </w:rPr>
            </w:pPr>
          </w:p>
          <w:p w14:paraId="68ECF2D3">
            <w:pPr>
              <w:spacing w:line="317" w:lineRule="auto"/>
              <w:rPr>
                <w:rFonts w:ascii="Arial"/>
                <w:sz w:val="21"/>
              </w:rPr>
            </w:pPr>
          </w:p>
          <w:p w14:paraId="5EF6928C">
            <w:pPr>
              <w:pStyle w:val="6"/>
              <w:spacing w:before="65" w:line="220" w:lineRule="auto"/>
              <w:ind w:left="240"/>
              <w:rPr>
                <w:sz w:val="20"/>
                <w:szCs w:val="20"/>
              </w:rPr>
            </w:pPr>
            <w:r>
              <w:rPr>
                <w:spacing w:val="-2"/>
                <w:sz w:val="20"/>
                <w:szCs w:val="20"/>
              </w:rPr>
              <w:t>视频监控</w:t>
            </w:r>
          </w:p>
          <w:p w14:paraId="7B594760">
            <w:pPr>
              <w:pStyle w:val="6"/>
              <w:spacing w:before="21" w:line="219" w:lineRule="auto"/>
              <w:ind w:left="140"/>
              <w:rPr>
                <w:sz w:val="20"/>
                <w:szCs w:val="20"/>
              </w:rPr>
            </w:pPr>
            <w:r>
              <w:rPr>
                <w:spacing w:val="7"/>
                <w:sz w:val="20"/>
                <w:szCs w:val="20"/>
              </w:rPr>
              <w:t>(消防车道)</w:t>
            </w:r>
          </w:p>
        </w:tc>
        <w:tc>
          <w:tcPr>
            <w:tcW w:w="1399" w:type="dxa"/>
            <w:vAlign w:val="top"/>
          </w:tcPr>
          <w:p w14:paraId="2A9E6372">
            <w:pPr>
              <w:spacing w:line="321" w:lineRule="auto"/>
              <w:rPr>
                <w:rFonts w:ascii="Arial"/>
                <w:sz w:val="21"/>
              </w:rPr>
            </w:pPr>
          </w:p>
          <w:p w14:paraId="7C9A26D8">
            <w:pPr>
              <w:spacing w:line="321" w:lineRule="auto"/>
              <w:rPr>
                <w:rFonts w:ascii="Arial"/>
                <w:sz w:val="21"/>
              </w:rPr>
            </w:pPr>
          </w:p>
          <w:p w14:paraId="28BADB60">
            <w:pPr>
              <w:pStyle w:val="6"/>
              <w:spacing w:before="65" w:line="233" w:lineRule="auto"/>
              <w:ind w:left="390" w:right="81" w:hanging="99"/>
              <w:rPr>
                <w:sz w:val="20"/>
                <w:szCs w:val="20"/>
              </w:rPr>
            </w:pPr>
            <w:r>
              <w:rPr>
                <w:spacing w:val="3"/>
                <w:sz w:val="20"/>
                <w:szCs w:val="20"/>
              </w:rPr>
              <w:t>消防车易占</w:t>
            </w:r>
            <w:r>
              <w:rPr>
                <w:spacing w:val="-2"/>
                <w:sz w:val="20"/>
                <w:szCs w:val="20"/>
              </w:rPr>
              <w:t>堵路段</w:t>
            </w:r>
          </w:p>
        </w:tc>
        <w:tc>
          <w:tcPr>
            <w:tcW w:w="669" w:type="dxa"/>
            <w:vAlign w:val="top"/>
          </w:tcPr>
          <w:p w14:paraId="08196314">
            <w:pPr>
              <w:spacing w:line="254" w:lineRule="auto"/>
              <w:rPr>
                <w:rFonts w:ascii="Arial"/>
                <w:sz w:val="21"/>
              </w:rPr>
            </w:pPr>
          </w:p>
          <w:p w14:paraId="1B3FEC9D">
            <w:pPr>
              <w:spacing w:line="254" w:lineRule="auto"/>
              <w:rPr>
                <w:rFonts w:ascii="Arial"/>
                <w:sz w:val="21"/>
              </w:rPr>
            </w:pPr>
          </w:p>
          <w:p w14:paraId="125113A5">
            <w:pPr>
              <w:spacing w:line="254" w:lineRule="auto"/>
              <w:rPr>
                <w:rFonts w:ascii="Arial"/>
                <w:sz w:val="21"/>
              </w:rPr>
            </w:pPr>
          </w:p>
          <w:p w14:paraId="4F218CDA">
            <w:pPr>
              <w:pStyle w:val="6"/>
              <w:spacing w:before="65" w:line="219" w:lineRule="auto"/>
              <w:ind w:left="222"/>
              <w:rPr>
                <w:sz w:val="20"/>
                <w:szCs w:val="20"/>
              </w:rPr>
            </w:pPr>
            <w:r>
              <w:rPr>
                <w:sz w:val="20"/>
                <w:szCs w:val="20"/>
              </w:rPr>
              <w:t>个</w:t>
            </w:r>
          </w:p>
        </w:tc>
        <w:tc>
          <w:tcPr>
            <w:tcW w:w="879" w:type="dxa"/>
            <w:vAlign w:val="top"/>
          </w:tcPr>
          <w:p w14:paraId="0AB03607">
            <w:pPr>
              <w:spacing w:line="260" w:lineRule="auto"/>
              <w:rPr>
                <w:rFonts w:ascii="Arial"/>
                <w:sz w:val="21"/>
              </w:rPr>
            </w:pPr>
          </w:p>
          <w:p w14:paraId="58B2C263">
            <w:pPr>
              <w:spacing w:line="261" w:lineRule="auto"/>
              <w:rPr>
                <w:rFonts w:ascii="Arial"/>
                <w:sz w:val="21"/>
              </w:rPr>
            </w:pPr>
          </w:p>
          <w:p w14:paraId="045D2B82">
            <w:pPr>
              <w:spacing w:line="261" w:lineRule="auto"/>
              <w:rPr>
                <w:rFonts w:ascii="Arial"/>
                <w:sz w:val="21"/>
              </w:rPr>
            </w:pPr>
          </w:p>
          <w:p w14:paraId="1A3FCE97">
            <w:pPr>
              <w:pStyle w:val="6"/>
              <w:spacing w:before="65" w:line="241" w:lineRule="auto"/>
              <w:ind w:left="383"/>
              <w:rPr>
                <w:sz w:val="20"/>
                <w:szCs w:val="20"/>
              </w:rPr>
            </w:pPr>
            <w:r>
              <w:rPr>
                <w:sz w:val="20"/>
                <w:szCs w:val="20"/>
              </w:rPr>
              <w:t>1</w:t>
            </w:r>
          </w:p>
        </w:tc>
        <w:tc>
          <w:tcPr>
            <w:tcW w:w="1259" w:type="dxa"/>
            <w:vAlign w:val="top"/>
          </w:tcPr>
          <w:p w14:paraId="120D023E">
            <w:pPr>
              <w:spacing w:line="254" w:lineRule="auto"/>
              <w:rPr>
                <w:rFonts w:ascii="Arial"/>
                <w:sz w:val="21"/>
              </w:rPr>
            </w:pPr>
          </w:p>
          <w:p w14:paraId="382D1AD1">
            <w:pPr>
              <w:spacing w:line="254" w:lineRule="auto"/>
              <w:rPr>
                <w:rFonts w:ascii="Arial"/>
                <w:sz w:val="21"/>
              </w:rPr>
            </w:pPr>
          </w:p>
          <w:p w14:paraId="3CB941F9">
            <w:pPr>
              <w:spacing w:line="255" w:lineRule="auto"/>
              <w:rPr>
                <w:rFonts w:ascii="Arial"/>
                <w:sz w:val="21"/>
              </w:rPr>
            </w:pPr>
          </w:p>
          <w:p w14:paraId="67A484CD">
            <w:pPr>
              <w:pStyle w:val="6"/>
              <w:spacing w:before="65" w:line="220" w:lineRule="auto"/>
              <w:ind w:left="24"/>
              <w:rPr>
                <w:sz w:val="20"/>
                <w:szCs w:val="20"/>
              </w:rPr>
            </w:pPr>
            <w:r>
              <w:rPr>
                <w:spacing w:val="-2"/>
                <w:sz w:val="20"/>
                <w:szCs w:val="20"/>
              </w:rPr>
              <w:t>消防通道视频</w:t>
            </w:r>
          </w:p>
        </w:tc>
        <w:tc>
          <w:tcPr>
            <w:tcW w:w="5387" w:type="dxa"/>
            <w:vAlign w:val="top"/>
          </w:tcPr>
          <w:p w14:paraId="3D5E2314">
            <w:pPr>
              <w:pStyle w:val="6"/>
              <w:spacing w:before="122" w:line="219" w:lineRule="auto"/>
              <w:ind w:left="15" w:firstLine="19"/>
              <w:rPr>
                <w:sz w:val="20"/>
                <w:szCs w:val="20"/>
              </w:rPr>
            </w:pPr>
            <w:r>
              <w:rPr>
                <w:spacing w:val="-1"/>
                <w:sz w:val="20"/>
                <w:szCs w:val="20"/>
              </w:rPr>
              <w:t>视频监控系统功能、技术应满足GB/T28181-2022的相关规</w:t>
            </w:r>
            <w:r>
              <w:rPr>
                <w:spacing w:val="2"/>
                <w:sz w:val="20"/>
                <w:szCs w:val="20"/>
              </w:rPr>
              <w:t>定，并满足如下规定：视频设备可向上级推送安装单位、建筑、经纬度、位置、设备</w:t>
            </w:r>
            <w:r>
              <w:rPr>
                <w:sz w:val="20"/>
                <w:szCs w:val="20"/>
              </w:rPr>
              <w:t>ID</w:t>
            </w:r>
            <w:r>
              <w:rPr>
                <w:spacing w:val="2"/>
                <w:sz w:val="20"/>
                <w:szCs w:val="20"/>
              </w:rPr>
              <w:t>、设备名称、型号等相关基础数</w:t>
            </w:r>
            <w:r>
              <w:rPr>
                <w:spacing w:val="1"/>
                <w:sz w:val="20"/>
                <w:szCs w:val="20"/>
              </w:rPr>
              <w:t>据；视频设备安放在消防通道处，带前端算法功能，可监测</w:t>
            </w:r>
            <w:r>
              <w:rPr>
                <w:spacing w:val="6"/>
                <w:sz w:val="20"/>
                <w:szCs w:val="20"/>
              </w:rPr>
              <w:t>车辆停放、杂物停放等动作，并可根据不同状态发出报警；</w:t>
            </w:r>
            <w:r>
              <w:rPr>
                <w:sz w:val="20"/>
                <w:szCs w:val="20"/>
              </w:rPr>
              <w:t>视频设备安装在建筑群重要地点并可实时监</w:t>
            </w:r>
            <w:r>
              <w:rPr>
                <w:spacing w:val="-1"/>
                <w:sz w:val="20"/>
                <w:szCs w:val="20"/>
              </w:rPr>
              <w:t>测现场信息；接入设备类型为视频设备。</w:t>
            </w:r>
          </w:p>
        </w:tc>
        <w:tc>
          <w:tcPr>
            <w:tcW w:w="2219" w:type="dxa"/>
            <w:vAlign w:val="top"/>
          </w:tcPr>
          <w:p w14:paraId="75AC5161">
            <w:pPr>
              <w:spacing w:line="267" w:lineRule="auto"/>
              <w:rPr>
                <w:rFonts w:ascii="Arial"/>
                <w:sz w:val="21"/>
              </w:rPr>
            </w:pPr>
          </w:p>
          <w:p w14:paraId="0C096DD9">
            <w:pPr>
              <w:spacing w:line="267" w:lineRule="auto"/>
              <w:rPr>
                <w:rFonts w:ascii="Arial"/>
                <w:sz w:val="21"/>
              </w:rPr>
            </w:pPr>
          </w:p>
          <w:p w14:paraId="23641F5B">
            <w:pPr>
              <w:pStyle w:val="6"/>
              <w:spacing w:before="65" w:line="219" w:lineRule="auto"/>
              <w:ind w:left="108"/>
              <w:rPr>
                <w:sz w:val="20"/>
                <w:szCs w:val="20"/>
              </w:rPr>
            </w:pPr>
            <w:r>
              <w:rPr>
                <w:spacing w:val="-1"/>
                <w:sz w:val="20"/>
                <w:szCs w:val="20"/>
              </w:rPr>
              <w:t>存在消防车通道易占堵</w:t>
            </w:r>
          </w:p>
          <w:p w14:paraId="13478142">
            <w:pPr>
              <w:pStyle w:val="6"/>
              <w:spacing w:before="2" w:line="212" w:lineRule="auto"/>
              <w:ind w:left="108"/>
              <w:rPr>
                <w:sz w:val="20"/>
                <w:szCs w:val="20"/>
              </w:rPr>
            </w:pPr>
            <w:r>
              <w:rPr>
                <w:sz w:val="20"/>
                <w:szCs w:val="20"/>
              </w:rPr>
              <w:t>的高层建筑及消防车道</w:t>
            </w:r>
          </w:p>
          <w:p w14:paraId="10CD7CAC">
            <w:pPr>
              <w:pStyle w:val="6"/>
              <w:spacing w:line="219" w:lineRule="auto"/>
              <w:ind w:left="328"/>
              <w:rPr>
                <w:sz w:val="20"/>
                <w:szCs w:val="20"/>
              </w:rPr>
            </w:pPr>
            <w:r>
              <w:rPr>
                <w:spacing w:val="-1"/>
                <w:sz w:val="20"/>
                <w:szCs w:val="20"/>
              </w:rPr>
              <w:t>开放式管理的建筑</w:t>
            </w:r>
          </w:p>
        </w:tc>
        <w:tc>
          <w:tcPr>
            <w:tcW w:w="1954" w:type="dxa"/>
            <w:vAlign w:val="top"/>
          </w:tcPr>
          <w:p w14:paraId="458DD987">
            <w:pPr>
              <w:spacing w:line="254" w:lineRule="auto"/>
              <w:rPr>
                <w:rFonts w:ascii="Arial"/>
                <w:sz w:val="21"/>
              </w:rPr>
            </w:pPr>
          </w:p>
          <w:p w14:paraId="3E2ED9F9">
            <w:pPr>
              <w:spacing w:line="254" w:lineRule="auto"/>
              <w:rPr>
                <w:rFonts w:ascii="Arial"/>
                <w:sz w:val="21"/>
              </w:rPr>
            </w:pPr>
          </w:p>
          <w:p w14:paraId="5B8B498E">
            <w:pPr>
              <w:spacing w:line="254" w:lineRule="auto"/>
              <w:rPr>
                <w:rFonts w:ascii="Arial"/>
                <w:sz w:val="21"/>
              </w:rPr>
            </w:pPr>
          </w:p>
          <w:p w14:paraId="4B97DA35">
            <w:pPr>
              <w:pStyle w:val="6"/>
              <w:spacing w:before="65" w:line="219" w:lineRule="auto"/>
              <w:ind w:left="419"/>
              <w:rPr>
                <w:sz w:val="20"/>
                <w:szCs w:val="20"/>
              </w:rPr>
            </w:pPr>
            <w:r>
              <w:rPr>
                <w:spacing w:val="1"/>
                <w:sz w:val="20"/>
                <w:szCs w:val="20"/>
              </w:rPr>
              <w:t>2026年9月底</w:t>
            </w:r>
          </w:p>
        </w:tc>
      </w:tr>
      <w:tr w14:paraId="60C80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8" w:hRule="atLeast"/>
        </w:trPr>
        <w:tc>
          <w:tcPr>
            <w:tcW w:w="535" w:type="dxa"/>
            <w:vAlign w:val="top"/>
          </w:tcPr>
          <w:p w14:paraId="5E63AE8F">
            <w:pPr>
              <w:spacing w:line="274" w:lineRule="auto"/>
              <w:rPr>
                <w:rFonts w:ascii="Arial"/>
                <w:sz w:val="21"/>
              </w:rPr>
            </w:pPr>
          </w:p>
          <w:p w14:paraId="25A7666D">
            <w:pPr>
              <w:spacing w:line="274" w:lineRule="auto"/>
              <w:rPr>
                <w:rFonts w:ascii="Arial"/>
                <w:sz w:val="21"/>
              </w:rPr>
            </w:pPr>
          </w:p>
          <w:p w14:paraId="0B8E586E">
            <w:pPr>
              <w:spacing w:line="275" w:lineRule="auto"/>
              <w:rPr>
                <w:rFonts w:ascii="Arial"/>
                <w:sz w:val="21"/>
              </w:rPr>
            </w:pPr>
          </w:p>
          <w:p w14:paraId="3447E771">
            <w:pPr>
              <w:pStyle w:val="6"/>
              <w:spacing w:before="65"/>
              <w:ind w:left="205"/>
              <w:rPr>
                <w:sz w:val="20"/>
                <w:szCs w:val="20"/>
              </w:rPr>
            </w:pPr>
            <w:r>
              <w:rPr>
                <w:sz w:val="20"/>
                <w:szCs w:val="20"/>
              </w:rPr>
              <w:t>5</w:t>
            </w:r>
          </w:p>
        </w:tc>
        <w:tc>
          <w:tcPr>
            <w:tcW w:w="1299" w:type="dxa"/>
            <w:vAlign w:val="top"/>
          </w:tcPr>
          <w:p w14:paraId="221EB7D5">
            <w:pPr>
              <w:spacing w:line="288" w:lineRule="auto"/>
              <w:rPr>
                <w:rFonts w:ascii="Arial"/>
                <w:sz w:val="21"/>
              </w:rPr>
            </w:pPr>
          </w:p>
          <w:p w14:paraId="46157887">
            <w:pPr>
              <w:spacing w:line="288" w:lineRule="auto"/>
              <w:rPr>
                <w:rFonts w:ascii="Arial"/>
                <w:sz w:val="21"/>
              </w:rPr>
            </w:pPr>
          </w:p>
          <w:p w14:paraId="031DF002">
            <w:pPr>
              <w:pStyle w:val="6"/>
              <w:spacing w:before="65" w:line="220" w:lineRule="auto"/>
              <w:ind w:left="240"/>
              <w:rPr>
                <w:sz w:val="20"/>
                <w:szCs w:val="20"/>
              </w:rPr>
            </w:pPr>
            <w:r>
              <w:rPr>
                <w:spacing w:val="-2"/>
                <w:sz w:val="20"/>
                <w:szCs w:val="20"/>
              </w:rPr>
              <w:t>视频监控</w:t>
            </w:r>
          </w:p>
          <w:p w14:paraId="22494FC8">
            <w:pPr>
              <w:pStyle w:val="6"/>
              <w:spacing w:before="11" w:line="220" w:lineRule="auto"/>
              <w:ind w:left="189"/>
              <w:rPr>
                <w:sz w:val="20"/>
                <w:szCs w:val="20"/>
              </w:rPr>
            </w:pPr>
            <w:r>
              <w:rPr>
                <w:spacing w:val="3"/>
                <w:sz w:val="20"/>
                <w:szCs w:val="20"/>
              </w:rPr>
              <w:t>(消防控制</w:t>
            </w:r>
          </w:p>
          <w:p w14:paraId="6C43BDC3">
            <w:pPr>
              <w:pStyle w:val="6"/>
              <w:spacing w:before="4" w:line="222" w:lineRule="auto"/>
              <w:ind w:left="490"/>
              <w:rPr>
                <w:sz w:val="20"/>
                <w:szCs w:val="20"/>
              </w:rPr>
            </w:pPr>
            <w:r>
              <w:rPr>
                <w:spacing w:val="-6"/>
                <w:sz w:val="20"/>
                <w:szCs w:val="20"/>
              </w:rPr>
              <w:t>室)</w:t>
            </w:r>
          </w:p>
        </w:tc>
        <w:tc>
          <w:tcPr>
            <w:tcW w:w="1399" w:type="dxa"/>
            <w:vAlign w:val="top"/>
          </w:tcPr>
          <w:p w14:paraId="75008A0B">
            <w:pPr>
              <w:spacing w:line="268" w:lineRule="auto"/>
              <w:rPr>
                <w:rFonts w:ascii="Arial"/>
                <w:sz w:val="21"/>
              </w:rPr>
            </w:pPr>
          </w:p>
          <w:p w14:paraId="1182FFB1">
            <w:pPr>
              <w:spacing w:line="268" w:lineRule="auto"/>
              <w:rPr>
                <w:rFonts w:ascii="Arial"/>
                <w:sz w:val="21"/>
              </w:rPr>
            </w:pPr>
          </w:p>
          <w:p w14:paraId="74DA19F1">
            <w:pPr>
              <w:spacing w:line="268" w:lineRule="auto"/>
              <w:rPr>
                <w:rFonts w:ascii="Arial"/>
                <w:sz w:val="21"/>
              </w:rPr>
            </w:pPr>
          </w:p>
          <w:p w14:paraId="7D316DCC">
            <w:pPr>
              <w:pStyle w:val="6"/>
              <w:spacing w:before="65" w:line="220" w:lineRule="auto"/>
              <w:ind w:left="191"/>
              <w:rPr>
                <w:sz w:val="20"/>
                <w:szCs w:val="20"/>
              </w:rPr>
            </w:pPr>
            <w:r>
              <w:rPr>
                <w:spacing w:val="1"/>
                <w:sz w:val="20"/>
                <w:szCs w:val="20"/>
              </w:rPr>
              <w:t>消防控制室</w:t>
            </w:r>
          </w:p>
        </w:tc>
        <w:tc>
          <w:tcPr>
            <w:tcW w:w="669" w:type="dxa"/>
            <w:vAlign w:val="top"/>
          </w:tcPr>
          <w:p w14:paraId="55D4DFA2">
            <w:pPr>
              <w:spacing w:line="268" w:lineRule="auto"/>
              <w:rPr>
                <w:rFonts w:ascii="Arial"/>
                <w:sz w:val="21"/>
              </w:rPr>
            </w:pPr>
          </w:p>
          <w:p w14:paraId="32C5DC19">
            <w:pPr>
              <w:spacing w:line="268" w:lineRule="auto"/>
              <w:rPr>
                <w:rFonts w:ascii="Arial"/>
                <w:sz w:val="21"/>
              </w:rPr>
            </w:pPr>
          </w:p>
          <w:p w14:paraId="488C800D">
            <w:pPr>
              <w:spacing w:line="268" w:lineRule="auto"/>
              <w:rPr>
                <w:rFonts w:ascii="Arial"/>
                <w:sz w:val="21"/>
              </w:rPr>
            </w:pPr>
          </w:p>
          <w:p w14:paraId="1DFFDA01">
            <w:pPr>
              <w:pStyle w:val="6"/>
              <w:spacing w:before="65" w:line="219" w:lineRule="auto"/>
              <w:ind w:left="222"/>
              <w:rPr>
                <w:sz w:val="20"/>
                <w:szCs w:val="20"/>
              </w:rPr>
            </w:pPr>
            <w:r>
              <w:rPr>
                <w:sz w:val="20"/>
                <w:szCs w:val="20"/>
              </w:rPr>
              <w:t>条</w:t>
            </w:r>
          </w:p>
        </w:tc>
        <w:tc>
          <w:tcPr>
            <w:tcW w:w="879" w:type="dxa"/>
            <w:vAlign w:val="top"/>
          </w:tcPr>
          <w:p w14:paraId="10436F35">
            <w:pPr>
              <w:spacing w:line="274" w:lineRule="auto"/>
              <w:rPr>
                <w:rFonts w:ascii="Arial"/>
                <w:sz w:val="21"/>
              </w:rPr>
            </w:pPr>
          </w:p>
          <w:p w14:paraId="245E0E08">
            <w:pPr>
              <w:spacing w:line="275" w:lineRule="auto"/>
              <w:rPr>
                <w:rFonts w:ascii="Arial"/>
                <w:sz w:val="21"/>
              </w:rPr>
            </w:pPr>
          </w:p>
          <w:p w14:paraId="560604EC">
            <w:pPr>
              <w:spacing w:line="275" w:lineRule="auto"/>
              <w:rPr>
                <w:rFonts w:ascii="Arial"/>
                <w:sz w:val="21"/>
              </w:rPr>
            </w:pPr>
          </w:p>
          <w:p w14:paraId="0E2A11C3">
            <w:pPr>
              <w:pStyle w:val="6"/>
              <w:spacing w:before="65" w:line="241" w:lineRule="auto"/>
              <w:ind w:left="383"/>
              <w:rPr>
                <w:sz w:val="20"/>
                <w:szCs w:val="20"/>
              </w:rPr>
            </w:pPr>
            <w:r>
              <w:rPr>
                <w:sz w:val="20"/>
                <w:szCs w:val="20"/>
              </w:rPr>
              <w:t>1</w:t>
            </w:r>
          </w:p>
        </w:tc>
        <w:tc>
          <w:tcPr>
            <w:tcW w:w="1259" w:type="dxa"/>
            <w:vAlign w:val="top"/>
          </w:tcPr>
          <w:p w14:paraId="1DC87C5E">
            <w:pPr>
              <w:spacing w:line="347" w:lineRule="auto"/>
              <w:rPr>
                <w:rFonts w:ascii="Arial"/>
                <w:sz w:val="21"/>
              </w:rPr>
            </w:pPr>
          </w:p>
          <w:p w14:paraId="65E38512">
            <w:pPr>
              <w:spacing w:line="348" w:lineRule="auto"/>
              <w:rPr>
                <w:rFonts w:ascii="Arial"/>
                <w:sz w:val="21"/>
              </w:rPr>
            </w:pPr>
          </w:p>
          <w:p w14:paraId="10E1D438">
            <w:pPr>
              <w:pStyle w:val="6"/>
              <w:spacing w:before="65" w:line="233" w:lineRule="auto"/>
              <w:ind w:left="124" w:right="16" w:hanging="100"/>
              <w:rPr>
                <w:sz w:val="20"/>
                <w:szCs w:val="20"/>
              </w:rPr>
            </w:pPr>
            <w:r>
              <w:rPr>
                <w:spacing w:val="1"/>
                <w:sz w:val="20"/>
                <w:szCs w:val="20"/>
              </w:rPr>
              <w:t>消防控制室人员离岗视频</w:t>
            </w:r>
          </w:p>
        </w:tc>
        <w:tc>
          <w:tcPr>
            <w:tcW w:w="5387" w:type="dxa"/>
            <w:vAlign w:val="top"/>
          </w:tcPr>
          <w:p w14:paraId="6E9A0A2F">
            <w:pPr>
              <w:pStyle w:val="6"/>
              <w:spacing w:before="164" w:line="219" w:lineRule="auto"/>
              <w:ind w:left="15"/>
              <w:rPr>
                <w:sz w:val="20"/>
                <w:szCs w:val="20"/>
              </w:rPr>
            </w:pPr>
            <w:r>
              <w:rPr>
                <w:sz w:val="20"/>
                <w:szCs w:val="20"/>
              </w:rPr>
              <w:t>视频监控系统功能、技术应满足GB/T28181</w:t>
            </w:r>
            <w:r>
              <w:rPr>
                <w:spacing w:val="-1"/>
                <w:sz w:val="20"/>
                <w:szCs w:val="20"/>
              </w:rPr>
              <w:t>-2022的相关规</w:t>
            </w:r>
          </w:p>
          <w:p w14:paraId="04C418C2">
            <w:pPr>
              <w:pStyle w:val="6"/>
              <w:spacing w:before="3" w:line="222" w:lineRule="auto"/>
              <w:ind w:left="15" w:firstLine="69"/>
              <w:rPr>
                <w:sz w:val="20"/>
                <w:szCs w:val="20"/>
              </w:rPr>
            </w:pPr>
            <w:r>
              <w:rPr>
                <w:sz w:val="20"/>
                <w:szCs w:val="20"/>
              </w:rPr>
              <w:t>定，并满足如下规定：视频设备可向上级推送安装单位、建</w:t>
            </w:r>
            <w:r>
              <w:rPr>
                <w:spacing w:val="2"/>
                <w:sz w:val="20"/>
                <w:szCs w:val="20"/>
              </w:rPr>
              <w:t>筑、经纬度、位置、设备</w:t>
            </w:r>
            <w:r>
              <w:rPr>
                <w:sz w:val="20"/>
                <w:szCs w:val="20"/>
              </w:rPr>
              <w:t>ID</w:t>
            </w:r>
            <w:r>
              <w:rPr>
                <w:spacing w:val="2"/>
                <w:sz w:val="20"/>
                <w:szCs w:val="20"/>
              </w:rPr>
              <w:t>、设备名称、型号等相关基础数据；视频设备安放在建筑消控室内，带前端算法功能，可监</w:t>
            </w:r>
            <w:r>
              <w:rPr>
                <w:spacing w:val="6"/>
                <w:sz w:val="20"/>
                <w:szCs w:val="20"/>
              </w:rPr>
              <w:t>测人员离岗、人员在岗异常，并可根据不同状态发出报警；</w:t>
            </w:r>
            <w:r>
              <w:rPr>
                <w:spacing w:val="-1"/>
                <w:sz w:val="20"/>
                <w:szCs w:val="20"/>
              </w:rPr>
              <w:t>视频设备安装在建筑群重要地点并可实时监测现场信息；接入设备类型为视频设备。</w:t>
            </w:r>
          </w:p>
        </w:tc>
        <w:tc>
          <w:tcPr>
            <w:tcW w:w="2219" w:type="dxa"/>
            <w:vAlign w:val="top"/>
          </w:tcPr>
          <w:p w14:paraId="33EA1747">
            <w:pPr>
              <w:spacing w:line="268" w:lineRule="auto"/>
              <w:rPr>
                <w:rFonts w:ascii="Arial"/>
                <w:sz w:val="21"/>
              </w:rPr>
            </w:pPr>
          </w:p>
          <w:p w14:paraId="574B4B56">
            <w:pPr>
              <w:spacing w:line="268" w:lineRule="auto"/>
              <w:rPr>
                <w:rFonts w:ascii="Arial"/>
                <w:sz w:val="21"/>
              </w:rPr>
            </w:pPr>
          </w:p>
          <w:p w14:paraId="103F8BB5">
            <w:pPr>
              <w:spacing w:line="268" w:lineRule="auto"/>
              <w:rPr>
                <w:rFonts w:ascii="Arial"/>
                <w:sz w:val="21"/>
              </w:rPr>
            </w:pPr>
          </w:p>
          <w:p w14:paraId="2EAF82DA">
            <w:pPr>
              <w:pStyle w:val="6"/>
              <w:spacing w:before="65" w:line="219" w:lineRule="auto"/>
              <w:ind w:left="508"/>
              <w:rPr>
                <w:sz w:val="20"/>
                <w:szCs w:val="20"/>
              </w:rPr>
            </w:pPr>
            <w:r>
              <w:rPr>
                <w:spacing w:val="-2"/>
                <w:sz w:val="20"/>
                <w:szCs w:val="20"/>
              </w:rPr>
              <w:t>所有高层建筑</w:t>
            </w:r>
          </w:p>
        </w:tc>
        <w:tc>
          <w:tcPr>
            <w:tcW w:w="1954" w:type="dxa"/>
            <w:vAlign w:val="top"/>
          </w:tcPr>
          <w:p w14:paraId="02DE318A">
            <w:pPr>
              <w:spacing w:line="268" w:lineRule="auto"/>
              <w:rPr>
                <w:rFonts w:ascii="Arial"/>
                <w:sz w:val="21"/>
              </w:rPr>
            </w:pPr>
          </w:p>
          <w:p w14:paraId="2BEA0832">
            <w:pPr>
              <w:spacing w:line="268" w:lineRule="auto"/>
              <w:rPr>
                <w:rFonts w:ascii="Arial"/>
                <w:sz w:val="21"/>
              </w:rPr>
            </w:pPr>
          </w:p>
          <w:p w14:paraId="1A0CD4EE">
            <w:pPr>
              <w:spacing w:line="268" w:lineRule="auto"/>
              <w:rPr>
                <w:rFonts w:ascii="Arial"/>
                <w:sz w:val="21"/>
              </w:rPr>
            </w:pPr>
          </w:p>
          <w:p w14:paraId="2DBA94D0">
            <w:pPr>
              <w:pStyle w:val="6"/>
              <w:spacing w:before="65" w:line="219" w:lineRule="auto"/>
              <w:ind w:left="419"/>
              <w:rPr>
                <w:sz w:val="20"/>
                <w:szCs w:val="20"/>
              </w:rPr>
            </w:pPr>
            <w:r>
              <w:rPr>
                <w:spacing w:val="1"/>
                <w:sz w:val="20"/>
                <w:szCs w:val="20"/>
              </w:rPr>
              <w:t>2026年9月底</w:t>
            </w:r>
          </w:p>
        </w:tc>
      </w:tr>
      <w:tr w14:paraId="0922A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9" w:hRule="atLeast"/>
        </w:trPr>
        <w:tc>
          <w:tcPr>
            <w:tcW w:w="535" w:type="dxa"/>
            <w:vAlign w:val="top"/>
          </w:tcPr>
          <w:p w14:paraId="2B02D198">
            <w:pPr>
              <w:spacing w:line="418" w:lineRule="auto"/>
              <w:rPr>
                <w:rFonts w:ascii="Arial"/>
                <w:sz w:val="21"/>
              </w:rPr>
            </w:pPr>
          </w:p>
          <w:p w14:paraId="3DB198B2">
            <w:pPr>
              <w:pStyle w:val="6"/>
              <w:spacing w:before="65"/>
              <w:ind w:left="205"/>
              <w:rPr>
                <w:sz w:val="20"/>
                <w:szCs w:val="20"/>
              </w:rPr>
            </w:pPr>
            <w:r>
              <w:rPr>
                <w:sz w:val="20"/>
                <w:szCs w:val="20"/>
              </w:rPr>
              <w:t>6</w:t>
            </w:r>
          </w:p>
        </w:tc>
        <w:tc>
          <w:tcPr>
            <w:tcW w:w="1299" w:type="dxa"/>
            <w:vAlign w:val="top"/>
          </w:tcPr>
          <w:p w14:paraId="5F880DB7">
            <w:pPr>
              <w:spacing w:line="299" w:lineRule="auto"/>
              <w:rPr>
                <w:rFonts w:ascii="Arial"/>
                <w:sz w:val="21"/>
              </w:rPr>
            </w:pPr>
          </w:p>
          <w:p w14:paraId="040A2301">
            <w:pPr>
              <w:pStyle w:val="6"/>
              <w:spacing w:before="65" w:line="231" w:lineRule="auto"/>
              <w:ind w:left="539" w:right="32" w:hanging="499"/>
              <w:rPr>
                <w:sz w:val="20"/>
                <w:szCs w:val="20"/>
              </w:rPr>
            </w:pPr>
            <w:r>
              <w:rPr>
                <w:spacing w:val="2"/>
                <w:sz w:val="20"/>
                <w:szCs w:val="20"/>
              </w:rPr>
              <w:t>电气火灾探测</w:t>
            </w:r>
            <w:r>
              <w:rPr>
                <w:sz w:val="20"/>
                <w:szCs w:val="20"/>
              </w:rPr>
              <w:t>器</w:t>
            </w:r>
          </w:p>
        </w:tc>
        <w:tc>
          <w:tcPr>
            <w:tcW w:w="1399" w:type="dxa"/>
            <w:vAlign w:val="top"/>
          </w:tcPr>
          <w:p w14:paraId="178641BF">
            <w:pPr>
              <w:spacing w:line="299" w:lineRule="auto"/>
              <w:rPr>
                <w:rFonts w:ascii="Arial"/>
                <w:sz w:val="21"/>
              </w:rPr>
            </w:pPr>
          </w:p>
          <w:p w14:paraId="7C3B8D92">
            <w:pPr>
              <w:pStyle w:val="6"/>
              <w:spacing w:before="65" w:line="234" w:lineRule="auto"/>
              <w:ind w:left="91" w:right="89"/>
              <w:rPr>
                <w:sz w:val="20"/>
                <w:szCs w:val="20"/>
              </w:rPr>
            </w:pPr>
            <w:r>
              <w:rPr>
                <w:spacing w:val="1"/>
                <w:sz w:val="20"/>
                <w:szCs w:val="20"/>
              </w:rPr>
              <w:t>电气火灾风险</w:t>
            </w:r>
            <w:r>
              <w:rPr>
                <w:spacing w:val="-2"/>
                <w:sz w:val="20"/>
                <w:szCs w:val="20"/>
              </w:rPr>
              <w:t>较大的配电处</w:t>
            </w:r>
          </w:p>
        </w:tc>
        <w:tc>
          <w:tcPr>
            <w:tcW w:w="669" w:type="dxa"/>
            <w:vAlign w:val="top"/>
          </w:tcPr>
          <w:p w14:paraId="48829A49">
            <w:pPr>
              <w:spacing w:line="402" w:lineRule="auto"/>
              <w:rPr>
                <w:rFonts w:ascii="Arial"/>
                <w:sz w:val="21"/>
              </w:rPr>
            </w:pPr>
          </w:p>
          <w:p w14:paraId="33AC23C5">
            <w:pPr>
              <w:pStyle w:val="6"/>
              <w:spacing w:before="65" w:line="224" w:lineRule="auto"/>
              <w:ind w:left="222"/>
              <w:rPr>
                <w:sz w:val="20"/>
                <w:szCs w:val="20"/>
              </w:rPr>
            </w:pPr>
            <w:r>
              <w:rPr>
                <w:sz w:val="20"/>
                <w:szCs w:val="20"/>
              </w:rPr>
              <w:t>处</w:t>
            </w:r>
          </w:p>
        </w:tc>
        <w:tc>
          <w:tcPr>
            <w:tcW w:w="879" w:type="dxa"/>
            <w:vAlign w:val="top"/>
          </w:tcPr>
          <w:p w14:paraId="5F99188D">
            <w:pPr>
              <w:spacing w:line="418" w:lineRule="auto"/>
              <w:rPr>
                <w:rFonts w:ascii="Arial"/>
                <w:sz w:val="21"/>
              </w:rPr>
            </w:pPr>
          </w:p>
          <w:p w14:paraId="32425257">
            <w:pPr>
              <w:pStyle w:val="6"/>
              <w:spacing w:before="65" w:line="241" w:lineRule="auto"/>
              <w:ind w:left="383"/>
              <w:rPr>
                <w:sz w:val="20"/>
                <w:szCs w:val="20"/>
              </w:rPr>
            </w:pPr>
            <w:r>
              <w:rPr>
                <w:sz w:val="20"/>
                <w:szCs w:val="20"/>
              </w:rPr>
              <w:t>1</w:t>
            </w:r>
          </w:p>
        </w:tc>
        <w:tc>
          <w:tcPr>
            <w:tcW w:w="1259" w:type="dxa"/>
            <w:vAlign w:val="top"/>
          </w:tcPr>
          <w:p w14:paraId="0B371BBE">
            <w:pPr>
              <w:spacing w:line="299" w:lineRule="auto"/>
              <w:rPr>
                <w:rFonts w:ascii="Arial"/>
                <w:sz w:val="21"/>
              </w:rPr>
            </w:pPr>
          </w:p>
          <w:p w14:paraId="476F9366">
            <w:pPr>
              <w:pStyle w:val="6"/>
              <w:spacing w:before="65" w:line="219" w:lineRule="auto"/>
              <w:ind w:left="24"/>
              <w:rPr>
                <w:sz w:val="20"/>
                <w:szCs w:val="20"/>
              </w:rPr>
            </w:pPr>
            <w:r>
              <w:rPr>
                <w:spacing w:val="-2"/>
                <w:sz w:val="20"/>
                <w:szCs w:val="20"/>
              </w:rPr>
              <w:t>组合式电气火</w:t>
            </w:r>
          </w:p>
          <w:p w14:paraId="551423B1">
            <w:pPr>
              <w:pStyle w:val="6"/>
              <w:spacing w:before="13" w:line="221" w:lineRule="auto"/>
              <w:ind w:left="224"/>
              <w:rPr>
                <w:sz w:val="20"/>
                <w:szCs w:val="20"/>
              </w:rPr>
            </w:pPr>
            <w:r>
              <w:rPr>
                <w:spacing w:val="2"/>
                <w:sz w:val="20"/>
                <w:szCs w:val="20"/>
              </w:rPr>
              <w:t>灾探测器</w:t>
            </w:r>
          </w:p>
        </w:tc>
        <w:tc>
          <w:tcPr>
            <w:tcW w:w="5387" w:type="dxa"/>
            <w:vAlign w:val="top"/>
          </w:tcPr>
          <w:p w14:paraId="12BFE9DF">
            <w:pPr>
              <w:pStyle w:val="6"/>
              <w:spacing w:before="115" w:line="227" w:lineRule="auto"/>
              <w:ind w:left="15" w:firstLine="69"/>
              <w:jc w:val="both"/>
              <w:rPr>
                <w:sz w:val="20"/>
                <w:szCs w:val="20"/>
              </w:rPr>
            </w:pPr>
            <w:r>
              <w:rPr>
                <w:spacing w:val="-1"/>
                <w:sz w:val="20"/>
                <w:szCs w:val="20"/>
              </w:rPr>
              <w:t>上传感知对象部件的电流、电压、剩余电流、温度等相关数</w:t>
            </w:r>
            <w:r>
              <w:rPr>
                <w:spacing w:val="6"/>
                <w:sz w:val="20"/>
                <w:szCs w:val="20"/>
              </w:rPr>
              <w:t>据；具备故障报警、监测值超阈值报警；具备传感器短路、</w:t>
            </w:r>
            <w:r>
              <w:rPr>
                <w:spacing w:val="-1"/>
                <w:sz w:val="20"/>
                <w:szCs w:val="20"/>
              </w:rPr>
              <w:t>传感器断路、传感器错接检测功能；接入设备类型为网关设备。</w:t>
            </w:r>
          </w:p>
        </w:tc>
        <w:tc>
          <w:tcPr>
            <w:tcW w:w="2219" w:type="dxa"/>
            <w:vAlign w:val="top"/>
          </w:tcPr>
          <w:p w14:paraId="219691AC">
            <w:pPr>
              <w:spacing w:line="298" w:lineRule="auto"/>
              <w:rPr>
                <w:rFonts w:ascii="Arial"/>
                <w:sz w:val="21"/>
              </w:rPr>
            </w:pPr>
          </w:p>
          <w:p w14:paraId="1033E4E4">
            <w:pPr>
              <w:pStyle w:val="6"/>
              <w:spacing w:before="65" w:line="225" w:lineRule="auto"/>
              <w:ind w:left="808" w:right="107" w:hanging="700"/>
              <w:rPr>
                <w:sz w:val="20"/>
                <w:szCs w:val="20"/>
              </w:rPr>
            </w:pPr>
            <w:r>
              <w:rPr>
                <w:spacing w:val="-1"/>
                <w:sz w:val="20"/>
                <w:szCs w:val="20"/>
              </w:rPr>
              <w:t>超高层建筑、大型商业</w:t>
            </w:r>
            <w:r>
              <w:rPr>
                <w:spacing w:val="-3"/>
                <w:sz w:val="20"/>
                <w:szCs w:val="20"/>
              </w:rPr>
              <w:t>综合体</w:t>
            </w:r>
          </w:p>
        </w:tc>
        <w:tc>
          <w:tcPr>
            <w:tcW w:w="1954" w:type="dxa"/>
            <w:vAlign w:val="top"/>
          </w:tcPr>
          <w:p w14:paraId="34F6FF52">
            <w:pPr>
              <w:spacing w:line="398" w:lineRule="auto"/>
              <w:rPr>
                <w:rFonts w:ascii="Arial"/>
                <w:sz w:val="21"/>
              </w:rPr>
            </w:pPr>
          </w:p>
          <w:p w14:paraId="45E2EB3D">
            <w:pPr>
              <w:pStyle w:val="6"/>
              <w:spacing w:before="65" w:line="219" w:lineRule="auto"/>
              <w:ind w:left="368"/>
              <w:rPr>
                <w:sz w:val="20"/>
                <w:szCs w:val="20"/>
              </w:rPr>
            </w:pPr>
            <w:r>
              <w:rPr>
                <w:spacing w:val="1"/>
                <w:sz w:val="20"/>
                <w:szCs w:val="20"/>
              </w:rPr>
              <w:t>2025年12月底</w:t>
            </w:r>
          </w:p>
        </w:tc>
      </w:tr>
      <w:tr w14:paraId="2CD9E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15600" w:type="dxa"/>
            <w:gridSpan w:val="9"/>
            <w:vAlign w:val="top"/>
          </w:tcPr>
          <w:p w14:paraId="6B8D0138">
            <w:pPr>
              <w:pStyle w:val="6"/>
              <w:spacing w:before="246" w:line="216" w:lineRule="auto"/>
              <w:ind w:left="15"/>
              <w:rPr>
                <w:sz w:val="20"/>
                <w:szCs w:val="20"/>
              </w:rPr>
            </w:pPr>
            <w:r>
              <w:rPr>
                <w:sz w:val="20"/>
                <w:szCs w:val="20"/>
              </w:rPr>
              <w:t>特别提醒：</w:t>
            </w:r>
          </w:p>
          <w:p w14:paraId="7B12CCCA">
            <w:pPr>
              <w:pStyle w:val="6"/>
              <w:spacing w:line="208" w:lineRule="auto"/>
              <w:ind w:left="15"/>
              <w:rPr>
                <w:sz w:val="20"/>
                <w:szCs w:val="20"/>
              </w:rPr>
            </w:pPr>
            <w:r>
              <w:rPr>
                <w:sz w:val="20"/>
                <w:szCs w:val="20"/>
              </w:rPr>
              <w:t>1、在选择各类设备时注意该设备是否提前在重庆市消防物联网(</w:t>
            </w:r>
            <w:r>
              <w:fldChar w:fldCharType="begin"/>
            </w:r>
            <w:r>
              <w:instrText xml:space="preserve"> HYPERLINK "https://ycjr.cq119.gov.cn/" </w:instrText>
            </w:r>
            <w:r>
              <w:fldChar w:fldCharType="separate"/>
            </w:r>
            <w:r>
              <w:rPr>
                <w:sz w:val="20"/>
                <w:szCs w:val="20"/>
              </w:rPr>
              <w:t>https://ycjr.cq119.gov.cn/</w:t>
            </w:r>
            <w:r>
              <w:rPr>
                <w:sz w:val="20"/>
                <w:szCs w:val="20"/>
              </w:rPr>
              <w:fldChar w:fldCharType="end"/>
            </w:r>
            <w:r>
              <w:rPr>
                <w:sz w:val="20"/>
                <w:szCs w:val="20"/>
              </w:rPr>
              <w:t>)开展硬件测试确认具体功能和传输协议匹配。</w:t>
            </w:r>
          </w:p>
          <w:p w14:paraId="0730ED94">
            <w:pPr>
              <w:pStyle w:val="6"/>
              <w:spacing w:line="218" w:lineRule="auto"/>
              <w:ind w:left="15"/>
              <w:rPr>
                <w:sz w:val="20"/>
                <w:szCs w:val="20"/>
              </w:rPr>
            </w:pPr>
            <w:r>
              <w:rPr>
                <w:sz w:val="20"/>
                <w:szCs w:val="20"/>
              </w:rPr>
              <w:t>2、在建设时应按照《重庆市消防物联网信息传输设备接入指导手册1.0》提交相关材料，接入成功以物联设备接入重庆市消防物联网并由市消防救援局确认。</w:t>
            </w:r>
          </w:p>
        </w:tc>
      </w:tr>
    </w:tbl>
    <w:p w14:paraId="06FEBF63">
      <w:pPr>
        <w:rPr>
          <w:rFonts w:ascii="Arial"/>
          <w:sz w:val="21"/>
        </w:rPr>
      </w:pPr>
    </w:p>
    <w:p w14:paraId="10864CD9">
      <w:pPr>
        <w:rPr>
          <w:rFonts w:ascii="Arial" w:hAnsi="Arial" w:eastAsia="Arial" w:cs="Arial"/>
          <w:sz w:val="21"/>
          <w:szCs w:val="21"/>
        </w:rPr>
        <w:sectPr>
          <w:pgSz w:w="16820" w:h="11900"/>
          <w:pgMar w:top="210" w:right="414" w:bottom="400" w:left="794" w:header="0" w:footer="0" w:gutter="0"/>
          <w:cols w:space="720" w:num="1"/>
        </w:sectPr>
      </w:pPr>
    </w:p>
    <w:p w14:paraId="5C1A7862">
      <w:pPr>
        <w:spacing w:line="75" w:lineRule="exact"/>
        <w:ind w:firstLine="9609"/>
      </w:pPr>
      <w:r>
        <mc:AlternateContent>
          <mc:Choice Requires="wps">
            <w:drawing>
              <wp:anchor distT="0" distB="0" distL="0" distR="0" simplePos="0" relativeHeight="251659264" behindDoc="0" locked="0" layoutInCell="1" allowOverlap="1">
                <wp:simplePos x="0" y="0"/>
                <wp:positionH relativeFrom="column">
                  <wp:posOffset>6093460</wp:posOffset>
                </wp:positionH>
                <wp:positionV relativeFrom="paragraph">
                  <wp:posOffset>412750</wp:posOffset>
                </wp:positionV>
                <wp:extent cx="69215" cy="83185"/>
                <wp:effectExtent l="0" t="0" r="0" b="0"/>
                <wp:wrapNone/>
                <wp:docPr id="4" name="TextBox 4"/>
                <wp:cNvGraphicFramePr/>
                <a:graphic xmlns:a="http://schemas.openxmlformats.org/drawingml/2006/main">
                  <a:graphicData uri="http://schemas.microsoft.com/office/word/2010/wordprocessingShape">
                    <wps:wsp>
                      <wps:cNvSpPr txBox="1"/>
                      <wps:spPr>
                        <a:xfrm rot="16200000">
                          <a:off x="6093468" y="413314"/>
                          <a:ext cx="69214" cy="83185"/>
                        </a:xfrm>
                        <a:prstGeom prst="rect">
                          <a:avLst/>
                        </a:prstGeom>
                        <a:noFill/>
                        <a:ln w="0" cap="flat">
                          <a:noFill/>
                          <a:prstDash val="solid"/>
                          <a:miter lim="0"/>
                        </a:ln>
                      </wps:spPr>
                      <wps:style>
                        <a:lnRef idx="0">
                          <a:schemeClr val="accent1"/>
                        </a:lnRef>
                        <a:fillRef idx="0">
                          <a:schemeClr val="accent1"/>
                        </a:fillRef>
                        <a:effectRef idx="0">
                          <a:schemeClr val="accent1"/>
                        </a:effectRef>
                        <a:fontRef idx="minor">
                          <a:schemeClr val="dk1"/>
                        </a:fontRef>
                      </wps:style>
                      <wps:txbx>
                        <w:txbxContent>
                          <w:p w14:paraId="209F73C9">
                            <w:pPr>
                              <w:spacing w:before="41" w:line="182" w:lineRule="auto"/>
                              <w:ind w:left="20"/>
                              <w:rPr>
                                <w:rFonts w:ascii="宋体" w:hAnsi="宋体" w:eastAsia="宋体" w:cs="宋体"/>
                                <w:sz w:val="7"/>
                                <w:szCs w:val="7"/>
                              </w:rPr>
                            </w:pPr>
                            <w:r>
                              <w:rPr>
                                <w:rFonts w:ascii="宋体" w:hAnsi="宋体" w:eastAsia="宋体" w:cs="宋体"/>
                                <w:spacing w:val="-1"/>
                                <w:sz w:val="7"/>
                                <w:szCs w:val="7"/>
                              </w:rPr>
                              <w:t>FL</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TextBox 4" o:spid="_x0000_s1026" o:spt="202" type="#_x0000_t202" style="position:absolute;left:0pt;margin-left:479.8pt;margin-top:32.5pt;height:6.55pt;width:5.45pt;rotation:-5898240f;z-index:251659264;mso-width-relative:page;mso-height-relative:page;" filled="f" stroked="f" coordsize="21600,21600" o:gfxdata="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LkBL+2AAAAAkBAAAPAAAAAAAA&#10;AAEAIAAAACIAAABkcnMvZG93bnJldi54bWxQSwECFAAUAAAACACHTuJAO2uk3ksCAACeBAAADgAA&#10;AAAAAAABACAAAAAnAQAAZHJzL2Uyb0RvYy54bWxQSwUGAAAAAAYABgBZAQAA5AUAAAAA&#10;">
                <v:fill on="f" focussize="0,0"/>
                <v:stroke on="f" weight="0pt" miterlimit="0" joinstyle="miter"/>
                <v:imagedata o:title=""/>
                <o:lock v:ext="edit" aspectratio="f"/>
                <v:textbox inset="0mm,0mm,0mm,0mm">
                  <w:txbxContent>
                    <w:p w14:paraId="209F73C9">
                      <w:pPr>
                        <w:spacing w:before="41" w:line="182" w:lineRule="auto"/>
                        <w:ind w:left="20"/>
                        <w:rPr>
                          <w:rFonts w:ascii="宋体" w:hAnsi="宋体" w:eastAsia="宋体" w:cs="宋体"/>
                          <w:sz w:val="7"/>
                          <w:szCs w:val="7"/>
                        </w:rPr>
                      </w:pPr>
                      <w:r>
                        <w:rPr>
                          <w:rFonts w:ascii="宋体" w:hAnsi="宋体" w:eastAsia="宋体" w:cs="宋体"/>
                          <w:spacing w:val="-1"/>
                          <w:sz w:val="7"/>
                          <w:szCs w:val="7"/>
                        </w:rPr>
                        <w:t>FL</w:t>
                      </w:r>
                    </w:p>
                  </w:txbxContent>
                </v:textbox>
              </v:shape>
            </w:pict>
          </mc:Fallback>
        </mc:AlternateContent>
      </w:r>
    </w:p>
    <w:sectPr>
      <w:pgSz w:w="11900" w:h="16820"/>
      <w:pgMar w:top="1429" w:right="441" w:bottom="400" w:left="1785"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13130">
    <w:pPr>
      <w:spacing w:before="1" w:line="234" w:lineRule="auto"/>
      <w:ind w:left="3929"/>
      <w:rPr>
        <w:rFonts w:ascii="宋体" w:hAnsi="宋体" w:eastAsia="宋体" w:cs="宋体"/>
        <w:sz w:val="30"/>
        <w:szCs w:val="30"/>
      </w:rPr>
    </w:pPr>
    <w:r>
      <w:rPr>
        <w:rFonts w:ascii="宋体" w:hAnsi="宋体" w:eastAsia="宋体" w:cs="宋体"/>
        <w:spacing w:val="-4"/>
        <w:sz w:val="30"/>
        <w:szCs w:val="30"/>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8656A">
    <w:pPr>
      <w:spacing w:line="234" w:lineRule="auto"/>
      <w:ind w:left="3939"/>
      <w:rPr>
        <w:rFonts w:ascii="宋体" w:hAnsi="宋体" w:eastAsia="宋体" w:cs="宋体"/>
        <w:sz w:val="35"/>
        <w:szCs w:val="35"/>
      </w:rPr>
    </w:pPr>
    <w:r>
      <w:rPr>
        <w:rFonts w:ascii="宋体" w:hAnsi="宋体" w:eastAsia="宋体" w:cs="宋体"/>
        <w:spacing w:val="-4"/>
        <w:sz w:val="35"/>
        <w:szCs w:val="35"/>
      </w:rPr>
      <w:t>—3—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271F9">
    <w:pPr>
      <w:tabs>
        <w:tab w:val="left" w:pos="4205"/>
      </w:tabs>
      <w:spacing w:line="179" w:lineRule="auto"/>
      <w:ind w:left="3865"/>
      <w:rPr>
        <w:rFonts w:ascii="Times New Roman" w:hAnsi="Times New Roman" w:eastAsia="Times New Roman" w:cs="Times New Roman"/>
        <w:sz w:val="23"/>
        <w:szCs w:val="23"/>
      </w:rPr>
    </w:pPr>
    <w:r>
      <w:rPr>
        <w:rFonts w:ascii="Times New Roman" w:hAnsi="Times New Roman" w:eastAsia="Times New Roman" w:cs="Times New Roman"/>
        <w:sz w:val="23"/>
        <w:szCs w:val="23"/>
        <w:u w:val="single" w:color="auto"/>
      </w:rPr>
      <w:tab/>
    </w:r>
    <w:r>
      <w:rPr>
        <w:rFonts w:ascii="Times New Roman" w:hAnsi="Times New Roman" w:eastAsia="Times New Roman" w:cs="Times New Roman"/>
        <w:sz w:val="23"/>
        <w:szCs w:val="23"/>
      </w:rP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9B82D">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A6F95A"/>
    <w:multiLevelType w:val="singleLevel"/>
    <w:tmpl w:val="38A6F95A"/>
    <w:lvl w:ilvl="0" w:tentative="0">
      <w:start w:val="1"/>
      <w:numFmt w:val="chineseCounting"/>
      <w:suff w:val="nothing"/>
      <w:lvlText w:val="%1、"/>
      <w:lvlJc w:val="left"/>
      <w:rPr>
        <w:rFonts w:hint="eastAsia"/>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9335511"/>
    <w:rsid w:val="0F79249C"/>
    <w:rsid w:val="0FE05083"/>
    <w:rsid w:val="11984DEC"/>
    <w:rsid w:val="23073E84"/>
    <w:rsid w:val="2BB43AC3"/>
    <w:rsid w:val="347D6A46"/>
    <w:rsid w:val="3D3D17B0"/>
    <w:rsid w:val="46024FFD"/>
    <w:rsid w:val="46741C23"/>
    <w:rsid w:val="4B6A71C8"/>
    <w:rsid w:val="5299137C"/>
    <w:rsid w:val="53D6412C"/>
    <w:rsid w:val="54DE09E3"/>
    <w:rsid w:val="574249B5"/>
    <w:rsid w:val="62C622F5"/>
    <w:rsid w:val="70457711"/>
    <w:rsid w:val="70EE4341"/>
    <w:rsid w:val="78D756FA"/>
    <w:rsid w:val="7B124498"/>
    <w:rsid w:val="7C7D1A4A"/>
    <w:rsid w:val="7E0E116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0"/>
      <w:szCs w:val="30"/>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12</Pages>
  <Words>4869</Words>
  <Characters>5243</Characters>
  <TotalTime>13</TotalTime>
  <ScaleCrop>false</ScaleCrop>
  <LinksUpToDate>false</LinksUpToDate>
  <CharactersWithSpaces>5435</CharactersWithSpaces>
  <Application>WPS Office_12.1.0.24034_F1E327BC-269C-435d-A152-05C5408002CA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2026-01-07T22:42:00Z</dcterms:created>
  <cp:lastModifiedBy>song</cp:lastModifiedBy>
  <dcterms:modified xsi:type="dcterms:W3CDTF">2026-01-07T15:04:46Z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wqlLaW5nc29mdCBQREYgdG8gV1BTIDExMEI</vt:lpwstr>
  </property>
  <property fmtid="{D5CDD505-2E9C-101B-9397-08002B2CF9AE}" pid="3" name="Created">
    <vt:filetime>2026-01-07T22:42:10Z</vt:filetime>
  </property>
  <property fmtid="{D5CDD505-2E9C-101B-9397-08002B2CF9AE}" pid="4" name="UsrData">
    <vt:lpwstr>695e70bfac2b00001fef9228wl</vt:lpwstr>
  </property>
  <property fmtid="{D5CDD505-2E9C-101B-9397-08002B2CF9AE}" pid="5" name="KSOTemplateDocerSaveRecord">
    <vt:lpwstr>eyJoZGlkIjoiODY2MTEyNDNlNTQ3ODA0ZjM2NjE1ZDEyMTA0YjQxYWQiLCJ1c2VySWQiOiIyMTAwOTM1NyJ9</vt:lpwstr>
  </property>
  <property fmtid="{D5CDD505-2E9C-101B-9397-08002B2CF9AE}" pid="6" name="KSOProductBuildVer">
    <vt:lpwstr>2052-12.1.0.24034</vt:lpwstr>
  </property>
  <property fmtid="{D5CDD505-2E9C-101B-9397-08002B2CF9AE}" pid="7" name="ICV">
    <vt:lpwstr>B6D60AE714014E619E858CB38EB05BAA_12</vt:lpwstr>
  </property>
</Properties>
</file>