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5661AE2">
      <w:pPr>
        <w:pStyle w:val="2"/>
        <w:spacing w:line="279" w:lineRule="auto"/>
      </w:pPr>
    </w:p>
    <w:p w14:paraId="4865DB31">
      <w:pPr>
        <w:pStyle w:val="2"/>
        <w:spacing w:line="279" w:lineRule="auto"/>
      </w:pPr>
    </w:p>
    <w:p w14:paraId="23FBB73D">
      <w:pPr>
        <w:pStyle w:val="2"/>
        <w:spacing w:line="280" w:lineRule="auto"/>
      </w:pPr>
    </w:p>
    <w:p w14:paraId="5D28C3D3">
      <w:pPr>
        <w:pStyle w:val="2"/>
        <w:spacing w:line="280" w:lineRule="auto"/>
      </w:pPr>
    </w:p>
    <w:p w14:paraId="5E275882">
      <w:pPr>
        <w:spacing w:before="257" w:line="219" w:lineRule="auto"/>
        <w:ind w:left="791"/>
        <w:outlineLvl w:val="0"/>
        <w:rPr>
          <w:rFonts w:ascii="宋体" w:hAnsi="宋体" w:eastAsia="宋体" w:cs="宋体"/>
          <w:sz w:val="79"/>
          <w:szCs w:val="79"/>
        </w:rPr>
      </w:pPr>
      <w:r>
        <w:rPr>
          <w:rFonts w:ascii="宋体" w:hAnsi="宋体" w:eastAsia="宋体" w:cs="宋体"/>
          <w:b/>
          <w:bCs/>
          <w:color w:val="E03030"/>
          <w:spacing w:val="114"/>
          <w:sz w:val="79"/>
          <w:szCs w:val="79"/>
        </w:rPr>
        <w:t>杭州市城乡建设委员会</w:t>
      </w:r>
    </w:p>
    <w:p w14:paraId="4AE163B1">
      <w:pPr>
        <w:pStyle w:val="2"/>
        <w:spacing w:line="253" w:lineRule="auto"/>
      </w:pPr>
    </w:p>
    <w:p w14:paraId="45C73447">
      <w:pPr>
        <w:pStyle w:val="2"/>
        <w:spacing w:line="253" w:lineRule="auto"/>
      </w:pPr>
    </w:p>
    <w:p w14:paraId="09278297">
      <w:pPr>
        <w:pStyle w:val="2"/>
        <w:spacing w:line="254" w:lineRule="auto"/>
      </w:pPr>
    </w:p>
    <w:p w14:paraId="52342755">
      <w:pPr>
        <w:pStyle w:val="2"/>
        <w:spacing w:line="254" w:lineRule="auto"/>
      </w:pPr>
    </w:p>
    <w:p w14:paraId="25118CBE">
      <w:pPr>
        <w:pStyle w:val="2"/>
        <w:spacing w:line="254" w:lineRule="auto"/>
      </w:pPr>
    </w:p>
    <w:p w14:paraId="6C3B8E08">
      <w:pPr>
        <w:spacing w:before="120" w:line="222" w:lineRule="auto"/>
        <w:ind w:left="3339"/>
        <w:rPr>
          <w:rFonts w:ascii="仿宋" w:hAnsi="仿宋" w:eastAsia="仿宋" w:cs="仿宋"/>
          <w:sz w:val="37"/>
          <w:szCs w:val="37"/>
        </w:rPr>
      </w:pPr>
      <w:r>
        <w:rPr>
          <w:rFonts w:ascii="仿宋" w:hAnsi="仿宋" w:eastAsia="仿宋" w:cs="仿宋"/>
          <w:spacing w:val="16"/>
          <w:sz w:val="37"/>
          <w:szCs w:val="37"/>
        </w:rPr>
        <w:t>杭建消发〔2025〕105号</w:t>
      </w:r>
    </w:p>
    <w:p w14:paraId="4CFEBF73">
      <w:pPr>
        <w:spacing w:before="165" w:line="60" w:lineRule="exact"/>
      </w:pPr>
      <w:r>
        <w:rPr>
          <w:position w:val="-1"/>
        </w:rPr>
        <w:drawing>
          <wp:inline distT="0" distB="0" distL="0" distR="0">
            <wp:extent cx="6882765" cy="38100"/>
            <wp:effectExtent l="0" t="0" r="0" b="0"/>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4"/>
                    <a:stretch>
                      <a:fillRect/>
                    </a:stretch>
                  </pic:blipFill>
                  <pic:spPr>
                    <a:xfrm>
                      <a:off x="0" y="0"/>
                      <a:ext cx="6883371" cy="38140"/>
                    </a:xfrm>
                    <a:prstGeom prst="rect">
                      <a:avLst/>
                    </a:prstGeom>
                  </pic:spPr>
                </pic:pic>
              </a:graphicData>
            </a:graphic>
          </wp:inline>
        </w:drawing>
      </w:r>
    </w:p>
    <w:p w14:paraId="7885EC89">
      <w:pPr>
        <w:pStyle w:val="2"/>
        <w:spacing w:line="279" w:lineRule="auto"/>
      </w:pPr>
    </w:p>
    <w:p w14:paraId="5612AA84">
      <w:pPr>
        <w:pStyle w:val="2"/>
        <w:spacing w:line="279" w:lineRule="auto"/>
      </w:pPr>
    </w:p>
    <w:p w14:paraId="163D6EC9">
      <w:pPr>
        <w:pStyle w:val="2"/>
        <w:spacing w:line="280" w:lineRule="auto"/>
      </w:pPr>
    </w:p>
    <w:p w14:paraId="399607E6">
      <w:pPr>
        <w:pStyle w:val="2"/>
        <w:spacing w:line="280" w:lineRule="auto"/>
      </w:pPr>
    </w:p>
    <w:p w14:paraId="471150C3">
      <w:pPr>
        <w:spacing w:before="185" w:line="233" w:lineRule="auto"/>
        <w:ind w:left="1352" w:right="1467" w:firstLine="304"/>
        <w:rPr>
          <w:rFonts w:ascii="宋体" w:hAnsi="宋体" w:eastAsia="宋体" w:cs="宋体"/>
          <w:sz w:val="57"/>
          <w:szCs w:val="57"/>
        </w:rPr>
      </w:pPr>
      <w:r>
        <w:rPr>
          <w:rFonts w:ascii="宋体" w:hAnsi="宋体" w:eastAsia="宋体" w:cs="宋体"/>
          <w:b/>
          <w:bCs/>
          <w:spacing w:val="-46"/>
          <w:sz w:val="57"/>
          <w:szCs w:val="57"/>
        </w:rPr>
        <w:t>杭州市城乡建设委员会关于印发</w:t>
      </w:r>
      <w:bookmarkStart w:id="0" w:name="_GoBack"/>
      <w:bookmarkEnd w:id="0"/>
      <w:r>
        <w:rPr>
          <w:rFonts w:ascii="宋体" w:hAnsi="宋体" w:eastAsia="宋体" w:cs="宋体"/>
          <w:b/>
          <w:bCs/>
          <w:spacing w:val="-42"/>
          <w:sz w:val="57"/>
          <w:szCs w:val="57"/>
        </w:rPr>
        <w:t>《特殊建设工程判定说明》的通知</w:t>
      </w:r>
    </w:p>
    <w:p w14:paraId="1E2D12DE">
      <w:pPr>
        <w:pStyle w:val="2"/>
        <w:spacing w:line="312" w:lineRule="auto"/>
      </w:pPr>
    </w:p>
    <w:p w14:paraId="3683C3D4">
      <w:pPr>
        <w:pStyle w:val="2"/>
        <w:spacing w:line="312" w:lineRule="auto"/>
      </w:pPr>
    </w:p>
    <w:p w14:paraId="44C9DE0D">
      <w:pPr>
        <w:spacing w:before="124" w:line="332" w:lineRule="auto"/>
        <w:ind w:left="20" w:right="58"/>
        <w:rPr>
          <w:rFonts w:ascii="仿宋" w:hAnsi="仿宋" w:eastAsia="仿宋" w:cs="仿宋"/>
          <w:sz w:val="38"/>
          <w:szCs w:val="38"/>
        </w:rPr>
      </w:pPr>
      <w:r>
        <w:rPr>
          <w:rFonts w:ascii="仿宋" w:hAnsi="仿宋" w:eastAsia="仿宋" w:cs="仿宋"/>
          <w:spacing w:val="18"/>
          <w:sz w:val="38"/>
          <w:szCs w:val="38"/>
        </w:rPr>
        <w:t>各区、县(市)住建局，景区管委会风景园林局，市</w:t>
      </w:r>
      <w:r>
        <w:rPr>
          <w:rFonts w:ascii="仿宋" w:hAnsi="仿宋" w:eastAsia="仿宋" w:cs="仿宋"/>
          <w:spacing w:val="17"/>
          <w:sz w:val="38"/>
          <w:szCs w:val="38"/>
        </w:rPr>
        <w:t>城建消防中</w:t>
      </w:r>
      <w:r>
        <w:rPr>
          <w:rFonts w:ascii="仿宋" w:hAnsi="仿宋" w:eastAsia="仿宋" w:cs="仿宋"/>
          <w:spacing w:val="-4"/>
          <w:sz w:val="38"/>
          <w:szCs w:val="38"/>
        </w:rPr>
        <w:t>心，各图审机构：</w:t>
      </w:r>
    </w:p>
    <w:p w14:paraId="79A9928E">
      <w:pPr>
        <w:spacing w:before="57" w:line="331" w:lineRule="auto"/>
        <w:ind w:left="20" w:right="79" w:firstLine="759"/>
        <w:jc w:val="both"/>
        <w:rPr>
          <w:rFonts w:ascii="仿宋" w:hAnsi="仿宋" w:eastAsia="仿宋" w:cs="仿宋"/>
          <w:sz w:val="38"/>
          <w:szCs w:val="38"/>
        </w:rPr>
      </w:pPr>
      <w:r>
        <w:rPr>
          <w:rFonts w:ascii="仿宋" w:hAnsi="仿宋" w:eastAsia="仿宋" w:cs="仿宋"/>
          <w:spacing w:val="3"/>
          <w:sz w:val="38"/>
          <w:szCs w:val="38"/>
        </w:rPr>
        <w:t>为进一步规范杭州市建设工程消防设计审查工作，统一特殊建设工程的判定标准，我委会同浙江精创建设工程施工图审查中</w:t>
      </w:r>
      <w:r>
        <w:rPr>
          <w:rFonts w:ascii="仿宋" w:hAnsi="仿宋" w:eastAsia="仿宋" w:cs="仿宋"/>
          <w:spacing w:val="-3"/>
          <w:sz w:val="38"/>
          <w:szCs w:val="38"/>
        </w:rPr>
        <w:t>心编制了《特殊建设工程判定说明》,现予以印</w:t>
      </w:r>
      <w:r>
        <w:rPr>
          <w:rFonts w:ascii="仿宋" w:hAnsi="仿宋" w:eastAsia="仿宋" w:cs="仿宋"/>
          <w:spacing w:val="-4"/>
          <w:sz w:val="38"/>
          <w:szCs w:val="38"/>
        </w:rPr>
        <w:t>发，请各单位遵照</w:t>
      </w:r>
      <w:r>
        <w:rPr>
          <w:rFonts w:ascii="仿宋" w:hAnsi="仿宋" w:eastAsia="仿宋" w:cs="仿宋"/>
          <w:spacing w:val="-1"/>
          <w:sz w:val="38"/>
          <w:szCs w:val="38"/>
        </w:rPr>
        <w:t>执行。国家及省另有规定的，从其规定。</w:t>
      </w:r>
    </w:p>
    <w:p w14:paraId="61B674D2">
      <w:pPr>
        <w:spacing w:before="176" w:line="219" w:lineRule="auto"/>
        <w:ind w:right="63"/>
        <w:jc w:val="right"/>
        <w:rPr>
          <w:rFonts w:ascii="仿宋" w:hAnsi="仿宋" w:eastAsia="仿宋" w:cs="仿宋"/>
          <w:sz w:val="37"/>
          <w:szCs w:val="37"/>
        </w:rPr>
      </w:pPr>
      <w:r>
        <w:rPr>
          <w:rFonts w:ascii="仿宋" w:hAnsi="仿宋" w:eastAsia="仿宋" w:cs="仿宋"/>
          <w:spacing w:val="14"/>
          <w:sz w:val="37"/>
          <w:szCs w:val="37"/>
        </w:rPr>
        <w:t>各相关单位在项目判定时存在疑问的，可与我委消防管理处</w:t>
      </w:r>
    </w:p>
    <w:p w14:paraId="2846A327">
      <w:pPr>
        <w:spacing w:before="173" w:line="221" w:lineRule="auto"/>
        <w:ind w:left="20"/>
        <w:rPr>
          <w:rFonts w:ascii="仿宋" w:hAnsi="仿宋" w:eastAsia="仿宋" w:cs="仿宋"/>
          <w:sz w:val="37"/>
          <w:szCs w:val="37"/>
        </w:rPr>
      </w:pPr>
      <w:r>
        <w:drawing>
          <wp:anchor distT="0" distB="0" distL="0" distR="0" simplePos="0" relativeHeight="251659264" behindDoc="0" locked="0" layoutInCell="1" allowOverlap="1">
            <wp:simplePos x="0" y="0"/>
            <wp:positionH relativeFrom="column">
              <wp:posOffset>3803015</wp:posOffset>
            </wp:positionH>
            <wp:positionV relativeFrom="paragraph">
              <wp:posOffset>128905</wp:posOffset>
            </wp:positionV>
            <wp:extent cx="1892300" cy="1854835"/>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5"/>
                    <a:stretch>
                      <a:fillRect/>
                    </a:stretch>
                  </pic:blipFill>
                  <pic:spPr>
                    <a:xfrm>
                      <a:off x="0" y="0"/>
                      <a:ext cx="1892343" cy="1854551"/>
                    </a:xfrm>
                    <a:prstGeom prst="rect">
                      <a:avLst/>
                    </a:prstGeom>
                  </pic:spPr>
                </pic:pic>
              </a:graphicData>
            </a:graphic>
          </wp:anchor>
        </w:drawing>
      </w:r>
      <w:r>
        <w:rPr>
          <w:rFonts w:ascii="仿宋" w:hAnsi="仿宋" w:eastAsia="仿宋" w:cs="仿宋"/>
          <w:spacing w:val="10"/>
          <w:sz w:val="37"/>
          <w:szCs w:val="37"/>
        </w:rPr>
        <w:t>咨询联系。必要时市建委可组织召开专家会进行论证明确。</w:t>
      </w:r>
    </w:p>
    <w:p w14:paraId="6E47AFF4">
      <w:pPr>
        <w:pStyle w:val="2"/>
        <w:spacing w:line="295" w:lineRule="auto"/>
      </w:pPr>
    </w:p>
    <w:p w14:paraId="6ECC1296">
      <w:pPr>
        <w:pStyle w:val="2"/>
        <w:spacing w:line="295" w:lineRule="auto"/>
      </w:pPr>
    </w:p>
    <w:p w14:paraId="1F98FD30">
      <w:pPr>
        <w:pStyle w:val="2"/>
        <w:spacing w:line="295" w:lineRule="auto"/>
      </w:pPr>
    </w:p>
    <w:p w14:paraId="62ECA9B3">
      <w:pPr>
        <w:spacing w:before="120" w:line="222" w:lineRule="auto"/>
        <w:ind w:left="5609"/>
        <w:rPr>
          <w:rFonts w:ascii="仿宋" w:hAnsi="仿宋" w:eastAsia="仿宋" w:cs="仿宋"/>
          <w:sz w:val="37"/>
          <w:szCs w:val="37"/>
        </w:rPr>
      </w:pPr>
      <w:r>
        <w:rPr>
          <w:rFonts w:ascii="仿宋" w:hAnsi="仿宋" w:eastAsia="仿宋" w:cs="仿宋"/>
          <w:spacing w:val="13"/>
          <w:sz w:val="37"/>
          <w:szCs w:val="37"/>
        </w:rPr>
        <w:t>杭州市城乡建设委员会</w:t>
      </w:r>
    </w:p>
    <w:p w14:paraId="22C7F94D">
      <w:pPr>
        <w:spacing w:before="306" w:line="222" w:lineRule="auto"/>
        <w:ind w:left="6279"/>
        <w:rPr>
          <w:rFonts w:ascii="仿宋" w:hAnsi="仿宋" w:eastAsia="仿宋" w:cs="仿宋"/>
          <w:sz w:val="37"/>
          <w:szCs w:val="37"/>
        </w:rPr>
      </w:pPr>
      <w:r>
        <w:rPr>
          <w:rFonts w:ascii="仿宋" w:hAnsi="仿宋" w:eastAsia="仿宋" w:cs="仿宋"/>
          <w:spacing w:val="53"/>
          <w:sz w:val="37"/>
          <w:szCs w:val="37"/>
        </w:rPr>
        <w:t>2025年4月27日</w:t>
      </w:r>
    </w:p>
    <w:p w14:paraId="27A0C6A0">
      <w:pPr>
        <w:spacing w:before="185" w:line="222" w:lineRule="auto"/>
        <w:ind w:left="940"/>
        <w:rPr>
          <w:rFonts w:ascii="仿宋" w:hAnsi="仿宋" w:eastAsia="仿宋" w:cs="仿宋"/>
          <w:sz w:val="37"/>
          <w:szCs w:val="37"/>
        </w:rPr>
      </w:pPr>
      <w:r>
        <w:rPr>
          <w:rFonts w:ascii="仿宋" w:hAnsi="仿宋" w:eastAsia="仿宋" w:cs="仿宋"/>
          <w:spacing w:val="18"/>
          <w:sz w:val="37"/>
          <w:szCs w:val="37"/>
        </w:rPr>
        <w:t>(联系人：南博文，联系电话：85254193)</w:t>
      </w:r>
    </w:p>
    <w:p w14:paraId="6A8743DA">
      <w:pPr>
        <w:spacing w:line="222" w:lineRule="auto"/>
        <w:rPr>
          <w:rFonts w:ascii="仿宋" w:hAnsi="仿宋" w:eastAsia="仿宋" w:cs="仿宋"/>
          <w:sz w:val="37"/>
          <w:szCs w:val="37"/>
        </w:rPr>
        <w:sectPr>
          <w:footerReference r:id="rId5" w:type="default"/>
          <w:pgSz w:w="14720" w:h="20640"/>
          <w:pgMar w:top="1754" w:right="2190" w:bottom="2359" w:left="1690" w:header="0" w:footer="1889" w:gutter="0"/>
          <w:cols w:space="720" w:num="1"/>
        </w:sectPr>
      </w:pPr>
    </w:p>
    <w:p w14:paraId="7143899E">
      <w:pPr>
        <w:pStyle w:val="2"/>
        <w:spacing w:line="348" w:lineRule="auto"/>
      </w:pPr>
    </w:p>
    <w:p w14:paraId="2831C6F6">
      <w:pPr>
        <w:pStyle w:val="2"/>
        <w:spacing w:line="349" w:lineRule="auto"/>
      </w:pPr>
    </w:p>
    <w:p w14:paraId="0D6A3670">
      <w:pPr>
        <w:spacing w:before="172" w:line="219" w:lineRule="auto"/>
        <w:ind w:left="2797"/>
        <w:rPr>
          <w:rFonts w:ascii="宋体" w:hAnsi="宋体" w:eastAsia="宋体" w:cs="宋体"/>
          <w:sz w:val="53"/>
          <w:szCs w:val="53"/>
        </w:rPr>
      </w:pPr>
      <w:r>
        <w:rPr>
          <w:rFonts w:ascii="宋体" w:hAnsi="宋体" w:eastAsia="宋体" w:cs="宋体"/>
          <w:b/>
          <w:bCs/>
          <w:spacing w:val="-8"/>
          <w:sz w:val="53"/>
          <w:szCs w:val="53"/>
        </w:rPr>
        <w:t>特殊建设工程判定说明</w:t>
      </w:r>
    </w:p>
    <w:p w14:paraId="3963D77D">
      <w:pPr>
        <w:pStyle w:val="2"/>
        <w:spacing w:line="340" w:lineRule="auto"/>
      </w:pPr>
    </w:p>
    <w:p w14:paraId="3040CFBD">
      <w:pPr>
        <w:pStyle w:val="2"/>
        <w:spacing w:line="340" w:lineRule="auto"/>
      </w:pPr>
    </w:p>
    <w:p w14:paraId="3BC4566A">
      <w:pPr>
        <w:spacing w:before="123" w:line="223" w:lineRule="auto"/>
        <w:ind w:left="835"/>
        <w:outlineLvl w:val="1"/>
        <w:rPr>
          <w:rFonts w:ascii="黑体" w:hAnsi="黑体" w:eastAsia="黑体" w:cs="黑体"/>
          <w:sz w:val="38"/>
          <w:szCs w:val="38"/>
        </w:rPr>
      </w:pPr>
      <w:r>
        <w:rPr>
          <w:rFonts w:ascii="黑体" w:hAnsi="黑体" w:eastAsia="黑体" w:cs="黑体"/>
          <w:b/>
          <w:bCs/>
          <w:spacing w:val="-3"/>
          <w:sz w:val="38"/>
          <w:szCs w:val="38"/>
        </w:rPr>
        <w:t>一、适用范围</w:t>
      </w:r>
    </w:p>
    <w:p w14:paraId="15A98791">
      <w:pPr>
        <w:spacing w:before="301" w:line="342" w:lineRule="auto"/>
        <w:ind w:right="5" w:firstLine="829"/>
        <w:rPr>
          <w:rFonts w:ascii="仿宋" w:hAnsi="仿宋" w:eastAsia="仿宋" w:cs="仿宋"/>
          <w:sz w:val="35"/>
          <w:szCs w:val="35"/>
        </w:rPr>
      </w:pPr>
      <w:r>
        <w:rPr>
          <w:rFonts w:ascii="仿宋" w:hAnsi="仿宋" w:eastAsia="仿宋" w:cs="仿宋"/>
          <w:spacing w:val="33"/>
          <w:sz w:val="35"/>
          <w:szCs w:val="35"/>
        </w:rPr>
        <w:t>本说明仅适用于特殊建设工程和其他建设工程的</w:t>
      </w:r>
      <w:r>
        <w:rPr>
          <w:rFonts w:ascii="仿宋" w:hAnsi="仿宋" w:eastAsia="仿宋" w:cs="仿宋"/>
          <w:spacing w:val="32"/>
          <w:sz w:val="35"/>
          <w:szCs w:val="35"/>
        </w:rPr>
        <w:t>判定。建设</w:t>
      </w:r>
      <w:r>
        <w:rPr>
          <w:rFonts w:ascii="仿宋" w:hAnsi="仿宋" w:eastAsia="仿宋" w:cs="仿宋"/>
          <w:spacing w:val="31"/>
          <w:sz w:val="35"/>
          <w:szCs w:val="35"/>
        </w:rPr>
        <w:t>工程设计、施工等流程应执行相应国家标准规范。</w:t>
      </w:r>
    </w:p>
    <w:p w14:paraId="55B27687">
      <w:pPr>
        <w:spacing w:before="49" w:line="222" w:lineRule="auto"/>
        <w:ind w:left="835"/>
        <w:outlineLvl w:val="1"/>
        <w:rPr>
          <w:rFonts w:ascii="黑体" w:hAnsi="黑体" w:eastAsia="黑体" w:cs="黑体"/>
          <w:sz w:val="38"/>
          <w:szCs w:val="38"/>
        </w:rPr>
      </w:pPr>
      <w:r>
        <w:rPr>
          <w:rFonts w:ascii="黑体" w:hAnsi="黑体" w:eastAsia="黑体" w:cs="黑体"/>
          <w:b/>
          <w:bCs/>
          <w:sz w:val="38"/>
          <w:szCs w:val="38"/>
        </w:rPr>
        <w:t>二、基本原则</w:t>
      </w:r>
    </w:p>
    <w:p w14:paraId="1FBCB16C">
      <w:pPr>
        <w:spacing w:before="246" w:line="280" w:lineRule="auto"/>
        <w:ind w:right="179" w:firstLine="829"/>
        <w:rPr>
          <w:rFonts w:ascii="仿宋" w:hAnsi="仿宋" w:eastAsia="仿宋" w:cs="仿宋"/>
          <w:sz w:val="38"/>
          <w:szCs w:val="38"/>
        </w:rPr>
      </w:pPr>
      <w:r>
        <w:rPr>
          <w:rFonts w:ascii="楷体" w:hAnsi="楷体" w:eastAsia="楷体" w:cs="楷体"/>
          <w:spacing w:val="7"/>
          <w:sz w:val="38"/>
          <w:szCs w:val="38"/>
        </w:rPr>
        <w:t>(一)依法依规</w:t>
      </w:r>
      <w:r>
        <w:rPr>
          <w:rFonts w:ascii="仿宋" w:hAnsi="仿宋" w:eastAsia="仿宋" w:cs="仿宋"/>
          <w:spacing w:val="7"/>
          <w:sz w:val="38"/>
          <w:szCs w:val="38"/>
        </w:rPr>
        <w:t>。严格依照国家及地方相关法律法规和技术</w:t>
      </w:r>
      <w:r>
        <w:rPr>
          <w:rFonts w:ascii="仿宋" w:hAnsi="仿宋" w:eastAsia="仿宋" w:cs="仿宋"/>
          <w:spacing w:val="2"/>
          <w:sz w:val="38"/>
          <w:szCs w:val="38"/>
        </w:rPr>
        <w:t>标准执行，不得擅自扩大或缩小特殊建设工程范围。</w:t>
      </w:r>
    </w:p>
    <w:p w14:paraId="3BD6E335">
      <w:pPr>
        <w:spacing w:before="243" w:line="279" w:lineRule="auto"/>
        <w:ind w:firstLine="999"/>
        <w:rPr>
          <w:rFonts w:ascii="仿宋" w:hAnsi="仿宋" w:eastAsia="仿宋" w:cs="仿宋"/>
          <w:sz w:val="38"/>
          <w:szCs w:val="38"/>
        </w:rPr>
      </w:pPr>
      <w:r>
        <w:rPr>
          <w:rFonts w:ascii="楷体" w:hAnsi="楷体" w:eastAsia="楷体" w:cs="楷体"/>
          <w:spacing w:val="11"/>
          <w:sz w:val="38"/>
          <w:szCs w:val="38"/>
        </w:rPr>
        <w:t>(二)科学合理</w:t>
      </w:r>
      <w:r>
        <w:rPr>
          <w:rFonts w:ascii="仿宋" w:hAnsi="仿宋" w:eastAsia="仿宋" w:cs="仿宋"/>
          <w:spacing w:val="11"/>
          <w:sz w:val="38"/>
          <w:szCs w:val="38"/>
        </w:rPr>
        <w:t>。结合工程项目性质、规模、使用功能等要</w:t>
      </w:r>
      <w:r>
        <w:rPr>
          <w:rFonts w:ascii="仿宋" w:hAnsi="仿宋" w:eastAsia="仿宋" w:cs="仿宋"/>
          <w:spacing w:val="-6"/>
          <w:sz w:val="38"/>
          <w:szCs w:val="38"/>
        </w:rPr>
        <w:t>素综合判定。</w:t>
      </w:r>
    </w:p>
    <w:p w14:paraId="4232E033">
      <w:pPr>
        <w:spacing w:before="239" w:line="279" w:lineRule="auto"/>
        <w:ind w:right="29" w:firstLine="829"/>
        <w:rPr>
          <w:rFonts w:ascii="仿宋" w:hAnsi="仿宋" w:eastAsia="仿宋" w:cs="仿宋"/>
          <w:sz w:val="38"/>
          <w:szCs w:val="38"/>
        </w:rPr>
      </w:pPr>
      <w:r>
        <w:rPr>
          <w:rFonts w:ascii="楷体" w:hAnsi="楷体" w:eastAsia="楷体" w:cs="楷体"/>
          <w:spacing w:val="9"/>
          <w:sz w:val="38"/>
          <w:szCs w:val="38"/>
        </w:rPr>
        <w:t>(三)从严从紧</w:t>
      </w:r>
      <w:r>
        <w:rPr>
          <w:rFonts w:ascii="仿宋" w:hAnsi="仿宋" w:eastAsia="仿宋" w:cs="仿宋"/>
          <w:spacing w:val="9"/>
          <w:sz w:val="38"/>
          <w:szCs w:val="38"/>
        </w:rPr>
        <w:t>。对存在判定争议的项目，按照"从</w:t>
      </w:r>
      <w:r>
        <w:rPr>
          <w:rFonts w:ascii="仿宋" w:hAnsi="仿宋" w:eastAsia="仿宋" w:cs="仿宋"/>
          <w:spacing w:val="8"/>
          <w:sz w:val="38"/>
          <w:szCs w:val="38"/>
        </w:rPr>
        <w:t>严掌握、</w:t>
      </w:r>
      <w:r>
        <w:rPr>
          <w:rFonts w:ascii="仿宋" w:hAnsi="仿宋" w:eastAsia="仿宋" w:cs="仿宋"/>
          <w:spacing w:val="-7"/>
          <w:sz w:val="38"/>
          <w:szCs w:val="38"/>
        </w:rPr>
        <w:t>就高不就低"原则处理。</w:t>
      </w:r>
    </w:p>
    <w:p w14:paraId="4BBDDC33">
      <w:pPr>
        <w:spacing w:before="287" w:line="222" w:lineRule="auto"/>
        <w:ind w:left="835"/>
        <w:outlineLvl w:val="1"/>
        <w:rPr>
          <w:rFonts w:ascii="黑体" w:hAnsi="黑体" w:eastAsia="黑体" w:cs="黑体"/>
          <w:sz w:val="38"/>
          <w:szCs w:val="38"/>
        </w:rPr>
      </w:pPr>
      <w:r>
        <w:rPr>
          <w:rFonts w:ascii="黑体" w:hAnsi="黑体" w:eastAsia="黑体" w:cs="黑体"/>
          <w:b/>
          <w:bCs/>
          <w:spacing w:val="-3"/>
          <w:sz w:val="38"/>
          <w:szCs w:val="38"/>
        </w:rPr>
        <w:t>三、总体要求</w:t>
      </w:r>
    </w:p>
    <w:p w14:paraId="0524452D">
      <w:pPr>
        <w:spacing w:before="233" w:line="297" w:lineRule="auto"/>
        <w:ind w:right="61" w:firstLine="829"/>
        <w:rPr>
          <w:rFonts w:ascii="仿宋" w:hAnsi="仿宋" w:eastAsia="仿宋" w:cs="仿宋"/>
          <w:sz w:val="38"/>
          <w:szCs w:val="38"/>
        </w:rPr>
      </w:pPr>
      <w:r>
        <w:rPr>
          <w:rFonts w:ascii="宋体" w:hAnsi="宋体" w:eastAsia="宋体" w:cs="宋体"/>
          <w:spacing w:val="19"/>
          <w:sz w:val="38"/>
          <w:szCs w:val="38"/>
        </w:rPr>
        <w:t>(一</w:t>
      </w:r>
      <w:r>
        <w:rPr>
          <w:rFonts w:ascii="仿宋" w:hAnsi="仿宋" w:eastAsia="仿宋" w:cs="仿宋"/>
          <w:spacing w:val="19"/>
          <w:sz w:val="38"/>
          <w:szCs w:val="38"/>
        </w:rPr>
        <w:t>)特殊建设工程判定应严格按照住建部令第58号《建</w:t>
      </w:r>
      <w:r>
        <w:rPr>
          <w:rFonts w:ascii="仿宋" w:hAnsi="仿宋" w:eastAsia="仿宋" w:cs="仿宋"/>
          <w:spacing w:val="-4"/>
          <w:sz w:val="38"/>
          <w:szCs w:val="38"/>
        </w:rPr>
        <w:t>设工程消防设计审查验收管理暂行规定》(以下简称《部令》),及</w:t>
      </w:r>
      <w:r>
        <w:rPr>
          <w:rFonts w:ascii="仿宋" w:hAnsi="仿宋" w:eastAsia="仿宋" w:cs="仿宋"/>
          <w:spacing w:val="2"/>
          <w:sz w:val="38"/>
          <w:szCs w:val="38"/>
        </w:rPr>
        <w:t>住建部相关问题回复等要求执行。</w:t>
      </w:r>
    </w:p>
    <w:p w14:paraId="7EAE4C6E">
      <w:pPr>
        <w:spacing w:before="264" w:line="317" w:lineRule="auto"/>
        <w:ind w:right="49" w:firstLine="829"/>
        <w:rPr>
          <w:rFonts w:ascii="仿宋" w:hAnsi="仿宋" w:eastAsia="仿宋" w:cs="仿宋"/>
          <w:sz w:val="38"/>
          <w:szCs w:val="38"/>
        </w:rPr>
      </w:pPr>
      <w:r>
        <w:rPr>
          <w:rFonts w:ascii="楷体" w:hAnsi="楷体" w:eastAsia="楷体" w:cs="楷体"/>
          <w:spacing w:val="-3"/>
          <w:sz w:val="38"/>
          <w:szCs w:val="38"/>
        </w:rPr>
        <w:t>(二</w:t>
      </w:r>
      <w:r>
        <w:rPr>
          <w:rFonts w:ascii="仿宋" w:hAnsi="仿宋" w:eastAsia="仿宋" w:cs="仿宋"/>
          <w:spacing w:val="-3"/>
          <w:sz w:val="38"/>
          <w:szCs w:val="38"/>
        </w:rPr>
        <w:t>)依据《部令》,建设工程规划许可是申请消防设计审查</w:t>
      </w:r>
      <w:r>
        <w:rPr>
          <w:rFonts w:ascii="仿宋" w:hAnsi="仿宋" w:eastAsia="仿宋" w:cs="仿宋"/>
          <w:spacing w:val="3"/>
          <w:sz w:val="38"/>
          <w:szCs w:val="38"/>
        </w:rPr>
        <w:t>要件之一，多个单体建筑在同一建设工程规划许可文件上时，应视为一项建设工程，其中任一单体具有《部令》第十四条所列的情形属于特殊建设工程时，该建设工程所有单体均需进行消防设</w:t>
      </w:r>
      <w:r>
        <w:rPr>
          <w:rFonts w:ascii="仿宋" w:hAnsi="仿宋" w:eastAsia="仿宋" w:cs="仿宋"/>
          <w:spacing w:val="-4"/>
          <w:sz w:val="38"/>
          <w:szCs w:val="38"/>
        </w:rPr>
        <w:t>计审查。</w:t>
      </w:r>
    </w:p>
    <w:p w14:paraId="3AC041F7">
      <w:pPr>
        <w:spacing w:before="242" w:line="226" w:lineRule="auto"/>
        <w:ind w:left="829"/>
        <w:rPr>
          <w:rFonts w:ascii="仿宋" w:hAnsi="仿宋" w:eastAsia="仿宋" w:cs="仿宋"/>
          <w:sz w:val="38"/>
          <w:szCs w:val="38"/>
        </w:rPr>
      </w:pPr>
      <w:r>
        <w:rPr>
          <w:rFonts w:ascii="楷体" w:hAnsi="楷体" w:eastAsia="楷体" w:cs="楷体"/>
          <w:spacing w:val="-2"/>
          <w:sz w:val="38"/>
          <w:szCs w:val="38"/>
        </w:rPr>
        <w:t>(三</w:t>
      </w:r>
      <w:r>
        <w:rPr>
          <w:rFonts w:ascii="仿宋" w:hAnsi="仿宋" w:eastAsia="仿宋" w:cs="仿宋"/>
          <w:spacing w:val="-2"/>
          <w:sz w:val="38"/>
          <w:szCs w:val="38"/>
        </w:rPr>
        <w:t>)《部令》第十四条各项中的“总建筑面积”,是指同一</w:t>
      </w:r>
    </w:p>
    <w:p w14:paraId="3308D837">
      <w:pPr>
        <w:spacing w:line="226" w:lineRule="auto"/>
        <w:rPr>
          <w:rFonts w:ascii="仿宋" w:hAnsi="仿宋" w:eastAsia="仿宋" w:cs="仿宋"/>
          <w:sz w:val="38"/>
          <w:szCs w:val="38"/>
        </w:rPr>
        <w:sectPr>
          <w:footerReference r:id="rId6" w:type="default"/>
          <w:pgSz w:w="14480" w:h="20480"/>
          <w:pgMar w:top="1740" w:right="2150" w:bottom="2170" w:left="1539" w:header="0" w:footer="1713" w:gutter="0"/>
          <w:cols w:space="720" w:num="1"/>
        </w:sectPr>
      </w:pPr>
    </w:p>
    <w:p w14:paraId="75DE89D5">
      <w:pPr>
        <w:pStyle w:val="2"/>
        <w:spacing w:line="305" w:lineRule="auto"/>
      </w:pPr>
    </w:p>
    <w:p w14:paraId="62B3BADF">
      <w:pPr>
        <w:pStyle w:val="2"/>
        <w:spacing w:line="306" w:lineRule="auto"/>
      </w:pPr>
    </w:p>
    <w:p w14:paraId="11590E89">
      <w:pPr>
        <w:pStyle w:val="2"/>
        <w:spacing w:line="306" w:lineRule="auto"/>
      </w:pPr>
    </w:p>
    <w:p w14:paraId="31B21D10">
      <w:pPr>
        <w:spacing w:before="120" w:line="354" w:lineRule="auto"/>
        <w:ind w:left="18" w:right="86" w:hanging="19"/>
        <w:rPr>
          <w:rFonts w:ascii="仿宋" w:hAnsi="仿宋" w:eastAsia="仿宋" w:cs="仿宋"/>
          <w:sz w:val="37"/>
          <w:szCs w:val="37"/>
        </w:rPr>
      </w:pPr>
      <w:r>
        <w:rPr>
          <w:rFonts w:ascii="仿宋" w:hAnsi="仿宋" w:eastAsia="仿宋" w:cs="仿宋"/>
          <w:spacing w:val="15"/>
          <w:sz w:val="37"/>
          <w:szCs w:val="37"/>
        </w:rPr>
        <w:t>次申报时，该条中同一项所列功能场所在同一单体建筑物内建筑</w:t>
      </w:r>
      <w:r>
        <w:rPr>
          <w:rFonts w:ascii="仿宋" w:hAnsi="仿宋" w:eastAsia="仿宋" w:cs="仿宋"/>
          <w:spacing w:val="26"/>
          <w:sz w:val="37"/>
          <w:szCs w:val="37"/>
        </w:rPr>
        <w:t>面积的总和(含地下室、半地下室):</w:t>
      </w:r>
    </w:p>
    <w:p w14:paraId="343F4D4C">
      <w:pPr>
        <w:spacing w:before="2" w:line="286" w:lineRule="auto"/>
        <w:ind w:left="19" w:right="50" w:firstLine="740"/>
        <w:rPr>
          <w:rFonts w:ascii="仿宋" w:hAnsi="仿宋" w:eastAsia="仿宋" w:cs="仿宋"/>
          <w:sz w:val="37"/>
          <w:szCs w:val="37"/>
        </w:rPr>
      </w:pPr>
      <w:r>
        <w:rPr>
          <w:rFonts w:ascii="宋体" w:hAnsi="宋体" w:eastAsia="宋体" w:cs="宋体"/>
          <w:spacing w:val="16"/>
          <w:sz w:val="37"/>
          <w:szCs w:val="37"/>
        </w:rPr>
        <w:t>1.</w:t>
      </w:r>
      <w:r>
        <w:rPr>
          <w:rFonts w:ascii="仿宋" w:hAnsi="仿宋" w:eastAsia="仿宋" w:cs="仿宋"/>
          <w:spacing w:val="16"/>
          <w:sz w:val="37"/>
          <w:szCs w:val="37"/>
        </w:rPr>
        <w:t>设在同一单体建筑物内不同部位的多个功能场所属于本条</w:t>
      </w:r>
      <w:r>
        <w:rPr>
          <w:rFonts w:ascii="仿宋" w:hAnsi="仿宋" w:eastAsia="仿宋" w:cs="仿宋"/>
          <w:spacing w:val="11"/>
          <w:sz w:val="37"/>
          <w:szCs w:val="37"/>
        </w:rPr>
        <w:t>规定的同一项的，其建筑面积应当叠加计算；</w:t>
      </w:r>
    </w:p>
    <w:p w14:paraId="33D09AE9">
      <w:pPr>
        <w:spacing w:before="222" w:line="317" w:lineRule="auto"/>
        <w:ind w:left="19" w:right="54" w:firstLine="740"/>
        <w:rPr>
          <w:rFonts w:ascii="仿宋" w:hAnsi="仿宋" w:eastAsia="仿宋" w:cs="仿宋"/>
          <w:sz w:val="37"/>
          <w:szCs w:val="37"/>
        </w:rPr>
      </w:pPr>
      <w:r>
        <w:rPr>
          <w:rFonts w:ascii="宋体" w:hAnsi="宋体" w:eastAsia="宋体" w:cs="宋体"/>
          <w:spacing w:val="15"/>
          <w:sz w:val="37"/>
          <w:szCs w:val="37"/>
        </w:rPr>
        <w:t>2.</w:t>
      </w:r>
      <w:r>
        <w:rPr>
          <w:rFonts w:ascii="仿宋" w:hAnsi="仿宋" w:eastAsia="仿宋" w:cs="仿宋"/>
          <w:spacing w:val="15"/>
          <w:sz w:val="37"/>
          <w:szCs w:val="37"/>
        </w:rPr>
        <w:t>设在同一单体建筑物内不同部位的多个功能场所属于本条规定的同一项，但属于两个及以上不同的建设单位，且场所之间</w:t>
      </w:r>
      <w:r>
        <w:rPr>
          <w:rFonts w:ascii="仿宋" w:hAnsi="仿宋" w:eastAsia="仿宋" w:cs="仿宋"/>
          <w:spacing w:val="16"/>
          <w:sz w:val="37"/>
          <w:szCs w:val="37"/>
        </w:rPr>
        <w:t>采用不开设门窗洞口的防火墙、耐火极限不低于2.00</w:t>
      </w:r>
      <w:r>
        <w:rPr>
          <w:rFonts w:ascii="宋体" w:hAnsi="宋体" w:eastAsia="宋体" w:cs="宋体"/>
          <w:spacing w:val="16"/>
          <w:sz w:val="37"/>
          <w:szCs w:val="37"/>
        </w:rPr>
        <w:t>h</w:t>
      </w:r>
      <w:r>
        <w:rPr>
          <w:rFonts w:ascii="仿宋" w:hAnsi="仿宋" w:eastAsia="仿宋" w:cs="仿宋"/>
          <w:spacing w:val="16"/>
          <w:sz w:val="37"/>
          <w:szCs w:val="37"/>
        </w:rPr>
        <w:t>的楼板分</w:t>
      </w:r>
      <w:r>
        <w:rPr>
          <w:rFonts w:ascii="仿宋" w:hAnsi="仿宋" w:eastAsia="仿宋" w:cs="仿宋"/>
          <w:spacing w:val="11"/>
          <w:sz w:val="37"/>
          <w:szCs w:val="37"/>
        </w:rPr>
        <w:t>隔并具备独立疏散条件的，其建筑面积可不叠加计算；</w:t>
      </w:r>
    </w:p>
    <w:p w14:paraId="5922213E">
      <w:pPr>
        <w:spacing w:before="299" w:line="281" w:lineRule="auto"/>
        <w:ind w:left="19" w:right="90" w:firstLine="740"/>
        <w:rPr>
          <w:rFonts w:ascii="仿宋" w:hAnsi="仿宋" w:eastAsia="仿宋" w:cs="仿宋"/>
          <w:sz w:val="37"/>
          <w:szCs w:val="37"/>
        </w:rPr>
      </w:pPr>
      <w:r>
        <w:rPr>
          <w:rFonts w:ascii="宋体" w:hAnsi="宋体" w:eastAsia="宋体" w:cs="宋体"/>
          <w:spacing w:val="14"/>
          <w:sz w:val="37"/>
          <w:szCs w:val="37"/>
        </w:rPr>
        <w:t>3.</w:t>
      </w:r>
      <w:r>
        <w:rPr>
          <w:rFonts w:ascii="仿宋" w:hAnsi="仿宋" w:eastAsia="仿宋" w:cs="仿宋"/>
          <w:spacing w:val="14"/>
          <w:sz w:val="37"/>
          <w:szCs w:val="37"/>
        </w:rPr>
        <w:t>同一单体建筑物内的多个功能场所分属本条规定的不同项</w:t>
      </w:r>
      <w:r>
        <w:rPr>
          <w:rFonts w:ascii="仿宋" w:hAnsi="仿宋" w:eastAsia="仿宋" w:cs="仿宋"/>
          <w:spacing w:val="8"/>
          <w:sz w:val="37"/>
          <w:szCs w:val="37"/>
        </w:rPr>
        <w:t>的，其建筑面积可不叠加计算；</w:t>
      </w:r>
    </w:p>
    <w:p w14:paraId="6D6684FF">
      <w:pPr>
        <w:spacing w:before="241" w:line="291" w:lineRule="auto"/>
        <w:ind w:left="19" w:right="132" w:firstLine="740"/>
        <w:rPr>
          <w:rFonts w:ascii="仿宋" w:hAnsi="仿宋" w:eastAsia="仿宋" w:cs="仿宋"/>
          <w:sz w:val="37"/>
          <w:szCs w:val="37"/>
        </w:rPr>
      </w:pPr>
      <w:r>
        <w:rPr>
          <w:rFonts w:ascii="宋体" w:hAnsi="宋体" w:eastAsia="宋体" w:cs="宋体"/>
          <w:spacing w:val="13"/>
          <w:sz w:val="37"/>
          <w:szCs w:val="37"/>
        </w:rPr>
        <w:t>4.</w:t>
      </w:r>
      <w:r>
        <w:rPr>
          <w:rFonts w:ascii="仿宋" w:hAnsi="仿宋" w:eastAsia="仿宋" w:cs="仿宋"/>
          <w:spacing w:val="13"/>
          <w:sz w:val="37"/>
          <w:szCs w:val="37"/>
        </w:rPr>
        <w:t>本条规定的同一项功能场所分布在不同单体建筑物内的，</w:t>
      </w:r>
      <w:r>
        <w:rPr>
          <w:rFonts w:ascii="仿宋" w:hAnsi="仿宋" w:eastAsia="仿宋" w:cs="仿宋"/>
          <w:spacing w:val="10"/>
          <w:sz w:val="37"/>
          <w:szCs w:val="37"/>
        </w:rPr>
        <w:t>不同单体的建筑面积可不叠加计算；</w:t>
      </w:r>
    </w:p>
    <w:p w14:paraId="7A565909">
      <w:pPr>
        <w:spacing w:before="260" w:line="334" w:lineRule="auto"/>
        <w:ind w:left="19" w:right="32" w:firstLine="740"/>
        <w:rPr>
          <w:rFonts w:ascii="宋体" w:hAnsi="宋体" w:eastAsia="宋体" w:cs="宋体"/>
          <w:sz w:val="37"/>
          <w:szCs w:val="37"/>
        </w:rPr>
      </w:pPr>
      <w:r>
        <w:rPr>
          <w:rFonts w:ascii="宋体" w:hAnsi="宋体" w:eastAsia="宋体" w:cs="宋体"/>
          <w:spacing w:val="16"/>
          <w:sz w:val="37"/>
          <w:szCs w:val="37"/>
        </w:rPr>
        <w:t>5.</w:t>
      </w:r>
      <w:r>
        <w:rPr>
          <w:rFonts w:ascii="仿宋" w:hAnsi="仿宋" w:eastAsia="仿宋" w:cs="仿宋"/>
          <w:spacing w:val="16"/>
          <w:sz w:val="37"/>
          <w:szCs w:val="37"/>
        </w:rPr>
        <w:t>建筑的地上部分与对应的地下室属于同一个单体建筑。当</w:t>
      </w:r>
      <w:r>
        <w:rPr>
          <w:rFonts w:ascii="仿宋" w:hAnsi="仿宋" w:eastAsia="仿宋" w:cs="仿宋"/>
          <w:spacing w:val="15"/>
          <w:sz w:val="37"/>
          <w:szCs w:val="37"/>
        </w:rPr>
        <w:t>地上多个建筑对应一个地下室时，任一个地上单体建筑与地下室</w:t>
      </w:r>
      <w:r>
        <w:rPr>
          <w:rFonts w:ascii="仿宋" w:hAnsi="仿宋" w:eastAsia="仿宋" w:cs="仿宋"/>
          <w:spacing w:val="17"/>
          <w:sz w:val="37"/>
          <w:szCs w:val="37"/>
        </w:rPr>
        <w:t>相加作为同一单体建筑物。如地上建筑</w:t>
      </w:r>
      <w:r>
        <w:rPr>
          <w:rFonts w:ascii="宋体" w:hAnsi="宋体" w:eastAsia="宋体" w:cs="宋体"/>
          <w:spacing w:val="17"/>
          <w:sz w:val="37"/>
          <w:szCs w:val="37"/>
        </w:rPr>
        <w:t>A</w:t>
      </w:r>
      <w:r>
        <w:rPr>
          <w:rFonts w:ascii="仿宋" w:hAnsi="仿宋" w:eastAsia="仿宋" w:cs="仿宋"/>
          <w:spacing w:val="17"/>
          <w:sz w:val="37"/>
          <w:szCs w:val="37"/>
        </w:rPr>
        <w:t>(含裙房及其上</w:t>
      </w:r>
      <w:r>
        <w:rPr>
          <w:rFonts w:ascii="仿宋" w:hAnsi="仿宋" w:eastAsia="仿宋" w:cs="仿宋"/>
          <w:spacing w:val="16"/>
          <w:sz w:val="37"/>
          <w:szCs w:val="37"/>
        </w:rPr>
        <w:t>部</w:t>
      </w:r>
      <w:r>
        <w:rPr>
          <w:rFonts w:ascii="宋体" w:hAnsi="宋体" w:eastAsia="宋体" w:cs="宋体"/>
          <w:spacing w:val="16"/>
          <w:sz w:val="37"/>
          <w:szCs w:val="37"/>
        </w:rPr>
        <w:t>N</w:t>
      </w:r>
      <w:r>
        <w:rPr>
          <w:rFonts w:ascii="仿宋" w:hAnsi="仿宋" w:eastAsia="仿宋" w:cs="仿宋"/>
          <w:spacing w:val="16"/>
          <w:sz w:val="37"/>
          <w:szCs w:val="37"/>
        </w:rPr>
        <w:t>幢</w:t>
      </w:r>
      <w:r>
        <w:rPr>
          <w:rFonts w:ascii="仿宋" w:hAnsi="仿宋" w:eastAsia="仿宋" w:cs="仿宋"/>
          <w:spacing w:val="18"/>
          <w:sz w:val="37"/>
          <w:szCs w:val="37"/>
        </w:rPr>
        <w:t>主楼)、建筑</w:t>
      </w:r>
      <w:r>
        <w:rPr>
          <w:rFonts w:ascii="宋体" w:hAnsi="宋体" w:eastAsia="宋体" w:cs="宋体"/>
          <w:spacing w:val="18"/>
          <w:sz w:val="37"/>
          <w:szCs w:val="37"/>
        </w:rPr>
        <w:t>B</w:t>
      </w:r>
      <w:r>
        <w:rPr>
          <w:rFonts w:ascii="仿宋" w:hAnsi="仿宋" w:eastAsia="仿宋" w:cs="仿宋"/>
          <w:spacing w:val="18"/>
          <w:sz w:val="37"/>
          <w:szCs w:val="37"/>
        </w:rPr>
        <w:t>(含裙房及其上部</w:t>
      </w:r>
      <w:r>
        <w:rPr>
          <w:rFonts w:ascii="宋体" w:hAnsi="宋体" w:eastAsia="宋体" w:cs="宋体"/>
          <w:spacing w:val="18"/>
          <w:sz w:val="37"/>
          <w:szCs w:val="37"/>
        </w:rPr>
        <w:t>N</w:t>
      </w:r>
      <w:r>
        <w:rPr>
          <w:rFonts w:ascii="仿宋" w:hAnsi="仿宋" w:eastAsia="仿宋" w:cs="仿宋"/>
          <w:spacing w:val="18"/>
          <w:sz w:val="37"/>
          <w:szCs w:val="37"/>
        </w:rPr>
        <w:t>幢主楼)对应同一个地下室，</w:t>
      </w:r>
      <w:r>
        <w:rPr>
          <w:rFonts w:ascii="宋体" w:hAnsi="宋体" w:eastAsia="宋体" w:cs="宋体"/>
          <w:spacing w:val="-1"/>
          <w:sz w:val="37"/>
          <w:szCs w:val="37"/>
        </w:rPr>
        <w:t>A</w:t>
      </w:r>
      <w:r>
        <w:rPr>
          <w:rFonts w:ascii="仿宋" w:hAnsi="仿宋" w:eastAsia="仿宋" w:cs="仿宋"/>
          <w:spacing w:val="-1"/>
          <w:sz w:val="37"/>
          <w:szCs w:val="37"/>
        </w:rPr>
        <w:t>楼=</w:t>
      </w:r>
      <w:r>
        <w:rPr>
          <w:rFonts w:ascii="宋体" w:hAnsi="宋体" w:eastAsia="宋体" w:cs="宋体"/>
          <w:spacing w:val="-1"/>
          <w:sz w:val="37"/>
          <w:szCs w:val="37"/>
        </w:rPr>
        <w:t>A</w:t>
      </w:r>
      <w:r>
        <w:rPr>
          <w:rFonts w:ascii="仿宋" w:hAnsi="仿宋" w:eastAsia="仿宋" w:cs="仿宋"/>
          <w:spacing w:val="-1"/>
          <w:sz w:val="37"/>
          <w:szCs w:val="37"/>
        </w:rPr>
        <w:t>地上+地下室，</w:t>
      </w:r>
      <w:r>
        <w:rPr>
          <w:rFonts w:ascii="宋体" w:hAnsi="宋体" w:eastAsia="宋体" w:cs="宋体"/>
          <w:spacing w:val="-1"/>
          <w:sz w:val="37"/>
          <w:szCs w:val="37"/>
        </w:rPr>
        <w:t>B</w:t>
      </w:r>
      <w:r>
        <w:rPr>
          <w:rFonts w:ascii="仿宋" w:hAnsi="仿宋" w:eastAsia="仿宋" w:cs="仿宋"/>
          <w:spacing w:val="-1"/>
          <w:sz w:val="37"/>
          <w:szCs w:val="37"/>
        </w:rPr>
        <w:t>楼=</w:t>
      </w:r>
      <w:r>
        <w:rPr>
          <w:rFonts w:ascii="宋体" w:hAnsi="宋体" w:eastAsia="宋体" w:cs="宋体"/>
          <w:spacing w:val="-1"/>
          <w:sz w:val="37"/>
          <w:szCs w:val="37"/>
        </w:rPr>
        <w:t>B</w:t>
      </w:r>
      <w:r>
        <w:rPr>
          <w:rFonts w:ascii="仿宋" w:hAnsi="仿宋" w:eastAsia="仿宋" w:cs="仿宋"/>
          <w:spacing w:val="-1"/>
          <w:sz w:val="37"/>
          <w:szCs w:val="37"/>
        </w:rPr>
        <w:t>地上+地</w:t>
      </w:r>
      <w:r>
        <w:rPr>
          <w:rFonts w:ascii="仿宋" w:hAnsi="仿宋" w:eastAsia="仿宋" w:cs="仿宋"/>
          <w:spacing w:val="-2"/>
          <w:sz w:val="37"/>
          <w:szCs w:val="37"/>
        </w:rPr>
        <w:t>下室，分别判断</w:t>
      </w:r>
      <w:r>
        <w:rPr>
          <w:rFonts w:ascii="宋体" w:hAnsi="宋体" w:eastAsia="宋体" w:cs="宋体"/>
          <w:spacing w:val="-2"/>
          <w:sz w:val="37"/>
          <w:szCs w:val="37"/>
        </w:rPr>
        <w:t>A</w:t>
      </w:r>
      <w:r>
        <w:rPr>
          <w:rFonts w:ascii="仿宋" w:hAnsi="仿宋" w:eastAsia="仿宋" w:cs="仿宋"/>
          <w:spacing w:val="-2"/>
          <w:sz w:val="37"/>
          <w:szCs w:val="37"/>
        </w:rPr>
        <w:t>楼、</w:t>
      </w:r>
      <w:r>
        <w:rPr>
          <w:rFonts w:ascii="宋体" w:hAnsi="宋体" w:eastAsia="宋体" w:cs="宋体"/>
          <w:spacing w:val="-2"/>
          <w:sz w:val="37"/>
          <w:szCs w:val="37"/>
        </w:rPr>
        <w:t>B</w:t>
      </w:r>
      <w:r>
        <w:rPr>
          <w:rFonts w:ascii="仿宋" w:hAnsi="仿宋" w:eastAsia="仿宋" w:cs="仿宋"/>
          <w:spacing w:val="-2"/>
          <w:sz w:val="37"/>
          <w:szCs w:val="37"/>
        </w:rPr>
        <w:t>楼</w:t>
      </w:r>
      <w:r>
        <w:rPr>
          <w:rFonts w:ascii="仿宋" w:hAnsi="仿宋" w:eastAsia="仿宋" w:cs="仿宋"/>
          <w:spacing w:val="1"/>
          <w:sz w:val="37"/>
          <w:szCs w:val="37"/>
        </w:rPr>
        <w:t>中是否存在《部令》第十四条中的所列情形；当地下室</w:t>
      </w:r>
      <w:r>
        <w:rPr>
          <w:rFonts w:ascii="仿宋" w:hAnsi="仿宋" w:eastAsia="仿宋" w:cs="仿宋"/>
          <w:sz w:val="37"/>
          <w:szCs w:val="37"/>
        </w:rPr>
        <w:t>采用不开设</w:t>
      </w:r>
      <w:r>
        <w:rPr>
          <w:rFonts w:ascii="仿宋" w:hAnsi="仿宋" w:eastAsia="仿宋" w:cs="仿宋"/>
          <w:spacing w:val="15"/>
          <w:sz w:val="37"/>
          <w:szCs w:val="37"/>
        </w:rPr>
        <w:t>门窗洞口的防火墙及耐火极限不低于2.00</w:t>
      </w:r>
      <w:r>
        <w:rPr>
          <w:rFonts w:ascii="宋体" w:hAnsi="宋体" w:eastAsia="宋体" w:cs="宋体"/>
          <w:spacing w:val="15"/>
          <w:sz w:val="37"/>
          <w:szCs w:val="37"/>
        </w:rPr>
        <w:t>h</w:t>
      </w:r>
      <w:r>
        <w:rPr>
          <w:rFonts w:ascii="仿宋" w:hAnsi="仿宋" w:eastAsia="仿宋" w:cs="仿宋"/>
          <w:spacing w:val="15"/>
          <w:sz w:val="37"/>
          <w:szCs w:val="37"/>
        </w:rPr>
        <w:t>的楼板分隔并</w:t>
      </w:r>
      <w:r>
        <w:rPr>
          <w:rFonts w:ascii="仿宋" w:hAnsi="仿宋" w:eastAsia="仿宋" w:cs="仿宋"/>
          <w:spacing w:val="14"/>
          <w:sz w:val="37"/>
          <w:szCs w:val="37"/>
        </w:rPr>
        <w:t>具备独</w:t>
      </w:r>
      <w:r>
        <w:rPr>
          <w:rFonts w:ascii="仿宋" w:hAnsi="仿宋" w:eastAsia="仿宋" w:cs="仿宋"/>
          <w:spacing w:val="11"/>
          <w:sz w:val="37"/>
          <w:szCs w:val="37"/>
        </w:rPr>
        <w:t>立疏散条件的，地下室可以分别对应于</w:t>
      </w:r>
      <w:r>
        <w:rPr>
          <w:rFonts w:ascii="宋体" w:hAnsi="宋体" w:eastAsia="宋体" w:cs="宋体"/>
          <w:spacing w:val="11"/>
          <w:sz w:val="37"/>
          <w:szCs w:val="37"/>
        </w:rPr>
        <w:t>A</w:t>
      </w:r>
      <w:r>
        <w:rPr>
          <w:rFonts w:ascii="仿宋" w:hAnsi="仿宋" w:eastAsia="仿宋" w:cs="仿宋"/>
          <w:spacing w:val="11"/>
          <w:sz w:val="37"/>
          <w:szCs w:val="37"/>
        </w:rPr>
        <w:t>或</w:t>
      </w:r>
      <w:r>
        <w:rPr>
          <w:rFonts w:ascii="宋体" w:hAnsi="宋体" w:eastAsia="宋体" w:cs="宋体"/>
          <w:spacing w:val="11"/>
          <w:sz w:val="37"/>
          <w:szCs w:val="37"/>
        </w:rPr>
        <w:t>B。</w:t>
      </w:r>
    </w:p>
    <w:p w14:paraId="395CCF83">
      <w:pPr>
        <w:spacing w:before="261" w:line="349" w:lineRule="auto"/>
        <w:ind w:left="19" w:firstLine="970"/>
        <w:rPr>
          <w:rFonts w:ascii="仿宋" w:hAnsi="仿宋" w:eastAsia="仿宋" w:cs="仿宋"/>
          <w:sz w:val="37"/>
          <w:szCs w:val="37"/>
        </w:rPr>
      </w:pPr>
      <w:r>
        <w:rPr>
          <w:rFonts w:ascii="楷体" w:hAnsi="楷体" w:eastAsia="楷体" w:cs="楷体"/>
          <w:spacing w:val="30"/>
          <w:sz w:val="37"/>
          <w:szCs w:val="37"/>
        </w:rPr>
        <w:t>(四</w:t>
      </w:r>
      <w:r>
        <w:rPr>
          <w:rFonts w:ascii="仿宋" w:hAnsi="仿宋" w:eastAsia="仿宋" w:cs="仿宋"/>
          <w:spacing w:val="30"/>
          <w:sz w:val="37"/>
          <w:szCs w:val="37"/>
        </w:rPr>
        <w:t>)建设工程在验收(备案)合格后进行扩建时，其“总</w:t>
      </w:r>
      <w:r>
        <w:rPr>
          <w:rFonts w:ascii="仿宋" w:hAnsi="仿宋" w:eastAsia="仿宋" w:cs="仿宋"/>
          <w:spacing w:val="13"/>
          <w:sz w:val="37"/>
          <w:szCs w:val="37"/>
        </w:rPr>
        <w:t>建筑面积”应按照扩建后整体建设工程的建筑面积、规模计算。</w:t>
      </w:r>
    </w:p>
    <w:p w14:paraId="1919E2A5">
      <w:pPr>
        <w:spacing w:line="349" w:lineRule="auto"/>
        <w:rPr>
          <w:rFonts w:ascii="仿宋" w:hAnsi="仿宋" w:eastAsia="仿宋" w:cs="仿宋"/>
          <w:sz w:val="37"/>
          <w:szCs w:val="37"/>
        </w:rPr>
        <w:sectPr>
          <w:footerReference r:id="rId7" w:type="default"/>
          <w:pgSz w:w="14870" w:h="20750"/>
          <w:pgMar w:top="1763" w:right="1882" w:bottom="2304" w:left="2120" w:header="0" w:footer="1889" w:gutter="0"/>
          <w:cols w:space="720" w:num="1"/>
        </w:sectPr>
      </w:pPr>
    </w:p>
    <w:p w14:paraId="5AB10AD7">
      <w:pPr>
        <w:pStyle w:val="2"/>
        <w:spacing w:line="279" w:lineRule="auto"/>
      </w:pPr>
    </w:p>
    <w:p w14:paraId="3C549179">
      <w:pPr>
        <w:pStyle w:val="2"/>
        <w:spacing w:line="279" w:lineRule="auto"/>
      </w:pPr>
    </w:p>
    <w:p w14:paraId="24F508A0">
      <w:pPr>
        <w:pStyle w:val="2"/>
        <w:spacing w:line="279" w:lineRule="auto"/>
      </w:pPr>
    </w:p>
    <w:p w14:paraId="5C1BB609">
      <w:pPr>
        <w:spacing w:before="114" w:line="317" w:lineRule="auto"/>
        <w:ind w:right="266" w:firstLine="929"/>
        <w:rPr>
          <w:rFonts w:ascii="仿宋" w:hAnsi="仿宋" w:eastAsia="仿宋" w:cs="仿宋"/>
          <w:sz w:val="35"/>
          <w:szCs w:val="35"/>
        </w:rPr>
      </w:pPr>
      <w:r>
        <w:rPr>
          <w:rFonts w:ascii="楷体" w:hAnsi="楷体" w:eastAsia="楷体" w:cs="楷体"/>
          <w:spacing w:val="47"/>
          <w:sz w:val="35"/>
          <w:szCs w:val="35"/>
        </w:rPr>
        <w:t>(五</w:t>
      </w:r>
      <w:r>
        <w:rPr>
          <w:rFonts w:ascii="仿宋" w:hAnsi="仿宋" w:eastAsia="仿宋" w:cs="仿宋"/>
          <w:spacing w:val="47"/>
          <w:sz w:val="35"/>
          <w:szCs w:val="35"/>
        </w:rPr>
        <w:t>)建设工程在验收(备案)合格后，其局部场</w:t>
      </w:r>
      <w:r>
        <w:rPr>
          <w:rFonts w:ascii="仿宋" w:hAnsi="仿宋" w:eastAsia="仿宋" w:cs="仿宋"/>
          <w:spacing w:val="46"/>
          <w:sz w:val="35"/>
          <w:szCs w:val="35"/>
        </w:rPr>
        <w:t>所进行改</w:t>
      </w:r>
      <w:r>
        <w:rPr>
          <w:rFonts w:ascii="仿宋" w:hAnsi="仿宋" w:eastAsia="仿宋" w:cs="仿宋"/>
          <w:spacing w:val="33"/>
          <w:sz w:val="35"/>
          <w:szCs w:val="35"/>
        </w:rPr>
        <w:t>建或进行既有建筑改造时，其“总建筑面积”应按照该局</w:t>
      </w:r>
      <w:r>
        <w:rPr>
          <w:rFonts w:ascii="仿宋" w:hAnsi="仿宋" w:eastAsia="仿宋" w:cs="仿宋"/>
          <w:spacing w:val="32"/>
          <w:sz w:val="35"/>
          <w:szCs w:val="35"/>
        </w:rPr>
        <w:t>部场所</w:t>
      </w:r>
      <w:r>
        <w:rPr>
          <w:rFonts w:ascii="仿宋" w:hAnsi="仿宋" w:eastAsia="仿宋" w:cs="仿宋"/>
          <w:spacing w:val="28"/>
          <w:sz w:val="35"/>
          <w:szCs w:val="35"/>
        </w:rPr>
        <w:t>的建筑面积、规模计算。</w:t>
      </w:r>
    </w:p>
    <w:p w14:paraId="36080854">
      <w:pPr>
        <w:spacing w:before="318" w:line="283" w:lineRule="auto"/>
        <w:ind w:right="260" w:firstLine="929"/>
        <w:rPr>
          <w:rFonts w:ascii="仿宋" w:hAnsi="仿宋" w:eastAsia="仿宋" w:cs="仿宋"/>
          <w:sz w:val="35"/>
          <w:szCs w:val="35"/>
        </w:rPr>
      </w:pPr>
      <w:r>
        <w:rPr>
          <w:rFonts w:ascii="楷体" w:hAnsi="楷体" w:eastAsia="楷体" w:cs="楷体"/>
          <w:spacing w:val="34"/>
          <w:sz w:val="35"/>
          <w:szCs w:val="35"/>
        </w:rPr>
        <w:t>(六</w:t>
      </w:r>
      <w:r>
        <w:rPr>
          <w:rFonts w:ascii="仿宋" w:hAnsi="仿宋" w:eastAsia="仿宋" w:cs="仿宋"/>
          <w:spacing w:val="34"/>
          <w:sz w:val="35"/>
          <w:szCs w:val="35"/>
        </w:rPr>
        <w:t>)应从严把关判定项目是否属于特殊建设工程，当判断</w:t>
      </w:r>
      <w:r>
        <w:rPr>
          <w:rFonts w:ascii="仿宋" w:hAnsi="仿宋" w:eastAsia="仿宋" w:cs="仿宋"/>
          <w:spacing w:val="31"/>
          <w:sz w:val="35"/>
          <w:szCs w:val="35"/>
        </w:rPr>
        <w:t>存疑时，可向所属的建设主管部门咨询。</w:t>
      </w:r>
    </w:p>
    <w:p w14:paraId="2912028A">
      <w:pPr>
        <w:spacing w:before="339" w:line="219" w:lineRule="auto"/>
        <w:ind w:left="844"/>
        <w:outlineLvl w:val="1"/>
        <w:rPr>
          <w:rFonts w:ascii="黑体" w:hAnsi="黑体" w:eastAsia="黑体" w:cs="黑体"/>
          <w:sz w:val="35"/>
          <w:szCs w:val="35"/>
        </w:rPr>
      </w:pPr>
      <w:r>
        <w:rPr>
          <w:rFonts w:ascii="黑体" w:hAnsi="黑体" w:eastAsia="黑体" w:cs="黑体"/>
          <w:b/>
          <w:bCs/>
          <w:spacing w:val="16"/>
          <w:sz w:val="35"/>
          <w:szCs w:val="35"/>
        </w:rPr>
        <w:t>四、《部令》第十四条及相关说明</w:t>
      </w:r>
    </w:p>
    <w:p w14:paraId="37884811">
      <w:pPr>
        <w:spacing w:before="253" w:line="335" w:lineRule="auto"/>
        <w:ind w:right="263" w:firstLine="754"/>
        <w:rPr>
          <w:rFonts w:ascii="仿宋" w:hAnsi="仿宋" w:eastAsia="仿宋" w:cs="仿宋"/>
          <w:sz w:val="35"/>
          <w:szCs w:val="35"/>
        </w:rPr>
      </w:pPr>
      <w:r>
        <w:rPr>
          <w:rFonts w:ascii="仿宋" w:hAnsi="仿宋" w:eastAsia="仿宋" w:cs="仿宋"/>
          <w:spacing w:val="42"/>
          <w:sz w:val="35"/>
          <w:szCs w:val="35"/>
        </w:rPr>
        <w:t>《部令》第十四条具有下列情形之一的建设工程是特殊建</w:t>
      </w:r>
      <w:r>
        <w:rPr>
          <w:rFonts w:ascii="仿宋" w:hAnsi="仿宋" w:eastAsia="仿宋" w:cs="仿宋"/>
          <w:spacing w:val="13"/>
          <w:sz w:val="35"/>
          <w:szCs w:val="35"/>
        </w:rPr>
        <w:t>设工程：</w:t>
      </w:r>
    </w:p>
    <w:p w14:paraId="25120B13">
      <w:pPr>
        <w:spacing w:before="161" w:line="331" w:lineRule="auto"/>
        <w:ind w:right="263" w:firstLine="929"/>
        <w:rPr>
          <w:rFonts w:ascii="仿宋" w:hAnsi="仿宋" w:eastAsia="仿宋" w:cs="仿宋"/>
          <w:sz w:val="35"/>
          <w:szCs w:val="35"/>
        </w:rPr>
      </w:pPr>
      <w:r>
        <w:rPr>
          <w:rFonts w:ascii="仿宋" w:hAnsi="仿宋" w:eastAsia="仿宋" w:cs="仿宋"/>
          <w:spacing w:val="39"/>
          <w:sz w:val="35"/>
          <w:szCs w:val="35"/>
        </w:rPr>
        <w:t>(一)总建筑面积大于二万平方米的：体育场馆、会堂，公</w:t>
      </w:r>
      <w:r>
        <w:rPr>
          <w:rFonts w:ascii="仿宋" w:hAnsi="仿宋" w:eastAsia="仿宋" w:cs="仿宋"/>
          <w:spacing w:val="28"/>
          <w:sz w:val="35"/>
          <w:szCs w:val="35"/>
        </w:rPr>
        <w:t>共展览馆、博物馆的展示厅。</w:t>
      </w:r>
    </w:p>
    <w:p w14:paraId="25F8DA4B">
      <w:pPr>
        <w:spacing w:before="47" w:line="224" w:lineRule="auto"/>
        <w:ind w:left="829"/>
        <w:rPr>
          <w:rFonts w:ascii="仿宋" w:hAnsi="仿宋" w:eastAsia="仿宋" w:cs="仿宋"/>
          <w:sz w:val="35"/>
          <w:szCs w:val="35"/>
        </w:rPr>
      </w:pPr>
      <w:r>
        <w:rPr>
          <w:rFonts w:ascii="仿宋" w:hAnsi="仿宋" w:eastAsia="仿宋" w:cs="仿宋"/>
          <w:spacing w:val="16"/>
          <w:sz w:val="35"/>
          <w:szCs w:val="35"/>
        </w:rPr>
        <w:t>条文说明：</w:t>
      </w:r>
    </w:p>
    <w:p w14:paraId="42F03ED8">
      <w:pPr>
        <w:spacing w:before="340" w:line="286" w:lineRule="auto"/>
        <w:ind w:right="312" w:firstLine="759"/>
        <w:rPr>
          <w:rFonts w:ascii="仿宋" w:hAnsi="仿宋" w:eastAsia="仿宋" w:cs="仿宋"/>
          <w:sz w:val="35"/>
          <w:szCs w:val="35"/>
        </w:rPr>
      </w:pPr>
      <w:r>
        <w:rPr>
          <w:rFonts w:ascii="宋体" w:hAnsi="宋体" w:eastAsia="宋体" w:cs="宋体"/>
          <w:spacing w:val="24"/>
          <w:sz w:val="35"/>
          <w:szCs w:val="35"/>
        </w:rPr>
        <w:t>1.</w:t>
      </w:r>
      <w:r>
        <w:rPr>
          <w:rFonts w:ascii="仿宋" w:hAnsi="仿宋" w:eastAsia="仿宋" w:cs="仿宋"/>
          <w:spacing w:val="24"/>
          <w:sz w:val="35"/>
          <w:szCs w:val="35"/>
        </w:rPr>
        <w:t>本项中的“公共展览馆、博物馆的展示厅”,建筑面积为展</w:t>
      </w:r>
      <w:r>
        <w:rPr>
          <w:rFonts w:ascii="仿宋" w:hAnsi="仿宋" w:eastAsia="仿宋" w:cs="仿宋"/>
          <w:spacing w:val="29"/>
          <w:sz w:val="35"/>
          <w:szCs w:val="35"/>
        </w:rPr>
        <w:t>示厅及直接为展示厅服务的附属用房的面积。</w:t>
      </w:r>
    </w:p>
    <w:p w14:paraId="07369451">
      <w:pPr>
        <w:spacing w:before="279" w:line="222" w:lineRule="auto"/>
        <w:ind w:left="759"/>
        <w:rPr>
          <w:rFonts w:ascii="仿宋" w:hAnsi="仿宋" w:eastAsia="仿宋" w:cs="仿宋"/>
          <w:sz w:val="35"/>
          <w:szCs w:val="35"/>
        </w:rPr>
      </w:pPr>
      <w:r>
        <w:rPr>
          <w:rFonts w:ascii="仿宋" w:hAnsi="仿宋" w:eastAsia="仿宋" w:cs="仿宋"/>
          <w:spacing w:val="24"/>
          <w:sz w:val="35"/>
          <w:szCs w:val="35"/>
        </w:rPr>
        <w:t>2.会议中心建筑参照会堂判定。</w:t>
      </w:r>
    </w:p>
    <w:p w14:paraId="22257467">
      <w:pPr>
        <w:spacing w:before="348" w:line="272" w:lineRule="auto"/>
        <w:ind w:right="112" w:firstLine="929"/>
        <w:rPr>
          <w:rFonts w:ascii="仿宋" w:hAnsi="仿宋" w:eastAsia="仿宋" w:cs="仿宋"/>
          <w:sz w:val="35"/>
          <w:szCs w:val="35"/>
        </w:rPr>
      </w:pPr>
      <w:r>
        <w:rPr>
          <w:rFonts w:ascii="仿宋" w:hAnsi="仿宋" w:eastAsia="仿宋" w:cs="仿宋"/>
          <w:spacing w:val="33"/>
          <w:sz w:val="35"/>
          <w:szCs w:val="35"/>
        </w:rPr>
        <w:t>(二)总建筑面积大于一万五千平方米的：民用机场航站楼、</w:t>
      </w:r>
      <w:r>
        <w:rPr>
          <w:rFonts w:ascii="仿宋" w:hAnsi="仿宋" w:eastAsia="仿宋" w:cs="仿宋"/>
          <w:spacing w:val="26"/>
          <w:sz w:val="35"/>
          <w:szCs w:val="35"/>
        </w:rPr>
        <w:t>客运车站候车室、客运码头候船厅；</w:t>
      </w:r>
    </w:p>
    <w:p w14:paraId="2C36B43D">
      <w:pPr>
        <w:spacing w:before="338" w:line="267" w:lineRule="auto"/>
        <w:ind w:right="302" w:firstLine="929"/>
        <w:rPr>
          <w:rFonts w:ascii="仿宋" w:hAnsi="仿宋" w:eastAsia="仿宋" w:cs="仿宋"/>
          <w:sz w:val="35"/>
          <w:szCs w:val="35"/>
        </w:rPr>
      </w:pPr>
      <w:r>
        <w:rPr>
          <w:rFonts w:ascii="仿宋" w:hAnsi="仿宋" w:eastAsia="仿宋" w:cs="仿宋"/>
          <w:spacing w:val="35"/>
          <w:sz w:val="35"/>
          <w:szCs w:val="35"/>
        </w:rPr>
        <w:t>(三)总建筑面积大于一万平方米的：宾馆、</w:t>
      </w:r>
      <w:r>
        <w:rPr>
          <w:rFonts w:ascii="仿宋" w:hAnsi="仿宋" w:eastAsia="仿宋" w:cs="仿宋"/>
          <w:spacing w:val="34"/>
          <w:sz w:val="35"/>
          <w:szCs w:val="35"/>
        </w:rPr>
        <w:t>饭店、商场、</w:t>
      </w:r>
      <w:r>
        <w:rPr>
          <w:rFonts w:ascii="仿宋" w:hAnsi="仿宋" w:eastAsia="仿宋" w:cs="仿宋"/>
          <w:spacing w:val="8"/>
          <w:sz w:val="35"/>
          <w:szCs w:val="35"/>
        </w:rPr>
        <w:t>市场。</w:t>
      </w:r>
    </w:p>
    <w:p w14:paraId="46AAAC31">
      <w:pPr>
        <w:spacing w:before="301" w:line="224" w:lineRule="auto"/>
        <w:ind w:left="759"/>
        <w:rPr>
          <w:rFonts w:ascii="仿宋" w:hAnsi="仿宋" w:eastAsia="仿宋" w:cs="仿宋"/>
          <w:sz w:val="35"/>
          <w:szCs w:val="35"/>
        </w:rPr>
      </w:pPr>
      <w:r>
        <w:rPr>
          <w:rFonts w:ascii="仿宋" w:hAnsi="仿宋" w:eastAsia="仿宋" w:cs="仿宋"/>
          <w:spacing w:val="18"/>
          <w:sz w:val="35"/>
          <w:szCs w:val="35"/>
        </w:rPr>
        <w:t>条文说明：</w:t>
      </w:r>
    </w:p>
    <w:p w14:paraId="76C48DE7">
      <w:pPr>
        <w:spacing w:before="349" w:line="274" w:lineRule="auto"/>
        <w:ind w:right="315" w:firstLine="729"/>
        <w:rPr>
          <w:rFonts w:ascii="仿宋" w:hAnsi="仿宋" w:eastAsia="仿宋" w:cs="仿宋"/>
          <w:sz w:val="35"/>
          <w:szCs w:val="35"/>
        </w:rPr>
      </w:pPr>
      <w:r>
        <w:rPr>
          <w:rFonts w:ascii="宋体" w:hAnsi="宋体" w:eastAsia="宋体" w:cs="宋体"/>
          <w:spacing w:val="33"/>
          <w:sz w:val="35"/>
          <w:szCs w:val="35"/>
        </w:rPr>
        <w:t>1.</w:t>
      </w:r>
      <w:r>
        <w:rPr>
          <w:rFonts w:ascii="仿宋" w:hAnsi="仿宋" w:eastAsia="仿宋" w:cs="仿宋"/>
          <w:spacing w:val="33"/>
          <w:sz w:val="35"/>
          <w:szCs w:val="35"/>
        </w:rPr>
        <w:t>对于多功能组合的建筑，非本项功能的面积可不计入单体</w:t>
      </w:r>
      <w:r>
        <w:rPr>
          <w:rFonts w:ascii="仿宋" w:hAnsi="仿宋" w:eastAsia="仿宋" w:cs="仿宋"/>
          <w:spacing w:val="22"/>
          <w:sz w:val="35"/>
          <w:szCs w:val="35"/>
        </w:rPr>
        <w:t>的总建筑面积。</w:t>
      </w:r>
    </w:p>
    <w:p w14:paraId="394F1BDA">
      <w:pPr>
        <w:spacing w:before="333" w:line="222" w:lineRule="auto"/>
        <w:ind w:left="709"/>
        <w:rPr>
          <w:rFonts w:ascii="仿宋" w:hAnsi="仿宋" w:eastAsia="仿宋" w:cs="仿宋"/>
          <w:sz w:val="35"/>
          <w:szCs w:val="35"/>
        </w:rPr>
      </w:pPr>
      <w:r>
        <w:rPr>
          <w:rFonts w:ascii="宋体" w:hAnsi="宋体" w:eastAsia="宋体" w:cs="宋体"/>
          <w:spacing w:val="27"/>
          <w:sz w:val="35"/>
          <w:szCs w:val="35"/>
        </w:rPr>
        <w:t>2.</w:t>
      </w:r>
      <w:r>
        <w:rPr>
          <w:rFonts w:ascii="仿宋" w:hAnsi="仿宋" w:eastAsia="仿宋" w:cs="仿宋"/>
          <w:spacing w:val="27"/>
          <w:sz w:val="35"/>
          <w:szCs w:val="35"/>
        </w:rPr>
        <w:t>无治疗功能的月子中心参照宾馆建筑判定。</w:t>
      </w:r>
    </w:p>
    <w:p w14:paraId="09D5C9C5">
      <w:pPr>
        <w:spacing w:line="222" w:lineRule="auto"/>
        <w:rPr>
          <w:rFonts w:ascii="仿宋" w:hAnsi="仿宋" w:eastAsia="仿宋" w:cs="仿宋"/>
          <w:sz w:val="35"/>
          <w:szCs w:val="35"/>
        </w:rPr>
        <w:sectPr>
          <w:footerReference r:id="rId8" w:type="default"/>
          <w:pgSz w:w="14480" w:h="20480"/>
          <w:pgMar w:top="1740" w:right="2172" w:bottom="2370" w:left="1270" w:header="0" w:footer="1913" w:gutter="0"/>
          <w:cols w:space="720" w:num="1"/>
        </w:sectPr>
      </w:pPr>
    </w:p>
    <w:p w14:paraId="0B8834EF">
      <w:pPr>
        <w:pStyle w:val="2"/>
        <w:spacing w:line="290" w:lineRule="auto"/>
      </w:pPr>
    </w:p>
    <w:p w14:paraId="33F4B64A">
      <w:pPr>
        <w:pStyle w:val="2"/>
        <w:spacing w:line="291" w:lineRule="auto"/>
      </w:pPr>
    </w:p>
    <w:p w14:paraId="2043B86E">
      <w:pPr>
        <w:pStyle w:val="2"/>
        <w:spacing w:line="291" w:lineRule="auto"/>
      </w:pPr>
    </w:p>
    <w:p w14:paraId="0023BBB8">
      <w:pPr>
        <w:spacing w:before="117" w:line="361" w:lineRule="auto"/>
        <w:ind w:right="37" w:firstLine="900"/>
        <w:jc w:val="both"/>
        <w:rPr>
          <w:rFonts w:ascii="仿宋" w:hAnsi="仿宋" w:eastAsia="仿宋" w:cs="仿宋"/>
          <w:sz w:val="36"/>
          <w:szCs w:val="36"/>
        </w:rPr>
      </w:pPr>
      <w:r>
        <w:rPr>
          <w:rFonts w:ascii="仿宋" w:hAnsi="仿宋" w:eastAsia="仿宋" w:cs="仿宋"/>
          <w:spacing w:val="33"/>
          <w:sz w:val="36"/>
          <w:szCs w:val="36"/>
        </w:rPr>
        <w:t>(四)总建筑面积大于二千五百平方米的：影剧院，公共图</w:t>
      </w:r>
      <w:r>
        <w:rPr>
          <w:rFonts w:ascii="仿宋" w:hAnsi="仿宋" w:eastAsia="仿宋" w:cs="仿宋"/>
          <w:spacing w:val="24"/>
          <w:sz w:val="36"/>
          <w:szCs w:val="36"/>
        </w:rPr>
        <w:t>书馆的阅览室，营业性室内健身、休闲场馆，医院的门诊楼，大</w:t>
      </w:r>
      <w:r>
        <w:rPr>
          <w:rFonts w:ascii="仿宋" w:hAnsi="仿宋" w:eastAsia="仿宋" w:cs="仿宋"/>
          <w:spacing w:val="22"/>
          <w:sz w:val="36"/>
          <w:szCs w:val="36"/>
        </w:rPr>
        <w:t>学的教学楼、图书馆、食堂，劳动密集型企业的生产加工车间，</w:t>
      </w:r>
      <w:r>
        <w:rPr>
          <w:rFonts w:ascii="仿宋" w:hAnsi="仿宋" w:eastAsia="仿宋" w:cs="仿宋"/>
          <w:spacing w:val="16"/>
          <w:sz w:val="36"/>
          <w:szCs w:val="36"/>
        </w:rPr>
        <w:t>寺庙、教堂。</w:t>
      </w:r>
    </w:p>
    <w:p w14:paraId="0E09C1C2">
      <w:pPr>
        <w:spacing w:before="1" w:line="223" w:lineRule="auto"/>
        <w:ind w:left="749"/>
        <w:rPr>
          <w:rFonts w:ascii="仿宋" w:hAnsi="仿宋" w:eastAsia="仿宋" w:cs="仿宋"/>
          <w:sz w:val="36"/>
          <w:szCs w:val="36"/>
        </w:rPr>
      </w:pPr>
      <w:r>
        <w:rPr>
          <w:rFonts w:ascii="仿宋" w:hAnsi="仿宋" w:eastAsia="仿宋" w:cs="仿宋"/>
          <w:spacing w:val="10"/>
          <w:sz w:val="36"/>
          <w:szCs w:val="36"/>
        </w:rPr>
        <w:t>条文说明：</w:t>
      </w:r>
    </w:p>
    <w:p w14:paraId="2A813ABB">
      <w:pPr>
        <w:spacing w:before="268" w:line="307" w:lineRule="auto"/>
        <w:ind w:right="42" w:firstLine="749"/>
        <w:rPr>
          <w:rFonts w:ascii="仿宋" w:hAnsi="仿宋" w:eastAsia="仿宋" w:cs="仿宋"/>
          <w:sz w:val="38"/>
          <w:szCs w:val="38"/>
        </w:rPr>
      </w:pPr>
      <w:r>
        <w:rPr>
          <w:rFonts w:ascii="仿宋" w:hAnsi="仿宋" w:eastAsia="仿宋" w:cs="仿宋"/>
          <w:spacing w:val="5"/>
          <w:sz w:val="38"/>
          <w:szCs w:val="38"/>
        </w:rPr>
        <w:t>1.本项中的“营业性室内健身、休闲场馆”包</w:t>
      </w:r>
      <w:r>
        <w:rPr>
          <w:rFonts w:ascii="仿宋" w:hAnsi="仿宋" w:eastAsia="仿宋" w:cs="仿宋"/>
          <w:spacing w:val="4"/>
          <w:sz w:val="38"/>
          <w:szCs w:val="38"/>
        </w:rPr>
        <w:t>括保龄球馆、</w:t>
      </w:r>
      <w:r>
        <w:rPr>
          <w:rFonts w:ascii="仿宋" w:hAnsi="仿宋" w:eastAsia="仿宋" w:cs="仿宋"/>
          <w:spacing w:val="1"/>
          <w:sz w:val="38"/>
          <w:szCs w:val="38"/>
        </w:rPr>
        <w:t>台球、棒球、蹦床、飞镖、真人</w:t>
      </w:r>
      <w:r>
        <w:rPr>
          <w:rFonts w:ascii="Times New Roman" w:hAnsi="Times New Roman" w:eastAsia="Times New Roman" w:cs="Times New Roman"/>
          <w:sz w:val="38"/>
          <w:szCs w:val="38"/>
        </w:rPr>
        <w:t>CS</w:t>
      </w:r>
      <w:r>
        <w:rPr>
          <w:rFonts w:ascii="宋体" w:hAnsi="宋体" w:eastAsia="宋体" w:cs="宋体"/>
          <w:spacing w:val="1"/>
          <w:sz w:val="38"/>
          <w:szCs w:val="38"/>
        </w:rPr>
        <w:t>、</w:t>
      </w:r>
      <w:r>
        <w:rPr>
          <w:rFonts w:ascii="仿宋" w:hAnsi="仿宋" w:eastAsia="仿宋" w:cs="仿宋"/>
          <w:spacing w:val="1"/>
          <w:sz w:val="38"/>
          <w:szCs w:val="38"/>
        </w:rPr>
        <w:t>密室逃生、室内电动卡丁车</w:t>
      </w:r>
      <w:r>
        <w:rPr>
          <w:rFonts w:ascii="仿宋" w:hAnsi="仿宋" w:eastAsia="仿宋" w:cs="仿宋"/>
          <w:spacing w:val="4"/>
          <w:sz w:val="38"/>
          <w:szCs w:val="38"/>
        </w:rPr>
        <w:t>场、壁球馆、攀岩馆、旱冰场、真冰场、棋牌室、剧本杀、私人</w:t>
      </w:r>
      <w:r>
        <w:rPr>
          <w:rFonts w:ascii="仿宋" w:hAnsi="仿宋" w:eastAsia="仿宋" w:cs="仿宋"/>
          <w:sz w:val="38"/>
          <w:szCs w:val="38"/>
        </w:rPr>
        <w:t>影院等功能场所。</w:t>
      </w:r>
    </w:p>
    <w:p w14:paraId="1C009CBB">
      <w:pPr>
        <w:spacing w:before="286" w:line="288" w:lineRule="auto"/>
        <w:ind w:right="58" w:firstLine="749"/>
        <w:rPr>
          <w:rFonts w:ascii="仿宋" w:hAnsi="仿宋" w:eastAsia="仿宋" w:cs="仿宋"/>
          <w:sz w:val="36"/>
          <w:szCs w:val="36"/>
        </w:rPr>
      </w:pPr>
      <w:r>
        <w:rPr>
          <w:rFonts w:ascii="宋体" w:hAnsi="宋体" w:eastAsia="宋体" w:cs="宋体"/>
          <w:spacing w:val="37"/>
          <w:sz w:val="36"/>
          <w:szCs w:val="36"/>
        </w:rPr>
        <w:t>2.</w:t>
      </w:r>
      <w:r>
        <w:rPr>
          <w:rFonts w:ascii="仿宋" w:hAnsi="仿宋" w:eastAsia="仿宋" w:cs="仿宋"/>
          <w:spacing w:val="37"/>
          <w:sz w:val="36"/>
          <w:szCs w:val="36"/>
        </w:rPr>
        <w:t>牙科(口腔)诊所、医美中心、中医馆、卫生服务中心、</w:t>
      </w:r>
      <w:r>
        <w:rPr>
          <w:rFonts w:ascii="仿宋" w:hAnsi="仿宋" w:eastAsia="仿宋" w:cs="仿宋"/>
          <w:spacing w:val="21"/>
          <w:sz w:val="36"/>
          <w:szCs w:val="36"/>
        </w:rPr>
        <w:t>体检中心等参照医院门诊楼判定。</w:t>
      </w:r>
    </w:p>
    <w:p w14:paraId="1A6B1EA3">
      <w:pPr>
        <w:spacing w:before="265" w:line="272" w:lineRule="auto"/>
        <w:ind w:firstLine="749"/>
        <w:rPr>
          <w:rFonts w:ascii="仿宋" w:hAnsi="仿宋" w:eastAsia="仿宋" w:cs="仿宋"/>
          <w:sz w:val="38"/>
          <w:szCs w:val="38"/>
        </w:rPr>
      </w:pPr>
      <w:r>
        <w:rPr>
          <w:rFonts w:ascii="宋体" w:hAnsi="宋体" w:eastAsia="宋体" w:cs="宋体"/>
          <w:spacing w:val="6"/>
          <w:sz w:val="38"/>
          <w:szCs w:val="38"/>
        </w:rPr>
        <w:t>3.</w:t>
      </w:r>
      <w:r>
        <w:rPr>
          <w:rFonts w:ascii="仿宋" w:hAnsi="仿宋" w:eastAsia="仿宋" w:cs="仿宋"/>
          <w:spacing w:val="6"/>
          <w:sz w:val="38"/>
          <w:szCs w:val="38"/>
        </w:rPr>
        <w:t>本项中的“劳动密集型企业”参见《浙江省消防难点问题</w:t>
      </w:r>
      <w:r>
        <w:rPr>
          <w:rFonts w:ascii="仿宋" w:hAnsi="仿宋" w:eastAsia="仿宋" w:cs="仿宋"/>
          <w:spacing w:val="3"/>
          <w:sz w:val="38"/>
          <w:szCs w:val="38"/>
        </w:rPr>
        <w:t>操作技术指南》中“人员密集的厂房”的相关定义)。</w:t>
      </w:r>
    </w:p>
    <w:p w14:paraId="5B001F05">
      <w:pPr>
        <w:spacing w:before="293" w:line="335" w:lineRule="auto"/>
        <w:ind w:right="1" w:firstLine="930"/>
        <w:jc w:val="both"/>
        <w:rPr>
          <w:rFonts w:ascii="仿宋" w:hAnsi="仿宋" w:eastAsia="仿宋" w:cs="仿宋"/>
          <w:sz w:val="38"/>
          <w:szCs w:val="38"/>
        </w:rPr>
      </w:pPr>
      <w:r>
        <w:rPr>
          <w:rFonts w:ascii="仿宋" w:hAnsi="仿宋" w:eastAsia="仿宋" w:cs="仿宋"/>
          <w:spacing w:val="14"/>
          <w:sz w:val="38"/>
          <w:szCs w:val="38"/>
        </w:rPr>
        <w:t>(五)总建筑面积大于一千平方米的：托儿所、幼儿园的儿</w:t>
      </w:r>
      <w:r>
        <w:rPr>
          <w:rFonts w:ascii="仿宋" w:hAnsi="仿宋" w:eastAsia="仿宋" w:cs="仿宋"/>
          <w:spacing w:val="4"/>
          <w:sz w:val="38"/>
          <w:szCs w:val="38"/>
        </w:rPr>
        <w:t>童用房，儿童游乐厅等室内儿童活动场所，养老院、福利院，医院、疗养院的病房楼，中小学校的教学楼、图书馆、食堂，学校</w:t>
      </w:r>
      <w:r>
        <w:rPr>
          <w:rFonts w:ascii="仿宋" w:hAnsi="仿宋" w:eastAsia="仿宋" w:cs="仿宋"/>
          <w:spacing w:val="1"/>
          <w:sz w:val="38"/>
          <w:szCs w:val="38"/>
        </w:rPr>
        <w:t>的集体宿舍，劳动密集型企业的员工集体宿舍。</w:t>
      </w:r>
    </w:p>
    <w:p w14:paraId="56D1B503">
      <w:pPr>
        <w:spacing w:before="31" w:line="224" w:lineRule="auto"/>
        <w:ind w:left="749"/>
        <w:rPr>
          <w:rFonts w:ascii="仿宋" w:hAnsi="仿宋" w:eastAsia="仿宋" w:cs="仿宋"/>
          <w:sz w:val="36"/>
          <w:szCs w:val="36"/>
        </w:rPr>
      </w:pPr>
      <w:r>
        <w:rPr>
          <w:rFonts w:ascii="仿宋" w:hAnsi="仿宋" w:eastAsia="仿宋" w:cs="仿宋"/>
          <w:spacing w:val="10"/>
          <w:sz w:val="36"/>
          <w:szCs w:val="36"/>
        </w:rPr>
        <w:t>条文说明：</w:t>
      </w:r>
    </w:p>
    <w:p w14:paraId="17721024">
      <w:pPr>
        <w:spacing w:before="291" w:line="310" w:lineRule="auto"/>
        <w:ind w:right="44" w:firstLine="749"/>
        <w:rPr>
          <w:rFonts w:ascii="仿宋" w:hAnsi="仿宋" w:eastAsia="仿宋" w:cs="仿宋"/>
          <w:sz w:val="36"/>
          <w:szCs w:val="36"/>
        </w:rPr>
      </w:pPr>
      <w:r>
        <w:rPr>
          <w:rFonts w:ascii="宋体" w:hAnsi="宋体" w:eastAsia="宋体" w:cs="宋体"/>
          <w:spacing w:val="24"/>
          <w:sz w:val="36"/>
          <w:szCs w:val="36"/>
        </w:rPr>
        <w:t>1.</w:t>
      </w:r>
      <w:r>
        <w:rPr>
          <w:rFonts w:ascii="仿宋" w:hAnsi="仿宋" w:eastAsia="仿宋" w:cs="仿宋"/>
          <w:spacing w:val="24"/>
          <w:sz w:val="36"/>
          <w:szCs w:val="36"/>
        </w:rPr>
        <w:t>本项中的“托儿所、幼儿园的儿童用房，儿童游乐厅等室</w:t>
      </w:r>
      <w:r>
        <w:rPr>
          <w:rFonts w:ascii="仿宋" w:hAnsi="仿宋" w:eastAsia="仿宋" w:cs="仿宋"/>
          <w:spacing w:val="7"/>
          <w:sz w:val="36"/>
          <w:szCs w:val="36"/>
        </w:rPr>
        <w:t>内儿童活动场所”,即《建筑防火通用规范》</w:t>
      </w:r>
      <w:r>
        <w:rPr>
          <w:rFonts w:ascii="宋体" w:hAnsi="宋体" w:eastAsia="宋体" w:cs="宋体"/>
          <w:spacing w:val="7"/>
          <w:sz w:val="36"/>
          <w:szCs w:val="36"/>
        </w:rPr>
        <w:t>(</w:t>
      </w:r>
      <w:r>
        <w:rPr>
          <w:rFonts w:ascii="宋体" w:hAnsi="宋体" w:eastAsia="宋体" w:cs="宋体"/>
          <w:sz w:val="36"/>
          <w:szCs w:val="36"/>
        </w:rPr>
        <w:t>GB</w:t>
      </w:r>
      <w:r>
        <w:rPr>
          <w:rFonts w:ascii="宋体" w:hAnsi="宋体" w:eastAsia="宋体" w:cs="宋体"/>
          <w:spacing w:val="7"/>
          <w:sz w:val="36"/>
          <w:szCs w:val="36"/>
        </w:rPr>
        <w:t>5</w:t>
      </w:r>
      <w:r>
        <w:rPr>
          <w:rFonts w:ascii="宋体" w:hAnsi="宋体" w:eastAsia="宋体" w:cs="宋体"/>
          <w:spacing w:val="6"/>
          <w:sz w:val="36"/>
          <w:szCs w:val="36"/>
        </w:rPr>
        <w:t>5037-2022)</w:t>
      </w:r>
      <w:r>
        <w:rPr>
          <w:rFonts w:ascii="仿宋" w:hAnsi="仿宋" w:eastAsia="仿宋" w:cs="仿宋"/>
          <w:spacing w:val="6"/>
          <w:sz w:val="36"/>
          <w:szCs w:val="36"/>
        </w:rPr>
        <w:t>中</w:t>
      </w:r>
      <w:r>
        <w:rPr>
          <w:rFonts w:ascii="仿宋" w:hAnsi="仿宋" w:eastAsia="仿宋" w:cs="仿宋"/>
          <w:spacing w:val="19"/>
          <w:sz w:val="36"/>
          <w:szCs w:val="36"/>
        </w:rPr>
        <w:t>的关于“儿童活动场所”的定义。</w:t>
      </w:r>
    </w:p>
    <w:p w14:paraId="3A5DFD61">
      <w:pPr>
        <w:spacing w:before="268" w:line="222" w:lineRule="auto"/>
        <w:ind w:right="1"/>
        <w:jc w:val="right"/>
        <w:rPr>
          <w:rFonts w:ascii="仿宋" w:hAnsi="仿宋" w:eastAsia="仿宋" w:cs="仿宋"/>
          <w:sz w:val="38"/>
          <w:szCs w:val="38"/>
        </w:rPr>
      </w:pPr>
      <w:r>
        <w:rPr>
          <w:rFonts w:ascii="仿宋" w:hAnsi="仿宋" w:eastAsia="仿宋" w:cs="仿宋"/>
          <w:spacing w:val="6"/>
          <w:sz w:val="38"/>
          <w:szCs w:val="38"/>
        </w:rPr>
        <w:t>2.对于托儿所、幼儿园建筑，总建筑面积包括儿童用房及配</w:t>
      </w:r>
    </w:p>
    <w:p w14:paraId="3F77008F">
      <w:pPr>
        <w:spacing w:line="222" w:lineRule="auto"/>
        <w:rPr>
          <w:rFonts w:ascii="仿宋" w:hAnsi="仿宋" w:eastAsia="仿宋" w:cs="仿宋"/>
          <w:sz w:val="38"/>
          <w:szCs w:val="38"/>
        </w:rPr>
        <w:sectPr>
          <w:footerReference r:id="rId9" w:type="default"/>
          <w:pgSz w:w="14700" w:h="20630"/>
          <w:pgMar w:top="1753" w:right="1911" w:bottom="2279" w:left="1979" w:header="0" w:footer="1812" w:gutter="0"/>
          <w:cols w:space="720" w:num="1"/>
        </w:sectPr>
      </w:pPr>
    </w:p>
    <w:p w14:paraId="7B892925">
      <w:pPr>
        <w:pStyle w:val="2"/>
        <w:spacing w:line="263" w:lineRule="auto"/>
      </w:pPr>
    </w:p>
    <w:p w14:paraId="47C1F52D">
      <w:pPr>
        <w:pStyle w:val="2"/>
        <w:spacing w:line="263" w:lineRule="auto"/>
      </w:pPr>
    </w:p>
    <w:p w14:paraId="30E56E68">
      <w:pPr>
        <w:pStyle w:val="2"/>
        <w:spacing w:line="263" w:lineRule="auto"/>
      </w:pPr>
    </w:p>
    <w:p w14:paraId="77B0FCB9">
      <w:pPr>
        <w:pStyle w:val="2"/>
        <w:spacing w:line="264" w:lineRule="auto"/>
      </w:pPr>
    </w:p>
    <w:p w14:paraId="0CD643F8">
      <w:pPr>
        <w:spacing w:before="117" w:line="224" w:lineRule="auto"/>
        <w:rPr>
          <w:rFonts w:ascii="仿宋" w:hAnsi="仿宋" w:eastAsia="仿宋" w:cs="仿宋"/>
          <w:sz w:val="36"/>
          <w:szCs w:val="36"/>
        </w:rPr>
      </w:pPr>
      <w:r>
        <w:rPr>
          <w:rFonts w:ascii="仿宋" w:hAnsi="仿宋" w:eastAsia="仿宋" w:cs="仿宋"/>
          <w:spacing w:val="7"/>
          <w:sz w:val="36"/>
          <w:szCs w:val="36"/>
        </w:rPr>
        <w:t>套用房。</w:t>
      </w:r>
    </w:p>
    <w:p w14:paraId="1A8F500F">
      <w:pPr>
        <w:spacing w:before="174" w:line="303" w:lineRule="auto"/>
        <w:ind w:right="415" w:firstLine="749"/>
        <w:rPr>
          <w:rFonts w:ascii="仿宋" w:hAnsi="仿宋" w:eastAsia="仿宋" w:cs="仿宋"/>
          <w:sz w:val="36"/>
          <w:szCs w:val="36"/>
        </w:rPr>
      </w:pPr>
      <w:r>
        <w:rPr>
          <w:rFonts w:ascii="仿宋" w:hAnsi="仿宋" w:eastAsia="仿宋" w:cs="仿宋"/>
          <w:spacing w:val="-1"/>
          <w:sz w:val="36"/>
          <w:szCs w:val="36"/>
        </w:rPr>
        <w:t>3.本项中“养老院”,即《建筑设计防火规范》</w:t>
      </w:r>
      <w:r>
        <w:rPr>
          <w:rFonts w:ascii="Times New Roman" w:hAnsi="Times New Roman" w:eastAsia="Times New Roman" w:cs="Times New Roman"/>
          <w:spacing w:val="-1"/>
          <w:sz w:val="36"/>
          <w:szCs w:val="36"/>
        </w:rPr>
        <w:t>GB5001</w:t>
      </w:r>
      <w:r>
        <w:rPr>
          <w:rFonts w:ascii="Times New Roman" w:hAnsi="Times New Roman" w:eastAsia="Times New Roman" w:cs="Times New Roman"/>
          <w:spacing w:val="-2"/>
          <w:sz w:val="36"/>
          <w:szCs w:val="36"/>
        </w:rPr>
        <w:t>6-2014)</w:t>
      </w:r>
      <w:r>
        <w:rPr>
          <w:rFonts w:ascii="仿宋" w:hAnsi="仿宋" w:eastAsia="仿宋" w:cs="仿宋"/>
          <w:spacing w:val="18"/>
          <w:sz w:val="36"/>
          <w:szCs w:val="36"/>
        </w:rPr>
        <w:t>中的关于“老年人照料设施”的定义。</w:t>
      </w:r>
    </w:p>
    <w:p w14:paraId="35DE427F">
      <w:pPr>
        <w:pStyle w:val="2"/>
        <w:spacing w:before="264" w:line="323" w:lineRule="auto"/>
        <w:ind w:right="310" w:firstLine="759"/>
        <w:rPr>
          <w:rFonts w:ascii="仿宋" w:hAnsi="仿宋" w:eastAsia="仿宋" w:cs="仿宋"/>
          <w:sz w:val="36"/>
          <w:szCs w:val="36"/>
        </w:rPr>
      </w:pPr>
      <w:r>
        <w:rPr>
          <w:rFonts w:ascii="宋体" w:hAnsi="宋体" w:eastAsia="宋体" w:cs="宋体"/>
          <w:spacing w:val="21"/>
          <w:sz w:val="36"/>
          <w:szCs w:val="36"/>
        </w:rPr>
        <w:t>4.</w:t>
      </w:r>
      <w:r>
        <w:rPr>
          <w:rFonts w:ascii="仿宋" w:hAnsi="仿宋" w:eastAsia="仿宋" w:cs="仿宋"/>
          <w:spacing w:val="21"/>
          <w:sz w:val="36"/>
          <w:szCs w:val="36"/>
        </w:rPr>
        <w:t>特殊教育学校参照中小学校判定(特殊教育学校指由政府、</w:t>
      </w:r>
      <w:r>
        <w:rPr>
          <w:rFonts w:ascii="仿宋" w:hAnsi="仿宋" w:eastAsia="仿宋" w:cs="仿宋"/>
          <w:spacing w:val="24"/>
          <w:sz w:val="36"/>
          <w:szCs w:val="36"/>
        </w:rPr>
        <w:t>企事业组织、社会团体、其他社会组织及公民个人依</w:t>
      </w:r>
      <w:r>
        <w:rPr>
          <w:rFonts w:ascii="仿宋" w:hAnsi="仿宋" w:eastAsia="仿宋" w:cs="仿宋"/>
          <w:spacing w:val="23"/>
          <w:sz w:val="36"/>
          <w:szCs w:val="36"/>
        </w:rPr>
        <w:t>法开办的专门对残障学生实施特殊教育的机构，详见《特殊教育学校</w:t>
      </w:r>
      <w:r>
        <w:rPr>
          <w:rFonts w:ascii="仿宋" w:hAnsi="仿宋" w:eastAsia="仿宋" w:cs="仿宋"/>
          <w:spacing w:val="22"/>
          <w:sz w:val="36"/>
          <w:szCs w:val="36"/>
        </w:rPr>
        <w:t>设计标</w:t>
      </w:r>
      <w:r>
        <w:rPr>
          <w:rFonts w:ascii="仿宋" w:hAnsi="仿宋" w:eastAsia="仿宋" w:cs="仿宋"/>
          <w:spacing w:val="-9"/>
          <w:sz w:val="36"/>
          <w:szCs w:val="36"/>
        </w:rPr>
        <w:t>准》</w:t>
      </w:r>
      <w:r>
        <w:rPr>
          <w:spacing w:val="-9"/>
          <w:sz w:val="36"/>
          <w:szCs w:val="36"/>
        </w:rPr>
        <w:t>(JGJ76-2019)</w:t>
      </w:r>
      <w:r>
        <w:rPr>
          <w:rFonts w:ascii="仿宋" w:hAnsi="仿宋" w:eastAsia="仿宋" w:cs="仿宋"/>
          <w:spacing w:val="-9"/>
          <w:sz w:val="36"/>
          <w:szCs w:val="36"/>
        </w:rPr>
        <w:t>的2.0.1)。</w:t>
      </w:r>
    </w:p>
    <w:p w14:paraId="78ADF442">
      <w:pPr>
        <w:spacing w:before="268" w:line="221" w:lineRule="auto"/>
        <w:ind w:left="799"/>
        <w:rPr>
          <w:rFonts w:ascii="仿宋" w:hAnsi="仿宋" w:eastAsia="仿宋" w:cs="仿宋"/>
          <w:sz w:val="36"/>
          <w:szCs w:val="36"/>
        </w:rPr>
      </w:pPr>
      <w:r>
        <w:rPr>
          <w:rFonts w:ascii="宋体" w:hAnsi="宋体" w:eastAsia="宋体" w:cs="宋体"/>
          <w:spacing w:val="18"/>
          <w:sz w:val="36"/>
          <w:szCs w:val="36"/>
        </w:rPr>
        <w:t>5.</w:t>
      </w:r>
      <w:r>
        <w:rPr>
          <w:rFonts w:ascii="仿宋" w:hAnsi="仿宋" w:eastAsia="仿宋" w:cs="仿宋"/>
          <w:spacing w:val="18"/>
          <w:sz w:val="36"/>
          <w:szCs w:val="36"/>
        </w:rPr>
        <w:t>有治疗功能的月子中心参照医院、疗养院的病房楼。</w:t>
      </w:r>
    </w:p>
    <w:p w14:paraId="0151FF67">
      <w:pPr>
        <w:spacing w:before="249" w:line="341" w:lineRule="auto"/>
        <w:ind w:right="403" w:firstLine="970"/>
        <w:jc w:val="both"/>
        <w:rPr>
          <w:rFonts w:ascii="仿宋" w:hAnsi="仿宋" w:eastAsia="仿宋" w:cs="仿宋"/>
          <w:sz w:val="38"/>
          <w:szCs w:val="38"/>
        </w:rPr>
      </w:pPr>
      <w:r>
        <w:rPr>
          <w:rFonts w:ascii="仿宋" w:hAnsi="仿宋" w:eastAsia="仿宋" w:cs="仿宋"/>
          <w:spacing w:val="13"/>
          <w:sz w:val="38"/>
          <w:szCs w:val="38"/>
        </w:rPr>
        <w:t>(六)总建筑面积大于五百平方米的：歌舞厅、录像</w:t>
      </w:r>
      <w:r>
        <w:rPr>
          <w:rFonts w:ascii="仿宋" w:hAnsi="仿宋" w:eastAsia="仿宋" w:cs="仿宋"/>
          <w:spacing w:val="12"/>
          <w:sz w:val="38"/>
          <w:szCs w:val="38"/>
        </w:rPr>
        <w:t>厅、放</w:t>
      </w:r>
      <w:r>
        <w:rPr>
          <w:rFonts w:ascii="仿宋" w:hAnsi="仿宋" w:eastAsia="仿宋" w:cs="仿宋"/>
          <w:spacing w:val="7"/>
          <w:sz w:val="38"/>
          <w:szCs w:val="38"/>
        </w:rPr>
        <w:t>映厅、卡拉</w:t>
      </w:r>
      <w:r>
        <w:rPr>
          <w:rFonts w:ascii="Times New Roman" w:hAnsi="Times New Roman" w:eastAsia="Times New Roman" w:cs="Times New Roman"/>
          <w:sz w:val="38"/>
          <w:szCs w:val="38"/>
        </w:rPr>
        <w:t>OK</w:t>
      </w:r>
      <w:r>
        <w:rPr>
          <w:rFonts w:ascii="仿宋" w:hAnsi="仿宋" w:eastAsia="仿宋" w:cs="仿宋"/>
          <w:spacing w:val="7"/>
          <w:sz w:val="38"/>
          <w:szCs w:val="38"/>
        </w:rPr>
        <w:t>厅、夜总会、游艺厅、桑拿浴室、网吧、酒吧，</w:t>
      </w:r>
      <w:r>
        <w:rPr>
          <w:rFonts w:ascii="仿宋" w:hAnsi="仿宋" w:eastAsia="仿宋" w:cs="仿宋"/>
          <w:sz w:val="38"/>
          <w:szCs w:val="38"/>
        </w:rPr>
        <w:t>具有娱乐功能的餐馆、茶馆、咖啡厅。</w:t>
      </w:r>
    </w:p>
    <w:p w14:paraId="52E36850">
      <w:pPr>
        <w:spacing w:before="28" w:line="224" w:lineRule="auto"/>
        <w:ind w:left="799"/>
        <w:rPr>
          <w:rFonts w:ascii="仿宋" w:hAnsi="仿宋" w:eastAsia="仿宋" w:cs="仿宋"/>
          <w:sz w:val="36"/>
          <w:szCs w:val="36"/>
        </w:rPr>
      </w:pPr>
      <w:r>
        <w:rPr>
          <w:rFonts w:ascii="仿宋" w:hAnsi="仿宋" w:eastAsia="仿宋" w:cs="仿宋"/>
          <w:spacing w:val="12"/>
          <w:sz w:val="36"/>
          <w:szCs w:val="36"/>
        </w:rPr>
        <w:t>条文说明：</w:t>
      </w:r>
    </w:p>
    <w:p w14:paraId="24AD8531">
      <w:pPr>
        <w:spacing w:before="239" w:line="222" w:lineRule="auto"/>
        <w:ind w:left="799"/>
        <w:rPr>
          <w:rFonts w:ascii="仿宋" w:hAnsi="仿宋" w:eastAsia="仿宋" w:cs="仿宋"/>
          <w:sz w:val="36"/>
          <w:szCs w:val="36"/>
        </w:rPr>
      </w:pPr>
      <w:r>
        <w:rPr>
          <w:rFonts w:ascii="仿宋" w:hAnsi="仿宋" w:eastAsia="仿宋" w:cs="仿宋"/>
          <w:spacing w:val="16"/>
          <w:sz w:val="36"/>
          <w:szCs w:val="36"/>
        </w:rPr>
        <w:t>1.本项中“录像厅”不包括电影院、剧院。</w:t>
      </w:r>
    </w:p>
    <w:p w14:paraId="019A9AB8">
      <w:pPr>
        <w:spacing w:before="280" w:line="222" w:lineRule="auto"/>
        <w:ind w:left="799"/>
        <w:rPr>
          <w:rFonts w:ascii="仿宋" w:hAnsi="仿宋" w:eastAsia="仿宋" w:cs="仿宋"/>
          <w:sz w:val="36"/>
          <w:szCs w:val="36"/>
        </w:rPr>
      </w:pPr>
      <w:r>
        <w:rPr>
          <w:rFonts w:ascii="宋体" w:hAnsi="宋体" w:eastAsia="宋体" w:cs="宋体"/>
          <w:spacing w:val="10"/>
          <w:sz w:val="36"/>
          <w:szCs w:val="36"/>
        </w:rPr>
        <w:t>2.</w:t>
      </w:r>
      <w:r>
        <w:rPr>
          <w:rFonts w:ascii="仿宋" w:hAnsi="仿宋" w:eastAsia="仿宋" w:cs="仿宋"/>
          <w:spacing w:val="10"/>
          <w:sz w:val="36"/>
          <w:szCs w:val="36"/>
        </w:rPr>
        <w:t>足浴、</w:t>
      </w:r>
      <w:r>
        <w:rPr>
          <w:rFonts w:ascii="宋体" w:hAnsi="宋体" w:eastAsia="宋体" w:cs="宋体"/>
          <w:sz w:val="36"/>
          <w:szCs w:val="36"/>
        </w:rPr>
        <w:t>SPA</w:t>
      </w:r>
      <w:r>
        <w:rPr>
          <w:rFonts w:ascii="仿宋" w:hAnsi="仿宋" w:eastAsia="仿宋" w:cs="仿宋"/>
          <w:spacing w:val="10"/>
          <w:sz w:val="36"/>
          <w:szCs w:val="36"/>
        </w:rPr>
        <w:t>参照桑拿浴室判定。</w:t>
      </w:r>
    </w:p>
    <w:p w14:paraId="796D5D70">
      <w:pPr>
        <w:spacing w:before="257" w:line="222" w:lineRule="auto"/>
        <w:ind w:left="799"/>
        <w:rPr>
          <w:rFonts w:ascii="仿宋" w:hAnsi="仿宋" w:eastAsia="仿宋" w:cs="仿宋"/>
          <w:sz w:val="36"/>
          <w:szCs w:val="36"/>
        </w:rPr>
      </w:pPr>
      <w:r>
        <w:rPr>
          <w:rFonts w:ascii="仿宋" w:hAnsi="仿宋" w:eastAsia="仿宋" w:cs="仿宋"/>
          <w:spacing w:val="7"/>
          <w:sz w:val="36"/>
          <w:szCs w:val="36"/>
        </w:rPr>
        <w:t>3.电竞酒店参照网吧判定。</w:t>
      </w:r>
    </w:p>
    <w:p w14:paraId="1770C96A">
      <w:pPr>
        <w:spacing w:before="268" w:line="280" w:lineRule="auto"/>
        <w:ind w:right="403" w:firstLine="970"/>
        <w:rPr>
          <w:rFonts w:ascii="仿宋" w:hAnsi="仿宋" w:eastAsia="仿宋" w:cs="仿宋"/>
          <w:sz w:val="38"/>
          <w:szCs w:val="38"/>
        </w:rPr>
      </w:pPr>
      <w:r>
        <w:rPr>
          <w:rFonts w:ascii="楷体" w:hAnsi="楷体" w:eastAsia="楷体" w:cs="楷体"/>
          <w:spacing w:val="20"/>
          <w:sz w:val="38"/>
          <w:szCs w:val="38"/>
        </w:rPr>
        <w:t>(七</w:t>
      </w:r>
      <w:r>
        <w:rPr>
          <w:rFonts w:ascii="仿宋" w:hAnsi="仿宋" w:eastAsia="仿宋" w:cs="仿宋"/>
          <w:spacing w:val="20"/>
          <w:sz w:val="38"/>
          <w:szCs w:val="38"/>
        </w:rPr>
        <w:t>)国家工程建设消防技术标准规定的一类高层住宅建</w:t>
      </w:r>
      <w:r>
        <w:rPr>
          <w:rFonts w:ascii="仿宋" w:hAnsi="仿宋" w:eastAsia="仿宋" w:cs="仿宋"/>
          <w:spacing w:val="-10"/>
          <w:sz w:val="38"/>
          <w:szCs w:val="38"/>
        </w:rPr>
        <w:t>筑。</w:t>
      </w:r>
    </w:p>
    <w:p w14:paraId="2C1246D0">
      <w:pPr>
        <w:spacing w:before="226" w:line="289" w:lineRule="auto"/>
        <w:ind w:left="799" w:right="430" w:firstLine="170"/>
        <w:rPr>
          <w:rFonts w:ascii="仿宋" w:hAnsi="仿宋" w:eastAsia="仿宋" w:cs="仿宋"/>
          <w:sz w:val="36"/>
          <w:szCs w:val="36"/>
        </w:rPr>
      </w:pPr>
      <w:r>
        <w:rPr>
          <w:rFonts w:ascii="仿宋" w:hAnsi="仿宋" w:eastAsia="仿宋" w:cs="仿宋"/>
          <w:spacing w:val="12"/>
          <w:sz w:val="38"/>
          <w:szCs w:val="38"/>
        </w:rPr>
        <w:t>(八)城市轨道交通、隧道工程，大型发电、变配</w:t>
      </w:r>
      <w:r>
        <w:rPr>
          <w:rFonts w:ascii="仿宋" w:hAnsi="仿宋" w:eastAsia="仿宋" w:cs="仿宋"/>
          <w:spacing w:val="11"/>
          <w:sz w:val="38"/>
          <w:szCs w:val="38"/>
        </w:rPr>
        <w:t>电工程。</w:t>
      </w:r>
      <w:r>
        <w:rPr>
          <w:rFonts w:ascii="仿宋" w:hAnsi="仿宋" w:eastAsia="仿宋" w:cs="仿宋"/>
          <w:spacing w:val="4"/>
          <w:sz w:val="36"/>
          <w:szCs w:val="36"/>
        </w:rPr>
        <w:t>条文说明：</w:t>
      </w:r>
    </w:p>
    <w:p w14:paraId="28A0EF54">
      <w:pPr>
        <w:spacing w:before="262" w:line="329" w:lineRule="auto"/>
        <w:ind w:right="410" w:firstLine="799"/>
        <w:rPr>
          <w:rFonts w:ascii="仿宋" w:hAnsi="仿宋" w:eastAsia="仿宋" w:cs="仿宋"/>
          <w:sz w:val="38"/>
          <w:szCs w:val="38"/>
        </w:rPr>
      </w:pPr>
      <w:r>
        <w:rPr>
          <w:rFonts w:ascii="宋体" w:hAnsi="宋体" w:eastAsia="宋体" w:cs="宋体"/>
          <w:spacing w:val="1"/>
          <w:sz w:val="38"/>
          <w:szCs w:val="38"/>
        </w:rPr>
        <w:t>1.</w:t>
      </w:r>
      <w:r>
        <w:rPr>
          <w:rFonts w:ascii="仿宋" w:hAnsi="仿宋" w:eastAsia="仿宋" w:cs="仿宋"/>
          <w:spacing w:val="1"/>
          <w:sz w:val="38"/>
          <w:szCs w:val="38"/>
        </w:rPr>
        <w:t>本项中“大型变配电工程”,是指电压等级220</w:t>
      </w:r>
      <w:r>
        <w:rPr>
          <w:rFonts w:ascii="宋体" w:hAnsi="宋体" w:eastAsia="宋体" w:cs="宋体"/>
          <w:sz w:val="38"/>
          <w:szCs w:val="38"/>
        </w:rPr>
        <w:t>kV</w:t>
      </w:r>
      <w:r>
        <w:rPr>
          <w:rFonts w:ascii="仿宋" w:hAnsi="仿宋" w:eastAsia="仿宋" w:cs="仿宋"/>
          <w:spacing w:val="1"/>
          <w:sz w:val="38"/>
          <w:szCs w:val="38"/>
        </w:rPr>
        <w:t>及以上的</w:t>
      </w:r>
      <w:r>
        <w:rPr>
          <w:rFonts w:ascii="仿宋" w:hAnsi="仿宋" w:eastAsia="仿宋" w:cs="仿宋"/>
          <w:spacing w:val="-1"/>
          <w:sz w:val="38"/>
          <w:szCs w:val="38"/>
        </w:rPr>
        <w:t>变电站，以及与其他建筑组合建造的110</w:t>
      </w:r>
      <w:r>
        <w:rPr>
          <w:rFonts w:ascii="Times New Roman" w:hAnsi="Times New Roman" w:eastAsia="Times New Roman" w:cs="Times New Roman"/>
          <w:spacing w:val="-1"/>
          <w:sz w:val="38"/>
          <w:szCs w:val="38"/>
        </w:rPr>
        <w:t>kV</w:t>
      </w:r>
      <w:r>
        <w:rPr>
          <w:rFonts w:ascii="仿宋" w:hAnsi="仿宋" w:eastAsia="仿宋" w:cs="仿宋"/>
          <w:spacing w:val="-1"/>
          <w:sz w:val="38"/>
          <w:szCs w:val="38"/>
        </w:rPr>
        <w:t>变电站。</w:t>
      </w:r>
    </w:p>
    <w:p w14:paraId="32984225">
      <w:pPr>
        <w:spacing w:before="2" w:line="222" w:lineRule="auto"/>
        <w:ind w:left="970"/>
        <w:rPr>
          <w:rFonts w:ascii="仿宋" w:hAnsi="仿宋" w:eastAsia="仿宋" w:cs="仿宋"/>
          <w:sz w:val="38"/>
          <w:szCs w:val="38"/>
        </w:rPr>
      </w:pPr>
      <w:r>
        <w:rPr>
          <w:rFonts w:ascii="楷体" w:hAnsi="楷体" w:eastAsia="楷体" w:cs="楷体"/>
          <w:spacing w:val="7"/>
          <w:sz w:val="38"/>
          <w:szCs w:val="38"/>
        </w:rPr>
        <w:t>(九</w:t>
      </w:r>
      <w:r>
        <w:rPr>
          <w:rFonts w:ascii="仿宋" w:hAnsi="仿宋" w:eastAsia="仿宋" w:cs="仿宋"/>
          <w:spacing w:val="7"/>
          <w:sz w:val="38"/>
          <w:szCs w:val="38"/>
        </w:rPr>
        <w:t>)生产、储存、装卸易燃易爆危险物品的工厂、仓库和</w:t>
      </w:r>
    </w:p>
    <w:p w14:paraId="53131570">
      <w:pPr>
        <w:spacing w:line="222" w:lineRule="auto"/>
        <w:rPr>
          <w:rFonts w:ascii="仿宋" w:hAnsi="仿宋" w:eastAsia="仿宋" w:cs="仿宋"/>
          <w:sz w:val="38"/>
          <w:szCs w:val="38"/>
        </w:rPr>
        <w:sectPr>
          <w:footerReference r:id="rId10" w:type="default"/>
          <w:pgSz w:w="14930" w:h="20790"/>
          <w:pgMar w:top="1767" w:right="2239" w:bottom="2409" w:left="1480" w:header="0" w:footer="1942" w:gutter="0"/>
          <w:cols w:space="720" w:num="1"/>
        </w:sectPr>
      </w:pPr>
    </w:p>
    <w:p w14:paraId="01624A48">
      <w:pPr>
        <w:pStyle w:val="2"/>
        <w:spacing w:line="278" w:lineRule="auto"/>
      </w:pPr>
    </w:p>
    <w:p w14:paraId="0C63E33E">
      <w:pPr>
        <w:pStyle w:val="2"/>
        <w:spacing w:line="279" w:lineRule="auto"/>
      </w:pPr>
    </w:p>
    <w:p w14:paraId="7845BE48">
      <w:pPr>
        <w:pStyle w:val="2"/>
        <w:spacing w:line="279" w:lineRule="auto"/>
      </w:pPr>
    </w:p>
    <w:p w14:paraId="644EB266">
      <w:pPr>
        <w:spacing w:before="124" w:line="341" w:lineRule="auto"/>
        <w:ind w:right="46"/>
        <w:rPr>
          <w:rFonts w:ascii="仿宋" w:hAnsi="仿宋" w:eastAsia="仿宋" w:cs="仿宋"/>
          <w:sz w:val="38"/>
          <w:szCs w:val="38"/>
        </w:rPr>
      </w:pPr>
      <w:r>
        <w:rPr>
          <w:rFonts w:ascii="仿宋" w:hAnsi="仿宋" w:eastAsia="仿宋" w:cs="仿宋"/>
          <w:spacing w:val="5"/>
          <w:sz w:val="38"/>
          <w:szCs w:val="38"/>
        </w:rPr>
        <w:t>专用车站、码头，易燃易爆气体和液体的充装站、供应站、</w:t>
      </w:r>
      <w:r>
        <w:rPr>
          <w:rFonts w:ascii="仿宋" w:hAnsi="仿宋" w:eastAsia="仿宋" w:cs="仿宋"/>
          <w:spacing w:val="4"/>
          <w:sz w:val="38"/>
          <w:szCs w:val="38"/>
        </w:rPr>
        <w:t>调压</w:t>
      </w:r>
      <w:r>
        <w:rPr>
          <w:rFonts w:ascii="仿宋" w:hAnsi="仿宋" w:eastAsia="仿宋" w:cs="仿宋"/>
          <w:spacing w:val="-8"/>
          <w:sz w:val="38"/>
          <w:szCs w:val="38"/>
        </w:rPr>
        <w:t>站。</w:t>
      </w:r>
    </w:p>
    <w:p w14:paraId="47DE51FE">
      <w:pPr>
        <w:spacing w:before="1" w:line="350" w:lineRule="auto"/>
        <w:ind w:right="48" w:firstLine="930"/>
        <w:rPr>
          <w:rFonts w:ascii="仿宋" w:hAnsi="仿宋" w:eastAsia="仿宋" w:cs="仿宋"/>
          <w:sz w:val="38"/>
          <w:szCs w:val="38"/>
        </w:rPr>
      </w:pPr>
      <w:r>
        <w:rPr>
          <w:rFonts w:ascii="楷体" w:hAnsi="楷体" w:eastAsia="楷体" w:cs="楷体"/>
          <w:spacing w:val="6"/>
          <w:sz w:val="38"/>
          <w:szCs w:val="38"/>
        </w:rPr>
        <w:t>(十</w:t>
      </w:r>
      <w:r>
        <w:rPr>
          <w:rFonts w:ascii="仿宋" w:hAnsi="仿宋" w:eastAsia="仿宋" w:cs="仿宋"/>
          <w:spacing w:val="6"/>
          <w:sz w:val="38"/>
          <w:szCs w:val="38"/>
        </w:rPr>
        <w:t>)国家机关办公楼、电力调度楼、电信楼、</w:t>
      </w:r>
      <w:r>
        <w:rPr>
          <w:rFonts w:ascii="仿宋" w:hAnsi="仿宋" w:eastAsia="仿宋" w:cs="仿宋"/>
          <w:spacing w:val="5"/>
          <w:sz w:val="38"/>
          <w:szCs w:val="38"/>
        </w:rPr>
        <w:t>邮政楼、防</w:t>
      </w:r>
      <w:r>
        <w:rPr>
          <w:rFonts w:ascii="仿宋" w:hAnsi="仿宋" w:eastAsia="仿宋" w:cs="仿宋"/>
          <w:spacing w:val="2"/>
          <w:sz w:val="38"/>
          <w:szCs w:val="38"/>
        </w:rPr>
        <w:t>灾指挥调度楼、广播电视楼、档案楼。</w:t>
      </w:r>
    </w:p>
    <w:p w14:paraId="65DE0B27">
      <w:pPr>
        <w:spacing w:before="1" w:line="223" w:lineRule="auto"/>
        <w:ind w:left="770"/>
        <w:rPr>
          <w:rFonts w:ascii="仿宋" w:hAnsi="仿宋" w:eastAsia="仿宋" w:cs="仿宋"/>
          <w:sz w:val="34"/>
          <w:szCs w:val="34"/>
        </w:rPr>
      </w:pPr>
      <w:r>
        <w:rPr>
          <w:rFonts w:ascii="仿宋" w:hAnsi="仿宋" w:eastAsia="仿宋" w:cs="仿宋"/>
          <w:spacing w:val="28"/>
          <w:sz w:val="34"/>
          <w:szCs w:val="34"/>
        </w:rPr>
        <w:t>条文说明：</w:t>
      </w:r>
    </w:p>
    <w:p w14:paraId="416FC017">
      <w:pPr>
        <w:spacing w:before="260" w:line="323" w:lineRule="auto"/>
        <w:ind w:right="21" w:firstLine="770"/>
        <w:rPr>
          <w:rFonts w:ascii="仿宋" w:hAnsi="仿宋" w:eastAsia="仿宋" w:cs="仿宋"/>
          <w:sz w:val="38"/>
          <w:szCs w:val="38"/>
        </w:rPr>
      </w:pPr>
      <w:r>
        <w:rPr>
          <w:rFonts w:ascii="仿宋" w:hAnsi="仿宋" w:eastAsia="仿宋" w:cs="仿宋"/>
          <w:spacing w:val="5"/>
          <w:sz w:val="38"/>
          <w:szCs w:val="38"/>
        </w:rPr>
        <w:t>1.本项中“国家机关办公楼”可参照中共中央办公厅、国务</w:t>
      </w:r>
      <w:r>
        <w:rPr>
          <w:rFonts w:ascii="仿宋" w:hAnsi="仿宋" w:eastAsia="仿宋" w:cs="仿宋"/>
          <w:spacing w:val="4"/>
          <w:sz w:val="38"/>
          <w:szCs w:val="38"/>
        </w:rPr>
        <w:t>院办公厅2017年印发的《党政机关办公用房管理办法</w:t>
      </w:r>
      <w:r>
        <w:rPr>
          <w:rFonts w:ascii="仿宋" w:hAnsi="仿宋" w:eastAsia="仿宋" w:cs="仿宋"/>
          <w:spacing w:val="3"/>
          <w:sz w:val="38"/>
          <w:szCs w:val="38"/>
        </w:rPr>
        <w:t>》有关规定</w:t>
      </w:r>
      <w:r>
        <w:rPr>
          <w:rFonts w:ascii="仿宋" w:hAnsi="仿宋" w:eastAsia="仿宋" w:cs="仿宋"/>
          <w:spacing w:val="5"/>
          <w:sz w:val="38"/>
          <w:szCs w:val="38"/>
        </w:rPr>
        <w:t>是指党的机关、人大机关、行政机关、政协机关、监察机关、审判机关、检察机关，以及工会、共青团、妇联等人民团体和参照</w:t>
      </w:r>
      <w:r>
        <w:rPr>
          <w:rFonts w:ascii="仿宋" w:hAnsi="仿宋" w:eastAsia="仿宋" w:cs="仿宋"/>
          <w:spacing w:val="6"/>
          <w:sz w:val="38"/>
          <w:szCs w:val="38"/>
        </w:rPr>
        <w:t>公务员法管理的事业单位的办公用房。办公用房包括</w:t>
      </w:r>
      <w:r>
        <w:rPr>
          <w:rFonts w:ascii="仿宋" w:hAnsi="仿宋" w:eastAsia="仿宋" w:cs="仿宋"/>
          <w:spacing w:val="5"/>
          <w:sz w:val="38"/>
          <w:szCs w:val="38"/>
        </w:rPr>
        <w:t>办公室、服</w:t>
      </w:r>
      <w:r>
        <w:rPr>
          <w:rFonts w:ascii="仿宋" w:hAnsi="仿宋" w:eastAsia="仿宋" w:cs="仿宋"/>
          <w:spacing w:val="-1"/>
          <w:sz w:val="38"/>
          <w:szCs w:val="38"/>
        </w:rPr>
        <w:t>务用房、设备用房和附属用房。(包含城管、监</w:t>
      </w:r>
      <w:r>
        <w:rPr>
          <w:rFonts w:ascii="仿宋" w:hAnsi="仿宋" w:eastAsia="仿宋" w:cs="仿宋"/>
          <w:spacing w:val="-2"/>
          <w:sz w:val="38"/>
          <w:szCs w:val="38"/>
        </w:rPr>
        <w:t>狱、看守所、街道</w:t>
      </w:r>
      <w:r>
        <w:rPr>
          <w:rFonts w:ascii="仿宋" w:hAnsi="仿宋" w:eastAsia="仿宋" w:cs="仿宋"/>
          <w:spacing w:val="9"/>
          <w:sz w:val="38"/>
          <w:szCs w:val="38"/>
        </w:rPr>
        <w:t>办事处等上述国家机关的办公用房)</w:t>
      </w:r>
    </w:p>
    <w:p w14:paraId="16F7502D">
      <w:pPr>
        <w:spacing w:before="239" w:line="286" w:lineRule="auto"/>
        <w:ind w:right="56" w:firstLine="770"/>
        <w:rPr>
          <w:rFonts w:ascii="仿宋" w:hAnsi="仿宋" w:eastAsia="仿宋" w:cs="仿宋"/>
          <w:sz w:val="34"/>
          <w:szCs w:val="34"/>
        </w:rPr>
      </w:pPr>
      <w:r>
        <w:rPr>
          <w:rFonts w:ascii="宋体" w:hAnsi="宋体" w:eastAsia="宋体" w:cs="宋体"/>
          <w:spacing w:val="4"/>
          <w:sz w:val="38"/>
          <w:szCs w:val="38"/>
        </w:rPr>
        <w:t>2.</w:t>
      </w:r>
      <w:r>
        <w:rPr>
          <w:rFonts w:ascii="仿宋" w:hAnsi="仿宋" w:eastAsia="仿宋" w:cs="仿宋"/>
          <w:spacing w:val="4"/>
          <w:sz w:val="38"/>
          <w:szCs w:val="38"/>
        </w:rPr>
        <w:t>国家机关租赁既有建筑对其局部场所进行改建或改造时，</w:t>
      </w:r>
      <w:r>
        <w:rPr>
          <w:rFonts w:ascii="仿宋" w:hAnsi="仿宋" w:eastAsia="仿宋" w:cs="仿宋"/>
          <w:spacing w:val="37"/>
          <w:sz w:val="34"/>
          <w:szCs w:val="34"/>
        </w:rPr>
        <w:t>参照本项执行。</w:t>
      </w:r>
    </w:p>
    <w:p w14:paraId="50182206">
      <w:pPr>
        <w:spacing w:before="307" w:line="226" w:lineRule="auto"/>
        <w:ind w:left="930"/>
        <w:rPr>
          <w:rFonts w:ascii="仿宋" w:hAnsi="仿宋" w:eastAsia="仿宋" w:cs="仿宋"/>
          <w:sz w:val="38"/>
          <w:szCs w:val="38"/>
        </w:rPr>
      </w:pPr>
      <w:r>
        <w:rPr>
          <w:rFonts w:ascii="楷体" w:hAnsi="楷体" w:eastAsia="楷体" w:cs="楷体"/>
          <w:spacing w:val="-2"/>
          <w:sz w:val="38"/>
          <w:szCs w:val="38"/>
        </w:rPr>
        <w:t>(十一</w:t>
      </w:r>
      <w:r>
        <w:rPr>
          <w:rFonts w:ascii="仿宋" w:hAnsi="仿宋" w:eastAsia="仿宋" w:cs="仿宋"/>
          <w:spacing w:val="-2"/>
          <w:sz w:val="38"/>
          <w:szCs w:val="38"/>
        </w:rPr>
        <w:t>)设有本条第一项至第六项所列情形的建设工程。</w:t>
      </w:r>
    </w:p>
    <w:p w14:paraId="06362A67">
      <w:pPr>
        <w:spacing w:before="221" w:line="293" w:lineRule="auto"/>
        <w:ind w:right="48" w:firstLine="930"/>
        <w:rPr>
          <w:rFonts w:ascii="仿宋" w:hAnsi="仿宋" w:eastAsia="仿宋" w:cs="仿宋"/>
          <w:sz w:val="34"/>
          <w:szCs w:val="34"/>
        </w:rPr>
      </w:pPr>
      <w:r>
        <w:rPr>
          <w:rFonts w:ascii="楷体" w:hAnsi="楷体" w:eastAsia="楷体" w:cs="楷体"/>
          <w:spacing w:val="-1"/>
          <w:sz w:val="38"/>
          <w:szCs w:val="38"/>
        </w:rPr>
        <w:t>(十二</w:t>
      </w:r>
      <w:r>
        <w:rPr>
          <w:rFonts w:ascii="仿宋" w:hAnsi="仿宋" w:eastAsia="仿宋" w:cs="仿宋"/>
          <w:spacing w:val="-1"/>
          <w:sz w:val="38"/>
          <w:szCs w:val="38"/>
        </w:rPr>
        <w:t>)本条第十项、第十一项规定以外的单体建筑</w:t>
      </w:r>
      <w:r>
        <w:rPr>
          <w:rFonts w:ascii="仿宋" w:hAnsi="仿宋" w:eastAsia="仿宋" w:cs="仿宋"/>
          <w:spacing w:val="-2"/>
          <w:sz w:val="38"/>
          <w:szCs w:val="38"/>
        </w:rPr>
        <w:t>面积大</w:t>
      </w:r>
      <w:r>
        <w:rPr>
          <w:rFonts w:ascii="仿宋" w:hAnsi="仿宋" w:eastAsia="仿宋" w:cs="仿宋"/>
          <w:spacing w:val="42"/>
          <w:sz w:val="34"/>
          <w:szCs w:val="34"/>
        </w:rPr>
        <w:t>于四万平方米或者建筑高度超过五十米的公共建筑。</w:t>
      </w:r>
    </w:p>
    <w:p w14:paraId="3E4B2630">
      <w:pPr>
        <w:spacing w:before="272" w:line="224" w:lineRule="auto"/>
        <w:ind w:left="820"/>
        <w:rPr>
          <w:rFonts w:ascii="仿宋" w:hAnsi="仿宋" w:eastAsia="仿宋" w:cs="仿宋"/>
          <w:sz w:val="34"/>
          <w:szCs w:val="34"/>
        </w:rPr>
      </w:pPr>
      <w:r>
        <w:rPr>
          <w:rFonts w:ascii="仿宋" w:hAnsi="仿宋" w:eastAsia="仿宋" w:cs="仿宋"/>
          <w:spacing w:val="23"/>
          <w:sz w:val="34"/>
          <w:szCs w:val="34"/>
        </w:rPr>
        <w:t>条文说明：</w:t>
      </w:r>
    </w:p>
    <w:p w14:paraId="0E4D4EBC">
      <w:pPr>
        <w:spacing w:before="297" w:line="304" w:lineRule="auto"/>
        <w:ind w:right="21" w:firstLine="770"/>
        <w:rPr>
          <w:rFonts w:ascii="仿宋" w:hAnsi="仿宋" w:eastAsia="仿宋" w:cs="仿宋"/>
          <w:sz w:val="34"/>
          <w:szCs w:val="34"/>
        </w:rPr>
      </w:pPr>
      <w:r>
        <w:rPr>
          <w:rFonts w:ascii="宋体" w:hAnsi="宋体" w:eastAsia="宋体" w:cs="宋体"/>
          <w:spacing w:val="5"/>
          <w:sz w:val="38"/>
          <w:szCs w:val="38"/>
        </w:rPr>
        <w:t>1.</w:t>
      </w:r>
      <w:r>
        <w:rPr>
          <w:rFonts w:ascii="仿宋" w:hAnsi="仿宋" w:eastAsia="仿宋" w:cs="仿宋"/>
          <w:spacing w:val="5"/>
          <w:sz w:val="38"/>
          <w:szCs w:val="38"/>
        </w:rPr>
        <w:t>本项中的“公共建筑”,包括住宅与其他使用功能(非商业</w:t>
      </w:r>
      <w:r>
        <w:rPr>
          <w:rFonts w:ascii="仿宋" w:hAnsi="仿宋" w:eastAsia="仿宋" w:cs="仿宋"/>
          <w:spacing w:val="12"/>
          <w:sz w:val="38"/>
          <w:szCs w:val="38"/>
        </w:rPr>
        <w:t>服务网点)合建的建筑，面积包含住宅与其他使用功</w:t>
      </w:r>
      <w:r>
        <w:rPr>
          <w:rFonts w:ascii="仿宋" w:hAnsi="仿宋" w:eastAsia="仿宋" w:cs="仿宋"/>
          <w:spacing w:val="11"/>
          <w:sz w:val="38"/>
          <w:szCs w:val="38"/>
        </w:rPr>
        <w:t>能的总建筑</w:t>
      </w:r>
      <w:r>
        <w:rPr>
          <w:rFonts w:ascii="仿宋" w:hAnsi="仿宋" w:eastAsia="仿宋" w:cs="仿宋"/>
          <w:spacing w:val="19"/>
          <w:sz w:val="34"/>
          <w:szCs w:val="34"/>
        </w:rPr>
        <w:t>面积。</w:t>
      </w:r>
    </w:p>
    <w:p w14:paraId="5D8041CA">
      <w:pPr>
        <w:spacing w:before="274" w:line="219" w:lineRule="auto"/>
        <w:jc w:val="right"/>
        <w:rPr>
          <w:rFonts w:ascii="仿宋" w:hAnsi="仿宋" w:eastAsia="仿宋" w:cs="仿宋"/>
          <w:sz w:val="38"/>
          <w:szCs w:val="38"/>
        </w:rPr>
      </w:pPr>
      <w:r>
        <w:rPr>
          <w:rFonts w:ascii="宋体" w:hAnsi="宋体" w:eastAsia="宋体" w:cs="宋体"/>
          <w:spacing w:val="6"/>
          <w:sz w:val="38"/>
          <w:szCs w:val="38"/>
        </w:rPr>
        <w:t>2.</w:t>
      </w:r>
      <w:r>
        <w:rPr>
          <w:rFonts w:ascii="仿宋" w:hAnsi="仿宋" w:eastAsia="仿宋" w:cs="仿宋"/>
          <w:spacing w:val="6"/>
          <w:sz w:val="38"/>
          <w:szCs w:val="38"/>
        </w:rPr>
        <w:t>在工业用地上作为“创新型产业”等类型项目建设的科研</w:t>
      </w:r>
    </w:p>
    <w:p w14:paraId="17462CFD">
      <w:pPr>
        <w:spacing w:line="219" w:lineRule="auto"/>
        <w:rPr>
          <w:rFonts w:ascii="仿宋" w:hAnsi="仿宋" w:eastAsia="仿宋" w:cs="仿宋"/>
          <w:sz w:val="38"/>
          <w:szCs w:val="38"/>
        </w:rPr>
        <w:sectPr>
          <w:footerReference r:id="rId11" w:type="default"/>
          <w:pgSz w:w="14670" w:h="20610"/>
          <w:pgMar w:top="1751" w:right="2023" w:bottom="2292" w:left="1819" w:header="0" w:footer="1850" w:gutter="0"/>
          <w:cols w:space="720" w:num="1"/>
        </w:sectPr>
      </w:pPr>
    </w:p>
    <w:p w14:paraId="00BF14E3">
      <w:pPr>
        <w:pStyle w:val="2"/>
        <w:spacing w:line="305" w:lineRule="auto"/>
      </w:pPr>
    </w:p>
    <w:p w14:paraId="63B07BEE">
      <w:pPr>
        <w:pStyle w:val="2"/>
        <w:spacing w:line="305" w:lineRule="auto"/>
      </w:pPr>
    </w:p>
    <w:p w14:paraId="11CC9B74">
      <w:pPr>
        <w:pStyle w:val="2"/>
        <w:spacing w:line="306" w:lineRule="auto"/>
      </w:pPr>
    </w:p>
    <w:p w14:paraId="30B80C5C">
      <w:pPr>
        <w:spacing w:before="120" w:line="345" w:lineRule="auto"/>
        <w:ind w:left="30" w:right="294" w:hanging="30"/>
        <w:jc w:val="both"/>
        <w:rPr>
          <w:rFonts w:ascii="仿宋" w:hAnsi="仿宋" w:eastAsia="仿宋" w:cs="仿宋"/>
          <w:sz w:val="37"/>
          <w:szCs w:val="37"/>
        </w:rPr>
      </w:pPr>
      <w:r>
        <w:rPr>
          <w:rFonts w:ascii="仿宋" w:hAnsi="仿宋" w:eastAsia="仿宋" w:cs="仿宋"/>
          <w:spacing w:val="13"/>
          <w:sz w:val="37"/>
          <w:szCs w:val="37"/>
        </w:rPr>
        <w:t>及软件生产类用房参照此条执行。此类项目通常总平面设计、消</w:t>
      </w:r>
      <w:r>
        <w:rPr>
          <w:rFonts w:ascii="仿宋" w:hAnsi="仿宋" w:eastAsia="仿宋" w:cs="仿宋"/>
          <w:spacing w:val="25"/>
          <w:sz w:val="37"/>
          <w:szCs w:val="37"/>
        </w:rPr>
        <w:t>防间距等按照丙二类厂房控制，建筑单体(含改造、装修)的消</w:t>
      </w:r>
      <w:r>
        <w:rPr>
          <w:rFonts w:ascii="仿宋" w:hAnsi="仿宋" w:eastAsia="仿宋" w:cs="仿宋"/>
          <w:spacing w:val="26"/>
          <w:sz w:val="37"/>
          <w:szCs w:val="37"/>
        </w:rPr>
        <w:t>防设计参照办公建筑等实际类似使用功能(</w:t>
      </w:r>
      <w:r>
        <w:rPr>
          <w:rFonts w:ascii="仿宋" w:hAnsi="仿宋" w:eastAsia="仿宋" w:cs="仿宋"/>
          <w:spacing w:val="25"/>
          <w:sz w:val="37"/>
          <w:szCs w:val="37"/>
        </w:rPr>
        <w:t>公共建筑)执行。</w:t>
      </w:r>
    </w:p>
    <w:p w14:paraId="7234DBC8">
      <w:pPr>
        <w:spacing w:line="219" w:lineRule="auto"/>
        <w:ind w:left="750"/>
        <w:rPr>
          <w:rFonts w:ascii="仿宋" w:hAnsi="仿宋" w:eastAsia="仿宋" w:cs="仿宋"/>
          <w:sz w:val="37"/>
          <w:szCs w:val="37"/>
        </w:rPr>
      </w:pPr>
      <w:r>
        <w:rPr>
          <w:rFonts w:ascii="宋体" w:hAnsi="宋体" w:eastAsia="宋体" w:cs="宋体"/>
          <w:spacing w:val="11"/>
          <w:sz w:val="37"/>
          <w:szCs w:val="37"/>
        </w:rPr>
        <w:t>3.</w:t>
      </w:r>
      <w:r>
        <w:rPr>
          <w:rFonts w:ascii="仿宋" w:hAnsi="仿宋" w:eastAsia="仿宋" w:cs="仿宋"/>
          <w:spacing w:val="11"/>
          <w:sz w:val="37"/>
          <w:szCs w:val="37"/>
        </w:rPr>
        <w:t>工业用地上的汽车库参照公共建筑按该项进行判</w:t>
      </w:r>
      <w:r>
        <w:rPr>
          <w:rFonts w:ascii="仿宋" w:hAnsi="仿宋" w:eastAsia="仿宋" w:cs="仿宋"/>
          <w:spacing w:val="10"/>
          <w:sz w:val="37"/>
          <w:szCs w:val="37"/>
        </w:rPr>
        <w:t>定。</w:t>
      </w:r>
    </w:p>
    <w:p w14:paraId="53261ADE">
      <w:pPr>
        <w:spacing w:before="273" w:line="222" w:lineRule="auto"/>
        <w:ind w:left="759"/>
        <w:rPr>
          <w:rFonts w:ascii="仿宋" w:hAnsi="仿宋" w:eastAsia="仿宋" w:cs="仿宋"/>
          <w:sz w:val="37"/>
          <w:szCs w:val="37"/>
        </w:rPr>
      </w:pPr>
      <w:r>
        <w:rPr>
          <w:rFonts w:ascii="宋体" w:hAnsi="宋体" w:eastAsia="宋体" w:cs="宋体"/>
          <w:spacing w:val="8"/>
          <w:sz w:val="37"/>
          <w:szCs w:val="37"/>
        </w:rPr>
        <w:t>4.</w:t>
      </w:r>
      <w:r>
        <w:rPr>
          <w:rFonts w:ascii="仿宋" w:hAnsi="仿宋" w:eastAsia="仿宋" w:cs="仿宋"/>
          <w:spacing w:val="8"/>
          <w:sz w:val="37"/>
          <w:szCs w:val="37"/>
        </w:rPr>
        <w:t>本项中建筑高度指的是建筑的消防高度。</w:t>
      </w:r>
    </w:p>
    <w:p w14:paraId="1FAAEB6B">
      <w:pPr>
        <w:pStyle w:val="2"/>
        <w:spacing w:line="244" w:lineRule="auto"/>
      </w:pPr>
    </w:p>
    <w:p w14:paraId="7A8E06CF">
      <w:pPr>
        <w:pStyle w:val="2"/>
        <w:spacing w:line="244" w:lineRule="auto"/>
      </w:pPr>
    </w:p>
    <w:p w14:paraId="7CFDA5A2">
      <w:pPr>
        <w:pStyle w:val="2"/>
        <w:spacing w:line="244" w:lineRule="auto"/>
      </w:pPr>
    </w:p>
    <w:p w14:paraId="7C0C86EE">
      <w:pPr>
        <w:pStyle w:val="2"/>
        <w:spacing w:line="244" w:lineRule="auto"/>
      </w:pPr>
    </w:p>
    <w:p w14:paraId="3A8D5DD0">
      <w:pPr>
        <w:pStyle w:val="2"/>
        <w:spacing w:line="244" w:lineRule="auto"/>
      </w:pPr>
    </w:p>
    <w:p w14:paraId="64D8F7CB">
      <w:pPr>
        <w:pStyle w:val="2"/>
        <w:spacing w:line="245" w:lineRule="auto"/>
      </w:pPr>
    </w:p>
    <w:p w14:paraId="749A5622">
      <w:pPr>
        <w:pStyle w:val="2"/>
        <w:spacing w:line="245" w:lineRule="auto"/>
      </w:pPr>
    </w:p>
    <w:p w14:paraId="1E10D734">
      <w:pPr>
        <w:pStyle w:val="2"/>
        <w:spacing w:line="245" w:lineRule="auto"/>
      </w:pPr>
    </w:p>
    <w:p w14:paraId="7D0D3268">
      <w:pPr>
        <w:pStyle w:val="2"/>
        <w:spacing w:line="245" w:lineRule="auto"/>
      </w:pPr>
    </w:p>
    <w:p w14:paraId="1E38A85A">
      <w:pPr>
        <w:pStyle w:val="2"/>
        <w:spacing w:line="245" w:lineRule="auto"/>
      </w:pPr>
    </w:p>
    <w:p w14:paraId="1B1C9614">
      <w:pPr>
        <w:pStyle w:val="2"/>
        <w:spacing w:line="245" w:lineRule="auto"/>
      </w:pPr>
    </w:p>
    <w:p w14:paraId="69544043">
      <w:pPr>
        <w:pStyle w:val="2"/>
        <w:spacing w:line="245" w:lineRule="auto"/>
      </w:pPr>
    </w:p>
    <w:p w14:paraId="2A632B9F">
      <w:pPr>
        <w:pStyle w:val="2"/>
        <w:spacing w:line="245" w:lineRule="auto"/>
      </w:pPr>
    </w:p>
    <w:p w14:paraId="4B7B74D6">
      <w:pPr>
        <w:pStyle w:val="2"/>
        <w:spacing w:line="245" w:lineRule="auto"/>
      </w:pPr>
    </w:p>
    <w:p w14:paraId="1E7DE4F8">
      <w:pPr>
        <w:pStyle w:val="2"/>
        <w:spacing w:line="245" w:lineRule="auto"/>
      </w:pPr>
    </w:p>
    <w:p w14:paraId="60BCC7C1">
      <w:pPr>
        <w:pStyle w:val="2"/>
        <w:spacing w:line="245" w:lineRule="auto"/>
      </w:pPr>
    </w:p>
    <w:p w14:paraId="24945D7E">
      <w:pPr>
        <w:pStyle w:val="2"/>
        <w:spacing w:line="245" w:lineRule="auto"/>
      </w:pPr>
    </w:p>
    <w:p w14:paraId="390F5A03">
      <w:pPr>
        <w:pStyle w:val="2"/>
        <w:spacing w:line="245" w:lineRule="auto"/>
      </w:pPr>
    </w:p>
    <w:p w14:paraId="0F19A94F">
      <w:pPr>
        <w:pStyle w:val="2"/>
        <w:spacing w:line="245" w:lineRule="auto"/>
      </w:pPr>
    </w:p>
    <w:p w14:paraId="70A53A6D">
      <w:pPr>
        <w:pStyle w:val="2"/>
        <w:spacing w:line="245" w:lineRule="auto"/>
      </w:pPr>
    </w:p>
    <w:p w14:paraId="2DBCC4F8">
      <w:pPr>
        <w:pStyle w:val="2"/>
        <w:spacing w:line="245" w:lineRule="auto"/>
      </w:pPr>
    </w:p>
    <w:p w14:paraId="3A143E2A">
      <w:pPr>
        <w:pStyle w:val="2"/>
        <w:spacing w:line="245" w:lineRule="auto"/>
      </w:pPr>
    </w:p>
    <w:p w14:paraId="04D9899A">
      <w:pPr>
        <w:pStyle w:val="2"/>
        <w:spacing w:line="245" w:lineRule="auto"/>
      </w:pPr>
    </w:p>
    <w:p w14:paraId="38271008">
      <w:pPr>
        <w:pStyle w:val="2"/>
        <w:spacing w:line="245" w:lineRule="auto"/>
      </w:pPr>
    </w:p>
    <w:p w14:paraId="7051F780">
      <w:pPr>
        <w:pStyle w:val="2"/>
        <w:spacing w:line="245" w:lineRule="auto"/>
      </w:pPr>
    </w:p>
    <w:p w14:paraId="1476CB49">
      <w:pPr>
        <w:pStyle w:val="2"/>
        <w:spacing w:line="245" w:lineRule="auto"/>
      </w:pPr>
    </w:p>
    <w:p w14:paraId="5F9201EE">
      <w:pPr>
        <w:pStyle w:val="2"/>
        <w:spacing w:line="245" w:lineRule="auto"/>
      </w:pPr>
    </w:p>
    <w:p w14:paraId="6B7957F4">
      <w:pPr>
        <w:pStyle w:val="2"/>
        <w:spacing w:line="245" w:lineRule="auto"/>
      </w:pPr>
    </w:p>
    <w:p w14:paraId="1CC917F5">
      <w:pPr>
        <w:pStyle w:val="2"/>
        <w:spacing w:line="245" w:lineRule="auto"/>
      </w:pPr>
    </w:p>
    <w:p w14:paraId="4034DA4A">
      <w:pPr>
        <w:pStyle w:val="2"/>
        <w:spacing w:line="245" w:lineRule="auto"/>
      </w:pPr>
    </w:p>
    <w:p w14:paraId="472752DF">
      <w:pPr>
        <w:pStyle w:val="2"/>
        <w:spacing w:line="245" w:lineRule="auto"/>
      </w:pPr>
    </w:p>
    <w:p w14:paraId="65CEB6E3">
      <w:pPr>
        <w:pStyle w:val="2"/>
        <w:spacing w:line="245" w:lineRule="auto"/>
      </w:pPr>
    </w:p>
    <w:p w14:paraId="093F19A1">
      <w:pPr>
        <w:pStyle w:val="2"/>
        <w:spacing w:line="245" w:lineRule="auto"/>
      </w:pPr>
    </w:p>
    <w:p w14:paraId="0B5AE5C5">
      <w:pPr>
        <w:pStyle w:val="2"/>
        <w:spacing w:line="245" w:lineRule="auto"/>
      </w:pPr>
    </w:p>
    <w:p w14:paraId="40C3DF3F">
      <w:pPr>
        <w:pStyle w:val="2"/>
        <w:spacing w:line="245" w:lineRule="auto"/>
      </w:pPr>
    </w:p>
    <w:p w14:paraId="521C7517">
      <w:pPr>
        <w:pStyle w:val="2"/>
        <w:spacing w:line="245" w:lineRule="auto"/>
      </w:pPr>
    </w:p>
    <w:p w14:paraId="26C27571">
      <w:pPr>
        <w:pStyle w:val="2"/>
        <w:spacing w:line="245" w:lineRule="auto"/>
      </w:pPr>
    </w:p>
    <w:p w14:paraId="2B1B164E">
      <w:pPr>
        <w:pStyle w:val="2"/>
        <w:spacing w:line="245" w:lineRule="auto"/>
      </w:pPr>
    </w:p>
    <w:p w14:paraId="2DE9EFC5">
      <w:pPr>
        <w:pStyle w:val="2"/>
        <w:spacing w:line="245" w:lineRule="auto"/>
      </w:pPr>
    </w:p>
    <w:p w14:paraId="4BD835D2">
      <w:pPr>
        <w:pStyle w:val="2"/>
        <w:spacing w:line="245" w:lineRule="auto"/>
      </w:pPr>
    </w:p>
    <w:p w14:paraId="3E9FDB9B">
      <w:pPr>
        <w:pStyle w:val="2"/>
        <w:spacing w:line="245" w:lineRule="auto"/>
      </w:pPr>
    </w:p>
    <w:p w14:paraId="203F1DE6">
      <w:pPr>
        <w:pStyle w:val="2"/>
        <w:spacing w:line="245" w:lineRule="auto"/>
      </w:pPr>
    </w:p>
    <w:p w14:paraId="4F1FCE4F">
      <w:pPr>
        <w:pStyle w:val="2"/>
        <w:spacing w:line="245" w:lineRule="auto"/>
      </w:pPr>
    </w:p>
    <w:p w14:paraId="4FF58FEC">
      <w:pPr>
        <w:pStyle w:val="2"/>
        <w:spacing w:line="245" w:lineRule="auto"/>
      </w:pPr>
    </w:p>
    <w:p w14:paraId="1B27C1D7">
      <w:pPr>
        <w:pStyle w:val="2"/>
        <w:spacing w:line="245" w:lineRule="auto"/>
      </w:pPr>
    </w:p>
    <w:p w14:paraId="44DA3EEC">
      <w:pPr>
        <w:pStyle w:val="2"/>
        <w:spacing w:line="245" w:lineRule="auto"/>
      </w:pPr>
      <w:r>
        <w:pict>
          <v:shape id="_x0000_s1026" o:spid="_x0000_s1026" style="position:absolute;left:0pt;margin-left:7.25pt;margin-top:9.35pt;height:0.5pt;width:526pt;z-index:251661312;mso-width-relative:page;mso-height-relative:page;" filled="f" stroked="t" coordsize="10520,10" path="m0,5l5769,5m5769,5l10519,5e">
            <v:fill on="f" focussize="0,0"/>
            <v:stroke weight="0.5pt" color="#000000" miterlimit="10" joinstyle="miter"/>
            <v:imagedata o:title=""/>
            <o:lock v:ext="edit"/>
          </v:shape>
        </w:pict>
      </w:r>
    </w:p>
    <w:p w14:paraId="0CFD1AAC">
      <w:pPr>
        <w:spacing w:before="114" w:line="219" w:lineRule="auto"/>
        <w:ind w:left="159"/>
        <w:rPr>
          <w:rFonts w:ascii="宋体" w:hAnsi="宋体" w:eastAsia="宋体" w:cs="宋体"/>
          <w:sz w:val="35"/>
          <w:szCs w:val="35"/>
        </w:rPr>
      </w:pPr>
      <w:r>
        <w:pict>
          <v:shape id="_x0000_s1027" o:spid="_x0000_s1027" style="position:absolute;left:0pt;margin-left:7.25pt;margin-top:30.55pt;height:0.5pt;width:526pt;z-index:251660288;mso-width-relative:page;mso-height-relative:page;" filled="f" stroked="t" coordsize="10520,10" path="m0,5l5769,5m5769,5l10519,5e">
            <v:fill on="f" focussize="0,0"/>
            <v:stroke weight="0.5pt" color="#000000" miterlimit="10" joinstyle="miter"/>
            <v:imagedata o:title=""/>
            <o:lock v:ext="edit"/>
          </v:shape>
        </w:pict>
      </w:r>
      <w:r>
        <w:rPr>
          <w:rFonts w:ascii="宋体" w:hAnsi="宋体" w:eastAsia="宋体" w:cs="宋体"/>
          <w:spacing w:val="1"/>
          <w:sz w:val="35"/>
          <w:szCs w:val="35"/>
        </w:rPr>
        <w:t>杭州市城乡建设委员会办公室2025年4月28日印发</w:t>
      </w:r>
    </w:p>
    <w:sectPr>
      <w:footerReference r:id="rId12" w:type="default"/>
      <w:pgSz w:w="14800" w:h="20700"/>
      <w:pgMar w:top="1759" w:right="2220" w:bottom="2384" w:left="1550" w:header="0" w:footer="1969"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9E2418">
    <w:pPr>
      <w:spacing w:before="1" w:line="235" w:lineRule="auto"/>
      <w:ind w:left="9520"/>
      <w:rPr>
        <w:rFonts w:ascii="宋体" w:hAnsi="宋体" w:eastAsia="宋体" w:cs="宋体"/>
        <w:sz w:val="36"/>
        <w:szCs w:val="36"/>
      </w:rPr>
    </w:pPr>
    <w:r>
      <w:rPr>
        <w:rFonts w:ascii="宋体" w:hAnsi="宋体" w:eastAsia="宋体" w:cs="宋体"/>
        <w:spacing w:val="-4"/>
        <w:sz w:val="36"/>
        <w:szCs w:val="36"/>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D64452">
    <w:pPr>
      <w:spacing w:before="1" w:line="235" w:lineRule="auto"/>
      <w:ind w:left="320"/>
      <w:rPr>
        <w:rFonts w:ascii="宋体" w:hAnsi="宋体" w:eastAsia="宋体" w:cs="宋体"/>
        <w:sz w:val="35"/>
        <w:szCs w:val="35"/>
      </w:rPr>
    </w:pPr>
    <w:r>
      <w:rPr>
        <w:rFonts w:ascii="宋体" w:hAnsi="宋体" w:eastAsia="宋体" w:cs="宋体"/>
        <w:spacing w:val="-17"/>
        <w:sz w:val="35"/>
        <w:szCs w:val="35"/>
      </w:rPr>
      <w:t>—2—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8B0DA">
    <w:pPr>
      <w:spacing w:before="1" w:line="233" w:lineRule="auto"/>
      <w:ind w:left="9699"/>
      <w:rPr>
        <w:rFonts w:ascii="宋体" w:hAnsi="宋体" w:eastAsia="宋体" w:cs="宋体"/>
        <w:sz w:val="32"/>
        <w:szCs w:val="32"/>
      </w:rPr>
    </w:pPr>
    <w:r>
      <w:rPr>
        <w:rFonts w:ascii="宋体" w:hAnsi="宋体" w:eastAsia="宋体" w:cs="宋体"/>
        <w:spacing w:val="-4"/>
        <w:sz w:val="32"/>
        <w:szCs w:val="32"/>
      </w:rPr>
      <w:t>—3—</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251E61">
    <w:pPr>
      <w:spacing w:before="1" w:line="235" w:lineRule="auto"/>
      <w:ind w:left="310"/>
      <w:rPr>
        <w:rFonts w:ascii="宋体" w:hAnsi="宋体" w:eastAsia="宋体" w:cs="宋体"/>
        <w:sz w:val="35"/>
        <w:szCs w:val="35"/>
      </w:rPr>
    </w:pPr>
    <w:r>
      <w:rPr>
        <w:rFonts w:ascii="宋体" w:hAnsi="宋体" w:eastAsia="宋体" w:cs="宋体"/>
        <w:spacing w:val="-21"/>
        <w:sz w:val="35"/>
        <w:szCs w:val="35"/>
      </w:rPr>
      <w:t>—4—</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8E6925">
    <w:pPr>
      <w:spacing w:line="234" w:lineRule="auto"/>
      <w:ind w:left="9640"/>
      <w:rPr>
        <w:rFonts w:ascii="宋体" w:hAnsi="宋体" w:eastAsia="宋体" w:cs="宋体"/>
        <w:sz w:val="36"/>
        <w:szCs w:val="36"/>
      </w:rPr>
    </w:pPr>
    <w:r>
      <w:rPr>
        <w:rFonts w:ascii="宋体" w:hAnsi="宋体" w:eastAsia="宋体" w:cs="宋体"/>
        <w:spacing w:val="-24"/>
        <w:sz w:val="36"/>
        <w:szCs w:val="36"/>
      </w:rPr>
      <w:t>—5—</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3BF1">
    <w:pPr>
      <w:spacing w:line="234" w:lineRule="auto"/>
      <w:ind w:left="419"/>
      <w:rPr>
        <w:rFonts w:ascii="宋体" w:hAnsi="宋体" w:eastAsia="宋体" w:cs="宋体"/>
        <w:sz w:val="36"/>
        <w:szCs w:val="36"/>
      </w:rPr>
    </w:pPr>
    <w:r>
      <w:rPr>
        <w:rFonts w:ascii="宋体" w:hAnsi="宋体" w:eastAsia="宋体" w:cs="宋体"/>
        <w:spacing w:val="-23"/>
        <w:w w:val="99"/>
        <w:sz w:val="36"/>
        <w:szCs w:val="36"/>
      </w:rPr>
      <w:t>—6—</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B9DF38">
    <w:pPr>
      <w:spacing w:line="234" w:lineRule="auto"/>
      <w:ind w:left="9660"/>
      <w:rPr>
        <w:rFonts w:ascii="宋体" w:hAnsi="宋体" w:eastAsia="宋体" w:cs="宋体"/>
        <w:sz w:val="34"/>
        <w:szCs w:val="34"/>
      </w:rPr>
    </w:pPr>
    <w:r>
      <w:rPr>
        <w:rFonts w:ascii="宋体" w:hAnsi="宋体" w:eastAsia="宋体" w:cs="宋体"/>
        <w:spacing w:val="-14"/>
        <w:sz w:val="34"/>
        <w:szCs w:val="34"/>
      </w:rPr>
      <w:t>—7—</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278FF">
    <w:pPr>
      <w:spacing w:before="1" w:line="233" w:lineRule="auto"/>
      <w:ind w:left="339"/>
      <w:rPr>
        <w:rFonts w:ascii="宋体" w:hAnsi="宋体" w:eastAsia="宋体" w:cs="宋体"/>
        <w:sz w:val="32"/>
        <w:szCs w:val="32"/>
      </w:rPr>
    </w:pPr>
    <w:r>
      <w:rPr>
        <w:rFonts w:ascii="宋体" w:hAnsi="宋体" w:eastAsia="宋体" w:cs="宋体"/>
        <w:spacing w:val="-4"/>
        <w:sz w:val="32"/>
        <w:szCs w:val="32"/>
      </w:rPr>
      <w:t>—8—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3715665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semiHidden/>
    <w:qFormat/>
    <w:uiPriority w:val="0"/>
    <w:rPr>
      <w:rFonts w:ascii="Arial" w:hAnsi="Arial" w:eastAsia="Arial" w:cs="Arial"/>
      <w:sz w:val="21"/>
      <w:szCs w:val="21"/>
      <w:lang w:val="en-US" w:eastAsia="en-US" w:bidi="ar-SA"/>
    </w:r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customXml" Target="../customXml/item1.xml"/><Relationship Id="rId15" Type="http://schemas.openxmlformats.org/officeDocument/2006/relationships/image" Target="media/image2.png"/><Relationship Id="rId14" Type="http://schemas.openxmlformats.org/officeDocument/2006/relationships/image" Target="media/image1.jpeg"/><Relationship Id="rId13" Type="http://schemas.openxmlformats.org/officeDocument/2006/relationships/theme" Target="theme/theme1.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3090</Words>
  <Characters>3205</Characters>
  <TotalTime>0</TotalTime>
  <ScaleCrop>false</ScaleCrop>
  <LinksUpToDate>false</LinksUpToDate>
  <CharactersWithSpaces>3357</CharactersWithSpaces>
  <Application>WPS Office_12.1.0.20305_F1E327BC-269C-435d-A152-05C5408002CA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2025-05-09T11:18:00Z</dcterms:created>
  <dc:creator>41942</dc:creator>
  <cp:lastModifiedBy>song</cp:lastModifiedBy>
  <dcterms:modified xsi:type="dcterms:W3CDTF">2025-05-09T03:25:50Z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wqlLaW5nc29mdCBQREYgdG8gV1BTIDExMEI</vt:lpwstr>
  </property>
  <property fmtid="{D5CDD505-2E9C-101B-9397-08002B2CF9AE}" pid="3" name="Created">
    <vt:filetime>2025-05-09T11:18:09Z</vt:filetime>
  </property>
  <property fmtid="{D5CDD505-2E9C-101B-9397-08002B2CF9AE}" pid="4" name="UsrData">
    <vt:lpwstr>681d73eadbff1c001fe4c2bdwl</vt:lpwstr>
  </property>
  <property fmtid="{D5CDD505-2E9C-101B-9397-08002B2CF9AE}" pid="5" name="KSOTemplateDocerSaveRecord">
    <vt:lpwstr>eyJoZGlkIjoiMjY4ZDlkNGRiMjU4NTA0NDgzMzRlMTNmMDc4Y2EzYmMiLCJ1c2VySWQiOiIyMTAwOTM1NyJ9</vt:lpwstr>
  </property>
  <property fmtid="{D5CDD505-2E9C-101B-9397-08002B2CF9AE}" pid="6" name="KSOProductBuildVer">
    <vt:lpwstr>2052-12.1.0.20305</vt:lpwstr>
  </property>
  <property fmtid="{D5CDD505-2E9C-101B-9397-08002B2CF9AE}" pid="7" name="ICV">
    <vt:lpwstr>FEDD456EA39644A7AEF871BDCB430D77_12</vt:lpwstr>
  </property>
</Properties>
</file>