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hAnsi="宋体"/>
          <w:sz w:val="96"/>
          <w:szCs w:val="84"/>
        </w:rPr>
      </w:pPr>
    </w:p>
    <w:p>
      <w:pPr>
        <w:rPr>
          <w:rFonts w:hAnsi="宋体"/>
          <w:sz w:val="96"/>
          <w:szCs w:val="84"/>
        </w:rPr>
      </w:pPr>
    </w:p>
    <w:p>
      <w:pPr>
        <w:rPr>
          <w:rFonts w:hAnsi="宋体"/>
          <w:sz w:val="96"/>
          <w:szCs w:val="84"/>
        </w:rPr>
      </w:pPr>
    </w:p>
    <w:p>
      <w:pPr>
        <w:jc w:val="center"/>
        <w:rPr>
          <w:rFonts w:hAnsi="宋体"/>
          <w:sz w:val="96"/>
          <w:szCs w:val="84"/>
        </w:rPr>
      </w:pPr>
      <w:r>
        <w:rPr>
          <w:rFonts w:hint="eastAsia" w:hAnsi="宋体"/>
          <w:sz w:val="96"/>
          <w:szCs w:val="84"/>
        </w:rPr>
        <w:t>杭州市</w:t>
      </w:r>
      <w:r>
        <w:rPr>
          <w:rFonts w:hint="eastAsia" w:hAnsi="宋体"/>
          <w:sz w:val="96"/>
          <w:szCs w:val="84"/>
          <w:lang w:eastAsia="zh-CN"/>
        </w:rPr>
        <w:t>居住</w:t>
      </w:r>
      <w:r>
        <w:rPr>
          <w:rFonts w:hint="eastAsia" w:hAnsi="宋体"/>
          <w:sz w:val="96"/>
          <w:szCs w:val="84"/>
        </w:rPr>
        <w:t>建筑绿色与节能设计施工图</w:t>
      </w:r>
      <w:r>
        <w:rPr>
          <w:rFonts w:hAnsi="宋体"/>
          <w:sz w:val="96"/>
          <w:szCs w:val="84"/>
        </w:rPr>
        <w:t>专篇</w:t>
      </w:r>
      <w:r>
        <w:rPr>
          <w:rFonts w:hint="eastAsia" w:hAnsi="宋体"/>
          <w:sz w:val="96"/>
          <w:szCs w:val="84"/>
        </w:rPr>
        <w:t>（</w:t>
      </w:r>
      <w:r>
        <w:rPr>
          <w:rFonts w:hint="eastAsia" w:hAnsi="宋体"/>
          <w:sz w:val="96"/>
          <w:szCs w:val="84"/>
          <w:lang w:val="en-US" w:eastAsia="zh-CN"/>
        </w:rPr>
        <w:t>2022版</w:t>
      </w:r>
      <w:r>
        <w:rPr>
          <w:rFonts w:hint="eastAsia" w:hAnsi="宋体"/>
          <w:sz w:val="96"/>
          <w:szCs w:val="84"/>
        </w:rPr>
        <w:t>）</w:t>
      </w:r>
      <w:bookmarkStart w:id="59" w:name="_GoBack"/>
      <w:bookmarkEnd w:id="59"/>
    </w:p>
    <w:p>
      <w:pPr>
        <w:jc w:val="center"/>
        <w:rPr>
          <w:rFonts w:hAnsi="宋体"/>
          <w:sz w:val="96"/>
          <w:szCs w:val="84"/>
        </w:rPr>
      </w:pPr>
    </w:p>
    <w:p>
      <w:pPr>
        <w:widowControl/>
        <w:jc w:val="center"/>
        <w:rPr>
          <w:rFonts w:hAnsi="宋体"/>
          <w:b/>
          <w:sz w:val="52"/>
          <w:szCs w:val="44"/>
        </w:rPr>
      </w:pPr>
    </w:p>
    <w:p>
      <w:pPr>
        <w:widowControl/>
        <w:jc w:val="center"/>
        <w:rPr>
          <w:rFonts w:hAnsi="宋体"/>
          <w:b/>
          <w:sz w:val="52"/>
          <w:szCs w:val="44"/>
        </w:rPr>
      </w:pPr>
      <w:r>
        <w:rPr>
          <w:rFonts w:hAnsi="宋体"/>
          <w:b/>
          <w:sz w:val="52"/>
          <w:szCs w:val="44"/>
        </w:rPr>
        <w:br w:type="page"/>
      </w:r>
    </w:p>
    <w:p>
      <w:pPr>
        <w:widowControl/>
        <w:jc w:val="center"/>
        <w:rPr>
          <w:rFonts w:hAnsi="宋体"/>
          <w:b/>
          <w:sz w:val="52"/>
          <w:szCs w:val="44"/>
        </w:rPr>
      </w:pPr>
    </w:p>
    <w:sdt>
      <w:sdtPr>
        <w:rPr>
          <w:rFonts w:ascii="宋体" w:hAnsi="Times New Roman" w:eastAsia="宋体" w:cs="Times New Roman"/>
          <w:color w:val="auto"/>
          <w:kern w:val="2"/>
          <w:sz w:val="21"/>
          <w:szCs w:val="24"/>
          <w:lang w:val="zh-CN"/>
        </w:rPr>
        <w:id w:val="604155586"/>
        <w:docPartObj>
          <w:docPartGallery w:val="Table of Contents"/>
          <w:docPartUnique/>
        </w:docPartObj>
      </w:sdtPr>
      <w:sdtEndPr>
        <w:rPr>
          <w:rFonts w:ascii="宋体" w:hAnsi="Times New Roman" w:eastAsia="宋体" w:cs="Times New Roman"/>
          <w:b/>
          <w:bCs/>
          <w:color w:val="auto"/>
          <w:kern w:val="2"/>
          <w:sz w:val="21"/>
          <w:szCs w:val="24"/>
          <w:lang w:val="zh-CN"/>
        </w:rPr>
      </w:sdtEndPr>
      <w:sdtContent>
        <w:p>
          <w:pPr>
            <w:pStyle w:val="276"/>
            <w:jc w:val="center"/>
            <w:rPr>
              <w:rFonts w:ascii="宋体" w:hAnsi="宋体" w:eastAsia="宋体" w:cs="Times New Roman"/>
              <w:b/>
              <w:color w:val="auto"/>
              <w:kern w:val="2"/>
              <w:sz w:val="48"/>
              <w:szCs w:val="44"/>
            </w:rPr>
          </w:pPr>
          <w:r>
            <w:rPr>
              <w:rFonts w:ascii="宋体" w:hAnsi="宋体" w:eastAsia="宋体" w:cs="Times New Roman"/>
              <w:b/>
              <w:color w:val="auto"/>
              <w:kern w:val="2"/>
              <w:sz w:val="48"/>
              <w:szCs w:val="44"/>
            </w:rPr>
            <w:t>目录</w:t>
          </w:r>
        </w:p>
        <w:p>
          <w:pPr>
            <w:pStyle w:val="37"/>
            <w:tabs>
              <w:tab w:val="right" w:leader="dot" w:pos="20204"/>
            </w:tabs>
            <w:rPr>
              <w:rFonts w:cs="Times New Roman" w:asciiTheme="minorEastAsia" w:hAnsiTheme="minorEastAsia" w:eastAsiaTheme="minorEastAsia"/>
              <w:smallCaps w:val="0"/>
              <w:sz w:val="36"/>
              <w:szCs w:val="44"/>
            </w:rPr>
          </w:pPr>
          <w:r>
            <w:fldChar w:fldCharType="begin"/>
          </w:r>
          <w:r>
            <w:instrText xml:space="preserve"> TOC \o "1-3" \h \z \u </w:instrText>
          </w:r>
          <w:r>
            <w:fldChar w:fldCharType="separate"/>
          </w:r>
          <w:r>
            <w:fldChar w:fldCharType="begin"/>
          </w:r>
          <w:r>
            <w:instrText xml:space="preserve"> HYPERLINK \l "_Toc113029271" </w:instrText>
          </w:r>
          <w:r>
            <w:fldChar w:fldCharType="separate"/>
          </w:r>
          <w:r>
            <w:fldChar w:fldCharType="end"/>
          </w:r>
        </w:p>
        <w:p>
          <w:pPr>
            <w:pStyle w:val="31"/>
            <w:tabs>
              <w:tab w:val="right" w:leader="dot" w:pos="20204"/>
            </w:tabs>
            <w:rPr>
              <w:rFonts w:cs="Times New Roman" w:asciiTheme="minorEastAsia" w:hAnsiTheme="minorEastAsia" w:eastAsiaTheme="minorEastAsia"/>
              <w:b w:val="0"/>
              <w:bCs w:val="0"/>
              <w:caps w:val="0"/>
              <w:sz w:val="36"/>
              <w:szCs w:val="44"/>
            </w:rPr>
          </w:pPr>
          <w:r>
            <w:fldChar w:fldCharType="begin"/>
          </w:r>
          <w:r>
            <w:instrText xml:space="preserve"> HYPERLINK \l "_Toc113029272" </w:instrText>
          </w:r>
          <w:r>
            <w:fldChar w:fldCharType="separate"/>
          </w:r>
          <w:r>
            <w:rPr>
              <w:rFonts w:cs="Times New Roman" w:asciiTheme="minorEastAsia" w:hAnsiTheme="minorEastAsia" w:eastAsiaTheme="minorEastAsia"/>
              <w:b w:val="0"/>
              <w:bCs w:val="0"/>
              <w:caps w:val="0"/>
              <w:sz w:val="36"/>
              <w:szCs w:val="44"/>
            </w:rPr>
            <w:t>第一部分：杭州市民用建筑绿色与节能设计施工图专篇</w:t>
          </w:r>
          <w:r>
            <w:rPr>
              <w:rFonts w:cs="Times New Roman" w:asciiTheme="minorEastAsia" w:hAnsiTheme="minorEastAsia" w:eastAsiaTheme="minorEastAsia"/>
              <w:b w:val="0"/>
              <w:bCs w:val="0"/>
              <w:caps w:val="0"/>
              <w:sz w:val="36"/>
              <w:szCs w:val="44"/>
            </w:rPr>
            <w:tab/>
          </w:r>
          <w:r>
            <w:rPr>
              <w:rFonts w:cs="Times New Roman" w:asciiTheme="minorEastAsia" w:hAnsiTheme="minorEastAsia" w:eastAsiaTheme="minorEastAsia"/>
              <w:b w:val="0"/>
              <w:bCs w:val="0"/>
              <w:caps w:val="0"/>
              <w:sz w:val="36"/>
              <w:szCs w:val="44"/>
            </w:rPr>
            <w:fldChar w:fldCharType="begin"/>
          </w:r>
          <w:r>
            <w:rPr>
              <w:rFonts w:cs="Times New Roman" w:asciiTheme="minorEastAsia" w:hAnsiTheme="minorEastAsia" w:eastAsiaTheme="minorEastAsia"/>
              <w:b w:val="0"/>
              <w:bCs w:val="0"/>
              <w:caps w:val="0"/>
              <w:sz w:val="36"/>
              <w:szCs w:val="44"/>
            </w:rPr>
            <w:instrText xml:space="preserve"> PAGEREF _Toc113029272 \h </w:instrText>
          </w:r>
          <w:r>
            <w:rPr>
              <w:rFonts w:cs="Times New Roman" w:asciiTheme="minorEastAsia" w:hAnsiTheme="minorEastAsia" w:eastAsiaTheme="minorEastAsia"/>
              <w:b w:val="0"/>
              <w:bCs w:val="0"/>
              <w:caps w:val="0"/>
              <w:sz w:val="36"/>
              <w:szCs w:val="44"/>
            </w:rPr>
            <w:fldChar w:fldCharType="separate"/>
          </w:r>
          <w:r>
            <w:rPr>
              <w:rFonts w:cs="Times New Roman" w:asciiTheme="minorEastAsia" w:hAnsiTheme="minorEastAsia" w:eastAsiaTheme="minorEastAsia"/>
              <w:b w:val="0"/>
              <w:bCs w:val="0"/>
              <w:caps w:val="0"/>
              <w:sz w:val="36"/>
              <w:szCs w:val="44"/>
            </w:rPr>
            <w:t>1</w:t>
          </w:r>
          <w:r>
            <w:rPr>
              <w:rFonts w:cs="Times New Roman" w:asciiTheme="minorEastAsia" w:hAnsiTheme="minorEastAsia" w:eastAsiaTheme="minorEastAsia"/>
              <w:b w:val="0"/>
              <w:bCs w:val="0"/>
              <w:caps w:val="0"/>
              <w:sz w:val="36"/>
              <w:szCs w:val="44"/>
            </w:rPr>
            <w:fldChar w:fldCharType="end"/>
          </w:r>
          <w:r>
            <w:rPr>
              <w:rFonts w:cs="Times New Roman" w:asciiTheme="minorEastAsia" w:hAnsiTheme="minorEastAsia" w:eastAsiaTheme="minorEastAsia"/>
              <w:b w:val="0"/>
              <w:bCs w:val="0"/>
              <w:caps w:val="0"/>
              <w:sz w:val="36"/>
              <w:szCs w:val="44"/>
            </w:rPr>
            <w:fldChar w:fldCharType="end"/>
          </w:r>
        </w:p>
        <w:p>
          <w:pPr>
            <w:pStyle w:val="31"/>
            <w:tabs>
              <w:tab w:val="right" w:leader="dot" w:pos="20204"/>
            </w:tabs>
            <w:rPr>
              <w:rFonts w:cs="Times New Roman" w:asciiTheme="minorEastAsia" w:hAnsiTheme="minorEastAsia" w:eastAsiaTheme="minorEastAsia"/>
              <w:b w:val="0"/>
              <w:bCs w:val="0"/>
              <w:caps w:val="0"/>
              <w:sz w:val="36"/>
              <w:szCs w:val="44"/>
            </w:rPr>
          </w:pPr>
          <w:r>
            <w:fldChar w:fldCharType="begin"/>
          </w:r>
          <w:r>
            <w:instrText xml:space="preserve"> HYPERLINK \l "_Toc113029273" </w:instrText>
          </w:r>
          <w:r>
            <w:fldChar w:fldCharType="separate"/>
          </w:r>
          <w:r>
            <w:rPr>
              <w:rFonts w:cs="Times New Roman" w:asciiTheme="minorEastAsia" w:hAnsiTheme="minorEastAsia" w:eastAsiaTheme="minorEastAsia"/>
              <w:b w:val="0"/>
              <w:bCs w:val="0"/>
              <w:caps w:val="0"/>
              <w:sz w:val="36"/>
              <w:szCs w:val="44"/>
            </w:rPr>
            <w:t>第二部分：绿色建筑预评价自评表</w:t>
          </w:r>
          <w:r>
            <w:rPr>
              <w:rFonts w:cs="Times New Roman" w:asciiTheme="minorEastAsia" w:hAnsiTheme="minorEastAsia" w:eastAsiaTheme="minorEastAsia"/>
              <w:b w:val="0"/>
              <w:bCs w:val="0"/>
              <w:caps w:val="0"/>
              <w:sz w:val="36"/>
              <w:szCs w:val="44"/>
            </w:rPr>
            <w:tab/>
          </w:r>
          <w:r>
            <w:rPr>
              <w:rFonts w:cs="Times New Roman" w:asciiTheme="minorEastAsia" w:hAnsiTheme="minorEastAsia" w:eastAsiaTheme="minorEastAsia"/>
              <w:b w:val="0"/>
              <w:bCs w:val="0"/>
              <w:caps w:val="0"/>
              <w:sz w:val="36"/>
              <w:szCs w:val="44"/>
            </w:rPr>
            <w:fldChar w:fldCharType="begin"/>
          </w:r>
          <w:r>
            <w:rPr>
              <w:rFonts w:cs="Times New Roman" w:asciiTheme="minorEastAsia" w:hAnsiTheme="minorEastAsia" w:eastAsiaTheme="minorEastAsia"/>
              <w:b w:val="0"/>
              <w:bCs w:val="0"/>
              <w:caps w:val="0"/>
              <w:sz w:val="36"/>
              <w:szCs w:val="44"/>
            </w:rPr>
            <w:instrText xml:space="preserve"> PAGEREF _Toc113029273 \h </w:instrText>
          </w:r>
          <w:r>
            <w:rPr>
              <w:rFonts w:cs="Times New Roman" w:asciiTheme="minorEastAsia" w:hAnsiTheme="minorEastAsia" w:eastAsiaTheme="minorEastAsia"/>
              <w:b w:val="0"/>
              <w:bCs w:val="0"/>
              <w:caps w:val="0"/>
              <w:sz w:val="36"/>
              <w:szCs w:val="44"/>
            </w:rPr>
            <w:fldChar w:fldCharType="separate"/>
          </w:r>
          <w:r>
            <w:rPr>
              <w:rFonts w:cs="Times New Roman" w:asciiTheme="minorEastAsia" w:hAnsiTheme="minorEastAsia" w:eastAsiaTheme="minorEastAsia"/>
              <w:b w:val="0"/>
              <w:bCs w:val="0"/>
              <w:caps w:val="0"/>
              <w:sz w:val="36"/>
              <w:szCs w:val="44"/>
            </w:rPr>
            <w:t>20</w:t>
          </w:r>
          <w:r>
            <w:rPr>
              <w:rFonts w:cs="Times New Roman" w:asciiTheme="minorEastAsia" w:hAnsiTheme="minorEastAsia" w:eastAsiaTheme="minorEastAsia"/>
              <w:b w:val="0"/>
              <w:bCs w:val="0"/>
              <w:caps w:val="0"/>
              <w:sz w:val="36"/>
              <w:szCs w:val="44"/>
            </w:rPr>
            <w:fldChar w:fldCharType="end"/>
          </w:r>
          <w:r>
            <w:rPr>
              <w:rFonts w:cs="Times New Roman" w:asciiTheme="minorEastAsia" w:hAnsiTheme="minorEastAsia" w:eastAsiaTheme="minorEastAsia"/>
              <w:b w:val="0"/>
              <w:bCs w:val="0"/>
              <w:caps w:val="0"/>
              <w:sz w:val="36"/>
              <w:szCs w:val="44"/>
            </w:rPr>
            <w:fldChar w:fldCharType="end"/>
          </w:r>
        </w:p>
        <w:p>
          <w:pPr>
            <w:pStyle w:val="22"/>
            <w:tabs>
              <w:tab w:val="right" w:leader="dot" w:pos="20204"/>
            </w:tabs>
            <w:rPr>
              <w:rFonts w:cs="Times New Roman" w:asciiTheme="minorEastAsia" w:hAnsiTheme="minorEastAsia" w:eastAsiaTheme="minorEastAsia"/>
              <w:i w:val="0"/>
              <w:iCs w:val="0"/>
              <w:sz w:val="36"/>
              <w:szCs w:val="44"/>
            </w:rPr>
          </w:pPr>
          <w:r>
            <w:fldChar w:fldCharType="begin"/>
          </w:r>
          <w:r>
            <w:instrText xml:space="preserve"> HYPERLINK \l "_Toc113029274" </w:instrText>
          </w:r>
          <w:r>
            <w:fldChar w:fldCharType="separate"/>
          </w:r>
          <w:r>
            <w:rPr>
              <w:rFonts w:cs="Times New Roman" w:asciiTheme="minorEastAsia" w:hAnsiTheme="minorEastAsia" w:eastAsiaTheme="minorEastAsia"/>
              <w:i w:val="0"/>
              <w:iCs w:val="0"/>
              <w:sz w:val="36"/>
              <w:szCs w:val="44"/>
            </w:rPr>
            <w:t>绿色建筑预评价自评表1 - 汇总表</w:t>
          </w:r>
          <w:r>
            <w:rPr>
              <w:rFonts w:cs="Times New Roman" w:asciiTheme="minorEastAsia" w:hAnsiTheme="minorEastAsia" w:eastAsiaTheme="minorEastAsia"/>
              <w:i w:val="0"/>
              <w:iCs w:val="0"/>
              <w:sz w:val="36"/>
              <w:szCs w:val="44"/>
            </w:rPr>
            <w:tab/>
          </w:r>
          <w:r>
            <w:rPr>
              <w:rFonts w:cs="Times New Roman" w:asciiTheme="minorEastAsia" w:hAnsiTheme="minorEastAsia" w:eastAsiaTheme="minorEastAsia"/>
              <w:i w:val="0"/>
              <w:iCs w:val="0"/>
              <w:sz w:val="36"/>
              <w:szCs w:val="44"/>
            </w:rPr>
            <w:fldChar w:fldCharType="begin"/>
          </w:r>
          <w:r>
            <w:rPr>
              <w:rFonts w:cs="Times New Roman" w:asciiTheme="minorEastAsia" w:hAnsiTheme="minorEastAsia" w:eastAsiaTheme="minorEastAsia"/>
              <w:i w:val="0"/>
              <w:iCs w:val="0"/>
              <w:sz w:val="36"/>
              <w:szCs w:val="44"/>
            </w:rPr>
            <w:instrText xml:space="preserve"> PAGEREF _Toc113029274 \h </w:instrText>
          </w:r>
          <w:r>
            <w:rPr>
              <w:rFonts w:cs="Times New Roman" w:asciiTheme="minorEastAsia" w:hAnsiTheme="minorEastAsia" w:eastAsiaTheme="minorEastAsia"/>
              <w:i w:val="0"/>
              <w:iCs w:val="0"/>
              <w:sz w:val="36"/>
              <w:szCs w:val="44"/>
            </w:rPr>
            <w:fldChar w:fldCharType="separate"/>
          </w:r>
          <w:r>
            <w:rPr>
              <w:rFonts w:cs="Times New Roman" w:asciiTheme="minorEastAsia" w:hAnsiTheme="minorEastAsia" w:eastAsiaTheme="minorEastAsia"/>
              <w:i w:val="0"/>
              <w:iCs w:val="0"/>
              <w:sz w:val="36"/>
              <w:szCs w:val="44"/>
            </w:rPr>
            <w:t>21</w:t>
          </w:r>
          <w:r>
            <w:rPr>
              <w:rFonts w:cs="Times New Roman" w:asciiTheme="minorEastAsia" w:hAnsiTheme="minorEastAsia" w:eastAsiaTheme="minorEastAsia"/>
              <w:i w:val="0"/>
              <w:iCs w:val="0"/>
              <w:sz w:val="36"/>
              <w:szCs w:val="44"/>
            </w:rPr>
            <w:fldChar w:fldCharType="end"/>
          </w:r>
          <w:r>
            <w:rPr>
              <w:rFonts w:cs="Times New Roman" w:asciiTheme="minorEastAsia" w:hAnsiTheme="minorEastAsia" w:eastAsiaTheme="minorEastAsia"/>
              <w:i w:val="0"/>
              <w:iCs w:val="0"/>
              <w:sz w:val="36"/>
              <w:szCs w:val="44"/>
            </w:rPr>
            <w:fldChar w:fldCharType="end"/>
          </w:r>
        </w:p>
        <w:p>
          <w:pPr>
            <w:pStyle w:val="22"/>
            <w:tabs>
              <w:tab w:val="right" w:leader="dot" w:pos="20204"/>
            </w:tabs>
            <w:rPr>
              <w:rFonts w:cs="Times New Roman" w:asciiTheme="minorEastAsia" w:hAnsiTheme="minorEastAsia" w:eastAsiaTheme="minorEastAsia"/>
              <w:i w:val="0"/>
              <w:iCs w:val="0"/>
              <w:sz w:val="36"/>
              <w:szCs w:val="44"/>
            </w:rPr>
          </w:pPr>
          <w:r>
            <w:fldChar w:fldCharType="begin"/>
          </w:r>
          <w:r>
            <w:instrText xml:space="preserve"> HYPERLINK \l "_Toc113029275" </w:instrText>
          </w:r>
          <w:r>
            <w:fldChar w:fldCharType="separate"/>
          </w:r>
          <w:r>
            <w:rPr>
              <w:rFonts w:cs="Times New Roman" w:asciiTheme="minorEastAsia" w:hAnsiTheme="minorEastAsia" w:eastAsiaTheme="minorEastAsia"/>
              <w:i w:val="0"/>
              <w:iCs w:val="0"/>
              <w:sz w:val="36"/>
              <w:szCs w:val="44"/>
            </w:rPr>
            <w:t>绿色建筑预评价自评表2 - 分项打分表</w:t>
          </w:r>
          <w:r>
            <w:rPr>
              <w:rFonts w:cs="Times New Roman" w:asciiTheme="minorEastAsia" w:hAnsiTheme="minorEastAsia" w:eastAsiaTheme="minorEastAsia"/>
              <w:i w:val="0"/>
              <w:iCs w:val="0"/>
              <w:sz w:val="36"/>
              <w:szCs w:val="44"/>
            </w:rPr>
            <w:tab/>
          </w:r>
          <w:r>
            <w:rPr>
              <w:rFonts w:cs="Times New Roman" w:asciiTheme="minorEastAsia" w:hAnsiTheme="minorEastAsia" w:eastAsiaTheme="minorEastAsia"/>
              <w:i w:val="0"/>
              <w:iCs w:val="0"/>
              <w:sz w:val="36"/>
              <w:szCs w:val="44"/>
            </w:rPr>
            <w:fldChar w:fldCharType="begin"/>
          </w:r>
          <w:r>
            <w:rPr>
              <w:rFonts w:cs="Times New Roman" w:asciiTheme="minorEastAsia" w:hAnsiTheme="minorEastAsia" w:eastAsiaTheme="minorEastAsia"/>
              <w:i w:val="0"/>
              <w:iCs w:val="0"/>
              <w:sz w:val="36"/>
              <w:szCs w:val="44"/>
            </w:rPr>
            <w:instrText xml:space="preserve"> PAGEREF _Toc113029275 \h </w:instrText>
          </w:r>
          <w:r>
            <w:rPr>
              <w:rFonts w:cs="Times New Roman" w:asciiTheme="minorEastAsia" w:hAnsiTheme="minorEastAsia" w:eastAsiaTheme="minorEastAsia"/>
              <w:i w:val="0"/>
              <w:iCs w:val="0"/>
              <w:sz w:val="36"/>
              <w:szCs w:val="44"/>
            </w:rPr>
            <w:fldChar w:fldCharType="separate"/>
          </w:r>
          <w:r>
            <w:rPr>
              <w:rFonts w:cs="Times New Roman" w:asciiTheme="minorEastAsia" w:hAnsiTheme="minorEastAsia" w:eastAsiaTheme="minorEastAsia"/>
              <w:i w:val="0"/>
              <w:iCs w:val="0"/>
              <w:sz w:val="36"/>
              <w:szCs w:val="44"/>
            </w:rPr>
            <w:t>22</w:t>
          </w:r>
          <w:r>
            <w:rPr>
              <w:rFonts w:cs="Times New Roman" w:asciiTheme="minorEastAsia" w:hAnsiTheme="minorEastAsia" w:eastAsiaTheme="minorEastAsia"/>
              <w:i w:val="0"/>
              <w:iCs w:val="0"/>
              <w:sz w:val="36"/>
              <w:szCs w:val="44"/>
            </w:rPr>
            <w:fldChar w:fldCharType="end"/>
          </w:r>
          <w:r>
            <w:rPr>
              <w:rFonts w:cs="Times New Roman" w:asciiTheme="minorEastAsia" w:hAnsiTheme="minorEastAsia" w:eastAsiaTheme="minorEastAsia"/>
              <w:i w:val="0"/>
              <w:iCs w:val="0"/>
              <w:sz w:val="36"/>
              <w:szCs w:val="44"/>
            </w:rPr>
            <w:fldChar w:fldCharType="end"/>
          </w:r>
        </w:p>
        <w:p>
          <w:pPr>
            <w:pStyle w:val="31"/>
            <w:tabs>
              <w:tab w:val="right" w:leader="dot" w:pos="20204"/>
            </w:tabs>
            <w:rPr>
              <w:rFonts w:cs="Times New Roman" w:asciiTheme="minorEastAsia" w:hAnsiTheme="minorEastAsia" w:eastAsiaTheme="minorEastAsia"/>
              <w:b w:val="0"/>
              <w:bCs w:val="0"/>
              <w:caps w:val="0"/>
              <w:sz w:val="36"/>
              <w:szCs w:val="44"/>
            </w:rPr>
          </w:pPr>
          <w:r>
            <w:fldChar w:fldCharType="begin"/>
          </w:r>
          <w:r>
            <w:instrText xml:space="preserve"> HYPERLINK \l "_Toc113029276" </w:instrText>
          </w:r>
          <w:r>
            <w:fldChar w:fldCharType="separate"/>
          </w:r>
          <w:r>
            <w:rPr>
              <w:rFonts w:cs="Times New Roman" w:asciiTheme="minorEastAsia" w:hAnsiTheme="minorEastAsia" w:eastAsiaTheme="minorEastAsia"/>
              <w:b w:val="0"/>
              <w:bCs w:val="0"/>
              <w:caps w:val="0"/>
              <w:sz w:val="36"/>
              <w:szCs w:val="44"/>
            </w:rPr>
            <w:t>第三部分：杭州市民用建筑绿色与节能设计施工图专篇填写说明</w:t>
          </w:r>
          <w:r>
            <w:rPr>
              <w:rFonts w:cs="Times New Roman" w:asciiTheme="minorEastAsia" w:hAnsiTheme="minorEastAsia" w:eastAsiaTheme="minorEastAsia"/>
              <w:b w:val="0"/>
              <w:bCs w:val="0"/>
              <w:caps w:val="0"/>
              <w:sz w:val="36"/>
              <w:szCs w:val="44"/>
            </w:rPr>
            <w:tab/>
          </w:r>
          <w:r>
            <w:rPr>
              <w:rFonts w:cs="Times New Roman" w:asciiTheme="minorEastAsia" w:hAnsiTheme="minorEastAsia" w:eastAsiaTheme="minorEastAsia"/>
              <w:b w:val="0"/>
              <w:bCs w:val="0"/>
              <w:caps w:val="0"/>
              <w:sz w:val="36"/>
              <w:szCs w:val="44"/>
            </w:rPr>
            <w:fldChar w:fldCharType="begin"/>
          </w:r>
          <w:r>
            <w:rPr>
              <w:rFonts w:cs="Times New Roman" w:asciiTheme="minorEastAsia" w:hAnsiTheme="minorEastAsia" w:eastAsiaTheme="minorEastAsia"/>
              <w:b w:val="0"/>
              <w:bCs w:val="0"/>
              <w:caps w:val="0"/>
              <w:sz w:val="36"/>
              <w:szCs w:val="44"/>
            </w:rPr>
            <w:instrText xml:space="preserve"> PAGEREF _Toc113029276 \h </w:instrText>
          </w:r>
          <w:r>
            <w:rPr>
              <w:rFonts w:cs="Times New Roman" w:asciiTheme="minorEastAsia" w:hAnsiTheme="minorEastAsia" w:eastAsiaTheme="minorEastAsia"/>
              <w:b w:val="0"/>
              <w:bCs w:val="0"/>
              <w:caps w:val="0"/>
              <w:sz w:val="36"/>
              <w:szCs w:val="44"/>
            </w:rPr>
            <w:fldChar w:fldCharType="separate"/>
          </w:r>
          <w:r>
            <w:rPr>
              <w:rFonts w:cs="Times New Roman" w:asciiTheme="minorEastAsia" w:hAnsiTheme="minorEastAsia" w:eastAsiaTheme="minorEastAsia"/>
              <w:b w:val="0"/>
              <w:bCs w:val="0"/>
              <w:caps w:val="0"/>
              <w:sz w:val="36"/>
              <w:szCs w:val="44"/>
            </w:rPr>
            <w:t>37</w:t>
          </w:r>
          <w:r>
            <w:rPr>
              <w:rFonts w:cs="Times New Roman" w:asciiTheme="minorEastAsia" w:hAnsiTheme="minorEastAsia" w:eastAsiaTheme="minorEastAsia"/>
              <w:b w:val="0"/>
              <w:bCs w:val="0"/>
              <w:caps w:val="0"/>
              <w:sz w:val="36"/>
              <w:szCs w:val="44"/>
            </w:rPr>
            <w:fldChar w:fldCharType="end"/>
          </w:r>
          <w:r>
            <w:rPr>
              <w:rFonts w:cs="Times New Roman" w:asciiTheme="minorEastAsia" w:hAnsiTheme="minorEastAsia" w:eastAsiaTheme="minorEastAsia"/>
              <w:b w:val="0"/>
              <w:bCs w:val="0"/>
              <w:caps w:val="0"/>
              <w:sz w:val="36"/>
              <w:szCs w:val="44"/>
            </w:rPr>
            <w:fldChar w:fldCharType="end"/>
          </w:r>
        </w:p>
        <w:p>
          <w:pPr>
            <w:pStyle w:val="22"/>
            <w:tabs>
              <w:tab w:val="right" w:leader="dot" w:pos="20204"/>
            </w:tabs>
            <w:rPr>
              <w:rFonts w:cs="Times New Roman" w:asciiTheme="minorEastAsia" w:hAnsiTheme="minorEastAsia" w:eastAsiaTheme="minorEastAsia"/>
              <w:i w:val="0"/>
              <w:iCs w:val="0"/>
              <w:sz w:val="36"/>
              <w:szCs w:val="44"/>
            </w:rPr>
          </w:pPr>
          <w:r>
            <w:fldChar w:fldCharType="begin"/>
          </w:r>
          <w:r>
            <w:instrText xml:space="preserve"> HYPERLINK \l "_Toc113029277" </w:instrText>
          </w:r>
          <w:r>
            <w:fldChar w:fldCharType="separate"/>
          </w:r>
          <w:r>
            <w:rPr>
              <w:rFonts w:cs="Times New Roman" w:asciiTheme="minorEastAsia" w:hAnsiTheme="minorEastAsia" w:eastAsiaTheme="minorEastAsia"/>
              <w:i w:val="0"/>
              <w:iCs w:val="0"/>
              <w:sz w:val="36"/>
              <w:szCs w:val="44"/>
            </w:rPr>
            <w:t>3.1 总表填写说明</w:t>
          </w:r>
          <w:r>
            <w:rPr>
              <w:rFonts w:cs="Times New Roman" w:asciiTheme="minorEastAsia" w:hAnsiTheme="minorEastAsia" w:eastAsiaTheme="minorEastAsia"/>
              <w:i w:val="0"/>
              <w:iCs w:val="0"/>
              <w:sz w:val="36"/>
              <w:szCs w:val="44"/>
            </w:rPr>
            <w:tab/>
          </w:r>
          <w:r>
            <w:rPr>
              <w:rFonts w:cs="Times New Roman" w:asciiTheme="minorEastAsia" w:hAnsiTheme="minorEastAsia" w:eastAsiaTheme="minorEastAsia"/>
              <w:i w:val="0"/>
              <w:iCs w:val="0"/>
              <w:sz w:val="36"/>
              <w:szCs w:val="44"/>
            </w:rPr>
            <w:fldChar w:fldCharType="begin"/>
          </w:r>
          <w:r>
            <w:rPr>
              <w:rFonts w:cs="Times New Roman" w:asciiTheme="minorEastAsia" w:hAnsiTheme="minorEastAsia" w:eastAsiaTheme="minorEastAsia"/>
              <w:i w:val="0"/>
              <w:iCs w:val="0"/>
              <w:sz w:val="36"/>
              <w:szCs w:val="44"/>
            </w:rPr>
            <w:instrText xml:space="preserve"> PAGEREF _Toc113029277 \h </w:instrText>
          </w:r>
          <w:r>
            <w:rPr>
              <w:rFonts w:cs="Times New Roman" w:asciiTheme="minorEastAsia" w:hAnsiTheme="minorEastAsia" w:eastAsiaTheme="minorEastAsia"/>
              <w:i w:val="0"/>
              <w:iCs w:val="0"/>
              <w:sz w:val="36"/>
              <w:szCs w:val="44"/>
            </w:rPr>
            <w:fldChar w:fldCharType="separate"/>
          </w:r>
          <w:r>
            <w:rPr>
              <w:rFonts w:cs="Times New Roman" w:asciiTheme="minorEastAsia" w:hAnsiTheme="minorEastAsia" w:eastAsiaTheme="minorEastAsia"/>
              <w:i w:val="0"/>
              <w:iCs w:val="0"/>
              <w:sz w:val="36"/>
              <w:szCs w:val="44"/>
            </w:rPr>
            <w:t>38</w:t>
          </w:r>
          <w:r>
            <w:rPr>
              <w:rFonts w:cs="Times New Roman" w:asciiTheme="minorEastAsia" w:hAnsiTheme="minorEastAsia" w:eastAsiaTheme="minorEastAsia"/>
              <w:i w:val="0"/>
              <w:iCs w:val="0"/>
              <w:sz w:val="36"/>
              <w:szCs w:val="44"/>
            </w:rPr>
            <w:fldChar w:fldCharType="end"/>
          </w:r>
          <w:r>
            <w:rPr>
              <w:rFonts w:cs="Times New Roman" w:asciiTheme="minorEastAsia" w:hAnsiTheme="minorEastAsia" w:eastAsiaTheme="minorEastAsia"/>
              <w:i w:val="0"/>
              <w:iCs w:val="0"/>
              <w:sz w:val="36"/>
              <w:szCs w:val="44"/>
            </w:rPr>
            <w:fldChar w:fldCharType="end"/>
          </w:r>
        </w:p>
        <w:p>
          <w:pPr>
            <w:pStyle w:val="22"/>
            <w:tabs>
              <w:tab w:val="right" w:leader="dot" w:pos="20204"/>
            </w:tabs>
            <w:rPr>
              <w:rFonts w:cs="Times New Roman" w:asciiTheme="minorEastAsia" w:hAnsiTheme="minorEastAsia" w:eastAsiaTheme="minorEastAsia"/>
              <w:i w:val="0"/>
              <w:iCs w:val="0"/>
              <w:sz w:val="36"/>
              <w:szCs w:val="44"/>
            </w:rPr>
          </w:pPr>
          <w:r>
            <w:fldChar w:fldCharType="begin"/>
          </w:r>
          <w:r>
            <w:instrText xml:space="preserve"> HYPERLINK \l "_Toc113029278" </w:instrText>
          </w:r>
          <w:r>
            <w:fldChar w:fldCharType="separate"/>
          </w:r>
          <w:r>
            <w:rPr>
              <w:rFonts w:cs="Times New Roman" w:asciiTheme="minorEastAsia" w:hAnsiTheme="minorEastAsia" w:eastAsiaTheme="minorEastAsia"/>
              <w:i w:val="0"/>
              <w:iCs w:val="0"/>
              <w:sz w:val="36"/>
              <w:szCs w:val="44"/>
            </w:rPr>
            <w:t>3.2 建筑专业填写说明</w:t>
          </w:r>
          <w:r>
            <w:rPr>
              <w:rFonts w:cs="Times New Roman" w:asciiTheme="minorEastAsia" w:hAnsiTheme="minorEastAsia" w:eastAsiaTheme="minorEastAsia"/>
              <w:i w:val="0"/>
              <w:iCs w:val="0"/>
              <w:sz w:val="36"/>
              <w:szCs w:val="44"/>
            </w:rPr>
            <w:tab/>
          </w:r>
          <w:r>
            <w:rPr>
              <w:rFonts w:cs="Times New Roman" w:asciiTheme="minorEastAsia" w:hAnsiTheme="minorEastAsia" w:eastAsiaTheme="minorEastAsia"/>
              <w:i w:val="0"/>
              <w:iCs w:val="0"/>
              <w:sz w:val="36"/>
              <w:szCs w:val="44"/>
            </w:rPr>
            <w:fldChar w:fldCharType="begin"/>
          </w:r>
          <w:r>
            <w:rPr>
              <w:rFonts w:cs="Times New Roman" w:asciiTheme="minorEastAsia" w:hAnsiTheme="minorEastAsia" w:eastAsiaTheme="minorEastAsia"/>
              <w:i w:val="0"/>
              <w:iCs w:val="0"/>
              <w:sz w:val="36"/>
              <w:szCs w:val="44"/>
            </w:rPr>
            <w:instrText xml:space="preserve"> PAGEREF _Toc113029278 \h </w:instrText>
          </w:r>
          <w:r>
            <w:rPr>
              <w:rFonts w:cs="Times New Roman" w:asciiTheme="minorEastAsia" w:hAnsiTheme="minorEastAsia" w:eastAsiaTheme="minorEastAsia"/>
              <w:i w:val="0"/>
              <w:iCs w:val="0"/>
              <w:sz w:val="36"/>
              <w:szCs w:val="44"/>
            </w:rPr>
            <w:fldChar w:fldCharType="separate"/>
          </w:r>
          <w:r>
            <w:rPr>
              <w:rFonts w:cs="Times New Roman" w:asciiTheme="minorEastAsia" w:hAnsiTheme="minorEastAsia" w:eastAsiaTheme="minorEastAsia"/>
              <w:i w:val="0"/>
              <w:iCs w:val="0"/>
              <w:sz w:val="36"/>
              <w:szCs w:val="44"/>
            </w:rPr>
            <w:t>40</w:t>
          </w:r>
          <w:r>
            <w:rPr>
              <w:rFonts w:cs="Times New Roman" w:asciiTheme="minorEastAsia" w:hAnsiTheme="minorEastAsia" w:eastAsiaTheme="minorEastAsia"/>
              <w:i w:val="0"/>
              <w:iCs w:val="0"/>
              <w:sz w:val="36"/>
              <w:szCs w:val="44"/>
            </w:rPr>
            <w:fldChar w:fldCharType="end"/>
          </w:r>
          <w:r>
            <w:rPr>
              <w:rFonts w:cs="Times New Roman" w:asciiTheme="minorEastAsia" w:hAnsiTheme="minorEastAsia" w:eastAsiaTheme="minorEastAsia"/>
              <w:i w:val="0"/>
              <w:iCs w:val="0"/>
              <w:sz w:val="36"/>
              <w:szCs w:val="44"/>
            </w:rPr>
            <w:fldChar w:fldCharType="end"/>
          </w:r>
        </w:p>
        <w:p>
          <w:pPr>
            <w:pStyle w:val="22"/>
            <w:tabs>
              <w:tab w:val="right" w:leader="dot" w:pos="20204"/>
            </w:tabs>
            <w:rPr>
              <w:rFonts w:cs="Times New Roman" w:asciiTheme="minorEastAsia" w:hAnsiTheme="minorEastAsia" w:eastAsiaTheme="minorEastAsia"/>
              <w:i w:val="0"/>
              <w:iCs w:val="0"/>
              <w:sz w:val="36"/>
              <w:szCs w:val="44"/>
            </w:rPr>
          </w:pPr>
          <w:r>
            <w:fldChar w:fldCharType="begin"/>
          </w:r>
          <w:r>
            <w:instrText xml:space="preserve"> HYPERLINK \l "_Toc113029279" </w:instrText>
          </w:r>
          <w:r>
            <w:fldChar w:fldCharType="separate"/>
          </w:r>
          <w:r>
            <w:rPr>
              <w:rFonts w:cs="Times New Roman" w:asciiTheme="minorEastAsia" w:hAnsiTheme="minorEastAsia" w:eastAsiaTheme="minorEastAsia"/>
              <w:i w:val="0"/>
              <w:iCs w:val="0"/>
              <w:sz w:val="36"/>
              <w:szCs w:val="44"/>
            </w:rPr>
            <w:t>3.3 结构专业填写说明</w:t>
          </w:r>
          <w:r>
            <w:rPr>
              <w:rFonts w:cs="Times New Roman" w:asciiTheme="minorEastAsia" w:hAnsiTheme="minorEastAsia" w:eastAsiaTheme="minorEastAsia"/>
              <w:i w:val="0"/>
              <w:iCs w:val="0"/>
              <w:sz w:val="36"/>
              <w:szCs w:val="44"/>
            </w:rPr>
            <w:tab/>
          </w:r>
          <w:r>
            <w:rPr>
              <w:rFonts w:cs="Times New Roman" w:asciiTheme="minorEastAsia" w:hAnsiTheme="minorEastAsia" w:eastAsiaTheme="minorEastAsia"/>
              <w:i w:val="0"/>
              <w:iCs w:val="0"/>
              <w:sz w:val="36"/>
              <w:szCs w:val="44"/>
            </w:rPr>
            <w:fldChar w:fldCharType="begin"/>
          </w:r>
          <w:r>
            <w:rPr>
              <w:rFonts w:cs="Times New Roman" w:asciiTheme="minorEastAsia" w:hAnsiTheme="minorEastAsia" w:eastAsiaTheme="minorEastAsia"/>
              <w:i w:val="0"/>
              <w:iCs w:val="0"/>
              <w:sz w:val="36"/>
              <w:szCs w:val="44"/>
            </w:rPr>
            <w:instrText xml:space="preserve"> PAGEREF _Toc113029279 \h </w:instrText>
          </w:r>
          <w:r>
            <w:rPr>
              <w:rFonts w:cs="Times New Roman" w:asciiTheme="minorEastAsia" w:hAnsiTheme="minorEastAsia" w:eastAsiaTheme="minorEastAsia"/>
              <w:i w:val="0"/>
              <w:iCs w:val="0"/>
              <w:sz w:val="36"/>
              <w:szCs w:val="44"/>
            </w:rPr>
            <w:fldChar w:fldCharType="separate"/>
          </w:r>
          <w:r>
            <w:rPr>
              <w:rFonts w:cs="Times New Roman" w:asciiTheme="minorEastAsia" w:hAnsiTheme="minorEastAsia" w:eastAsiaTheme="minorEastAsia"/>
              <w:i w:val="0"/>
              <w:iCs w:val="0"/>
              <w:sz w:val="36"/>
              <w:szCs w:val="44"/>
            </w:rPr>
            <w:t>95</w:t>
          </w:r>
          <w:r>
            <w:rPr>
              <w:rFonts w:cs="Times New Roman" w:asciiTheme="minorEastAsia" w:hAnsiTheme="minorEastAsia" w:eastAsiaTheme="minorEastAsia"/>
              <w:i w:val="0"/>
              <w:iCs w:val="0"/>
              <w:sz w:val="36"/>
              <w:szCs w:val="44"/>
            </w:rPr>
            <w:fldChar w:fldCharType="end"/>
          </w:r>
          <w:r>
            <w:rPr>
              <w:rFonts w:cs="Times New Roman" w:asciiTheme="minorEastAsia" w:hAnsiTheme="minorEastAsia" w:eastAsiaTheme="minorEastAsia"/>
              <w:i w:val="0"/>
              <w:iCs w:val="0"/>
              <w:sz w:val="36"/>
              <w:szCs w:val="44"/>
            </w:rPr>
            <w:fldChar w:fldCharType="end"/>
          </w:r>
        </w:p>
        <w:p>
          <w:pPr>
            <w:pStyle w:val="22"/>
            <w:tabs>
              <w:tab w:val="right" w:leader="dot" w:pos="20204"/>
            </w:tabs>
            <w:rPr>
              <w:rFonts w:cs="Times New Roman" w:asciiTheme="minorEastAsia" w:hAnsiTheme="minorEastAsia" w:eastAsiaTheme="minorEastAsia"/>
              <w:i w:val="0"/>
              <w:iCs w:val="0"/>
              <w:sz w:val="36"/>
              <w:szCs w:val="44"/>
            </w:rPr>
          </w:pPr>
          <w:r>
            <w:fldChar w:fldCharType="begin"/>
          </w:r>
          <w:r>
            <w:instrText xml:space="preserve"> HYPERLINK \l "_Toc113029283" </w:instrText>
          </w:r>
          <w:r>
            <w:fldChar w:fldCharType="separate"/>
          </w:r>
          <w:r>
            <w:rPr>
              <w:rFonts w:cs="Times New Roman" w:asciiTheme="minorEastAsia" w:hAnsiTheme="minorEastAsia" w:eastAsiaTheme="minorEastAsia"/>
              <w:i w:val="0"/>
              <w:iCs w:val="0"/>
              <w:sz w:val="36"/>
              <w:szCs w:val="44"/>
            </w:rPr>
            <w:t>3.4 给排水专业填写说明</w:t>
          </w:r>
          <w:r>
            <w:rPr>
              <w:rFonts w:cs="Times New Roman" w:asciiTheme="minorEastAsia" w:hAnsiTheme="minorEastAsia" w:eastAsiaTheme="minorEastAsia"/>
              <w:i w:val="0"/>
              <w:iCs w:val="0"/>
              <w:sz w:val="36"/>
              <w:szCs w:val="44"/>
            </w:rPr>
            <w:tab/>
          </w:r>
          <w:r>
            <w:rPr>
              <w:rFonts w:cs="Times New Roman" w:asciiTheme="minorEastAsia" w:hAnsiTheme="minorEastAsia" w:eastAsiaTheme="minorEastAsia"/>
              <w:i w:val="0"/>
              <w:iCs w:val="0"/>
              <w:sz w:val="36"/>
              <w:szCs w:val="44"/>
            </w:rPr>
            <w:fldChar w:fldCharType="begin"/>
          </w:r>
          <w:r>
            <w:rPr>
              <w:rFonts w:cs="Times New Roman" w:asciiTheme="minorEastAsia" w:hAnsiTheme="minorEastAsia" w:eastAsiaTheme="minorEastAsia"/>
              <w:i w:val="0"/>
              <w:iCs w:val="0"/>
              <w:sz w:val="36"/>
              <w:szCs w:val="44"/>
            </w:rPr>
            <w:instrText xml:space="preserve"> PAGEREF _Toc113029283 \h </w:instrText>
          </w:r>
          <w:r>
            <w:rPr>
              <w:rFonts w:cs="Times New Roman" w:asciiTheme="minorEastAsia" w:hAnsiTheme="minorEastAsia" w:eastAsiaTheme="minorEastAsia"/>
              <w:i w:val="0"/>
              <w:iCs w:val="0"/>
              <w:sz w:val="36"/>
              <w:szCs w:val="44"/>
            </w:rPr>
            <w:fldChar w:fldCharType="separate"/>
          </w:r>
          <w:r>
            <w:rPr>
              <w:rFonts w:cs="Times New Roman" w:asciiTheme="minorEastAsia" w:hAnsiTheme="minorEastAsia" w:eastAsiaTheme="minorEastAsia"/>
              <w:i w:val="0"/>
              <w:iCs w:val="0"/>
              <w:sz w:val="36"/>
              <w:szCs w:val="44"/>
            </w:rPr>
            <w:t>109</w:t>
          </w:r>
          <w:r>
            <w:rPr>
              <w:rFonts w:cs="Times New Roman" w:asciiTheme="minorEastAsia" w:hAnsiTheme="minorEastAsia" w:eastAsiaTheme="minorEastAsia"/>
              <w:i w:val="0"/>
              <w:iCs w:val="0"/>
              <w:sz w:val="36"/>
              <w:szCs w:val="44"/>
            </w:rPr>
            <w:fldChar w:fldCharType="end"/>
          </w:r>
          <w:r>
            <w:rPr>
              <w:rFonts w:cs="Times New Roman" w:asciiTheme="minorEastAsia" w:hAnsiTheme="minorEastAsia" w:eastAsiaTheme="minorEastAsia"/>
              <w:i w:val="0"/>
              <w:iCs w:val="0"/>
              <w:sz w:val="36"/>
              <w:szCs w:val="44"/>
            </w:rPr>
            <w:fldChar w:fldCharType="end"/>
          </w:r>
        </w:p>
        <w:p>
          <w:pPr>
            <w:pStyle w:val="22"/>
            <w:tabs>
              <w:tab w:val="right" w:leader="dot" w:pos="20204"/>
            </w:tabs>
            <w:rPr>
              <w:rFonts w:cs="Times New Roman" w:asciiTheme="minorEastAsia" w:hAnsiTheme="minorEastAsia" w:eastAsiaTheme="minorEastAsia"/>
              <w:i w:val="0"/>
              <w:iCs w:val="0"/>
              <w:sz w:val="36"/>
              <w:szCs w:val="44"/>
            </w:rPr>
          </w:pPr>
          <w:r>
            <w:fldChar w:fldCharType="begin"/>
          </w:r>
          <w:r>
            <w:instrText xml:space="preserve"> HYPERLINK \l "_Toc113029284" </w:instrText>
          </w:r>
          <w:r>
            <w:fldChar w:fldCharType="separate"/>
          </w:r>
          <w:r>
            <w:rPr>
              <w:rFonts w:cs="Times New Roman" w:asciiTheme="minorEastAsia" w:hAnsiTheme="minorEastAsia" w:eastAsiaTheme="minorEastAsia"/>
              <w:i w:val="0"/>
              <w:iCs w:val="0"/>
              <w:sz w:val="36"/>
              <w:szCs w:val="44"/>
            </w:rPr>
            <w:t>3.5 暖通专业填写说明</w:t>
          </w:r>
          <w:r>
            <w:rPr>
              <w:rFonts w:cs="Times New Roman" w:asciiTheme="minorEastAsia" w:hAnsiTheme="minorEastAsia" w:eastAsiaTheme="minorEastAsia"/>
              <w:i w:val="0"/>
              <w:iCs w:val="0"/>
              <w:sz w:val="36"/>
              <w:szCs w:val="44"/>
            </w:rPr>
            <w:tab/>
          </w:r>
          <w:r>
            <w:rPr>
              <w:rFonts w:cs="Times New Roman" w:asciiTheme="minorEastAsia" w:hAnsiTheme="minorEastAsia" w:eastAsiaTheme="minorEastAsia"/>
              <w:i w:val="0"/>
              <w:iCs w:val="0"/>
              <w:sz w:val="36"/>
              <w:szCs w:val="44"/>
            </w:rPr>
            <w:fldChar w:fldCharType="begin"/>
          </w:r>
          <w:r>
            <w:rPr>
              <w:rFonts w:cs="Times New Roman" w:asciiTheme="minorEastAsia" w:hAnsiTheme="minorEastAsia" w:eastAsiaTheme="minorEastAsia"/>
              <w:i w:val="0"/>
              <w:iCs w:val="0"/>
              <w:sz w:val="36"/>
              <w:szCs w:val="44"/>
            </w:rPr>
            <w:instrText xml:space="preserve"> PAGEREF _Toc113029284 \h </w:instrText>
          </w:r>
          <w:r>
            <w:rPr>
              <w:rFonts w:cs="Times New Roman" w:asciiTheme="minorEastAsia" w:hAnsiTheme="minorEastAsia" w:eastAsiaTheme="minorEastAsia"/>
              <w:i w:val="0"/>
              <w:iCs w:val="0"/>
              <w:sz w:val="36"/>
              <w:szCs w:val="44"/>
            </w:rPr>
            <w:fldChar w:fldCharType="separate"/>
          </w:r>
          <w:r>
            <w:rPr>
              <w:rFonts w:cs="Times New Roman" w:asciiTheme="minorEastAsia" w:hAnsiTheme="minorEastAsia" w:eastAsiaTheme="minorEastAsia"/>
              <w:i w:val="0"/>
              <w:iCs w:val="0"/>
              <w:sz w:val="36"/>
              <w:szCs w:val="44"/>
            </w:rPr>
            <w:t>114</w:t>
          </w:r>
          <w:r>
            <w:rPr>
              <w:rFonts w:cs="Times New Roman" w:asciiTheme="minorEastAsia" w:hAnsiTheme="minorEastAsia" w:eastAsiaTheme="minorEastAsia"/>
              <w:i w:val="0"/>
              <w:iCs w:val="0"/>
              <w:sz w:val="36"/>
              <w:szCs w:val="44"/>
            </w:rPr>
            <w:fldChar w:fldCharType="end"/>
          </w:r>
          <w:r>
            <w:rPr>
              <w:rFonts w:cs="Times New Roman" w:asciiTheme="minorEastAsia" w:hAnsiTheme="minorEastAsia" w:eastAsiaTheme="minorEastAsia"/>
              <w:i w:val="0"/>
              <w:iCs w:val="0"/>
              <w:sz w:val="36"/>
              <w:szCs w:val="44"/>
            </w:rPr>
            <w:fldChar w:fldCharType="end"/>
          </w:r>
          <w:r>
            <w:fldChar w:fldCharType="begin"/>
          </w:r>
          <w:r>
            <w:instrText xml:space="preserve"> HYPERLINK \l "_Toc113029285" </w:instrText>
          </w:r>
          <w:r>
            <w:fldChar w:fldCharType="separate"/>
          </w:r>
          <w:r>
            <w:fldChar w:fldCharType="end"/>
          </w:r>
        </w:p>
        <w:p>
          <w:pPr>
            <w:pStyle w:val="22"/>
            <w:tabs>
              <w:tab w:val="right" w:leader="dot" w:pos="20204"/>
            </w:tabs>
            <w:rPr>
              <w:rFonts w:eastAsiaTheme="minorEastAsia" w:cstheme="minorBidi"/>
              <w:i w:val="0"/>
              <w:iCs w:val="0"/>
              <w:sz w:val="21"/>
              <w:szCs w:val="22"/>
            </w:rPr>
          </w:pPr>
          <w:r>
            <w:fldChar w:fldCharType="begin"/>
          </w:r>
          <w:r>
            <w:instrText xml:space="preserve"> HYPERLINK \l "_Toc113029286" </w:instrText>
          </w:r>
          <w:r>
            <w:fldChar w:fldCharType="separate"/>
          </w:r>
          <w:r>
            <w:rPr>
              <w:rFonts w:cs="Times New Roman" w:asciiTheme="minorEastAsia" w:hAnsiTheme="minorEastAsia" w:eastAsiaTheme="minorEastAsia"/>
              <w:i w:val="0"/>
              <w:iCs w:val="0"/>
              <w:sz w:val="36"/>
              <w:szCs w:val="44"/>
            </w:rPr>
            <w:t>3.6 电气及智能化专业填写说明</w:t>
          </w:r>
          <w:r>
            <w:rPr>
              <w:rFonts w:cs="Times New Roman" w:asciiTheme="minorEastAsia" w:hAnsiTheme="minorEastAsia" w:eastAsiaTheme="minorEastAsia"/>
              <w:i w:val="0"/>
              <w:iCs w:val="0"/>
              <w:sz w:val="36"/>
              <w:szCs w:val="44"/>
            </w:rPr>
            <w:tab/>
          </w:r>
          <w:r>
            <w:rPr>
              <w:rFonts w:cs="Times New Roman" w:asciiTheme="minorEastAsia" w:hAnsiTheme="minorEastAsia" w:eastAsiaTheme="minorEastAsia"/>
              <w:i w:val="0"/>
              <w:iCs w:val="0"/>
              <w:sz w:val="36"/>
              <w:szCs w:val="44"/>
            </w:rPr>
            <w:fldChar w:fldCharType="begin"/>
          </w:r>
          <w:r>
            <w:rPr>
              <w:rFonts w:cs="Times New Roman" w:asciiTheme="minorEastAsia" w:hAnsiTheme="minorEastAsia" w:eastAsiaTheme="minorEastAsia"/>
              <w:i w:val="0"/>
              <w:iCs w:val="0"/>
              <w:sz w:val="36"/>
              <w:szCs w:val="44"/>
            </w:rPr>
            <w:instrText xml:space="preserve"> PAGEREF _Toc113029286 \h </w:instrText>
          </w:r>
          <w:r>
            <w:rPr>
              <w:rFonts w:cs="Times New Roman" w:asciiTheme="minorEastAsia" w:hAnsiTheme="minorEastAsia" w:eastAsiaTheme="minorEastAsia"/>
              <w:i w:val="0"/>
              <w:iCs w:val="0"/>
              <w:sz w:val="36"/>
              <w:szCs w:val="44"/>
            </w:rPr>
            <w:fldChar w:fldCharType="separate"/>
          </w:r>
          <w:r>
            <w:rPr>
              <w:rFonts w:cs="Times New Roman" w:asciiTheme="minorEastAsia" w:hAnsiTheme="minorEastAsia" w:eastAsiaTheme="minorEastAsia"/>
              <w:i w:val="0"/>
              <w:iCs w:val="0"/>
              <w:sz w:val="36"/>
              <w:szCs w:val="44"/>
            </w:rPr>
            <w:t>126</w:t>
          </w:r>
          <w:r>
            <w:rPr>
              <w:rFonts w:cs="Times New Roman" w:asciiTheme="minorEastAsia" w:hAnsiTheme="minorEastAsia" w:eastAsiaTheme="minorEastAsia"/>
              <w:i w:val="0"/>
              <w:iCs w:val="0"/>
              <w:sz w:val="36"/>
              <w:szCs w:val="44"/>
            </w:rPr>
            <w:fldChar w:fldCharType="end"/>
          </w:r>
          <w:r>
            <w:rPr>
              <w:rFonts w:cs="Times New Roman" w:asciiTheme="minorEastAsia" w:hAnsiTheme="minorEastAsia" w:eastAsiaTheme="minorEastAsia"/>
              <w:i w:val="0"/>
              <w:iCs w:val="0"/>
              <w:sz w:val="36"/>
              <w:szCs w:val="44"/>
            </w:rPr>
            <w:fldChar w:fldCharType="end"/>
          </w:r>
        </w:p>
        <w:p>
          <w:r>
            <w:rPr>
              <w:b/>
              <w:bCs/>
              <w:lang w:val="zh-CN"/>
            </w:rPr>
            <w:fldChar w:fldCharType="end"/>
          </w:r>
        </w:p>
      </w:sdtContent>
    </w:sdt>
    <w:p>
      <w:pPr>
        <w:widowControl/>
        <w:jc w:val="left"/>
        <w:rPr>
          <w:rFonts w:hAnsi="宋体"/>
          <w:sz w:val="28"/>
          <w:szCs w:val="28"/>
        </w:rPr>
      </w:pPr>
      <w:r>
        <w:rPr>
          <w:rFonts w:hAnsi="宋体"/>
          <w:sz w:val="28"/>
          <w:szCs w:val="28"/>
        </w:rPr>
        <w:br w:type="page"/>
      </w:r>
    </w:p>
    <w:p>
      <w:pPr>
        <w:spacing w:line="540" w:lineRule="exact"/>
        <w:ind w:left="284"/>
        <w:rPr>
          <w:rFonts w:hAnsi="宋体"/>
          <w:sz w:val="28"/>
          <w:szCs w:val="28"/>
        </w:rPr>
      </w:pPr>
      <w:r>
        <w:rPr>
          <w:rFonts w:hint="eastAsia" w:hAnsi="宋体"/>
          <w:sz w:val="28"/>
          <w:szCs w:val="28"/>
        </w:rPr>
        <w:t>项目名称：</w:t>
      </w:r>
    </w:p>
    <w:p>
      <w:pPr>
        <w:spacing w:line="540" w:lineRule="exact"/>
        <w:ind w:left="284"/>
        <w:rPr>
          <w:rFonts w:hAnsi="宋体"/>
          <w:sz w:val="28"/>
          <w:szCs w:val="28"/>
        </w:rPr>
      </w:pPr>
      <w:r>
        <w:rPr>
          <w:rFonts w:hint="eastAsia" w:hAnsi="宋体"/>
          <w:sz w:val="28"/>
          <w:szCs w:val="28"/>
        </w:rPr>
        <w:t>建设单位：</w:t>
      </w:r>
    </w:p>
    <w:p>
      <w:pPr>
        <w:spacing w:line="540" w:lineRule="exact"/>
        <w:ind w:left="284"/>
        <w:rPr>
          <w:rFonts w:hAnsi="宋体"/>
          <w:sz w:val="28"/>
          <w:szCs w:val="28"/>
        </w:rPr>
      </w:pPr>
      <w:r>
        <w:rPr>
          <w:rFonts w:hint="eastAsia" w:hAnsi="宋体"/>
          <w:sz w:val="28"/>
          <w:szCs w:val="28"/>
        </w:rPr>
        <w:t>设计单位：</w:t>
      </w:r>
    </w:p>
    <w:p>
      <w:pPr>
        <w:spacing w:line="540" w:lineRule="exact"/>
        <w:ind w:left="284"/>
        <w:rPr>
          <w:rFonts w:hAnsi="宋体"/>
          <w:sz w:val="28"/>
          <w:szCs w:val="28"/>
        </w:rPr>
      </w:pPr>
      <w:r>
        <w:rPr>
          <w:rFonts w:hint="eastAsia" w:hAnsi="宋体"/>
          <w:sz w:val="28"/>
          <w:szCs w:val="28"/>
        </w:rPr>
        <w:t>证书等级：</w:t>
      </w:r>
    </w:p>
    <w:p>
      <w:pPr>
        <w:spacing w:line="540" w:lineRule="exact"/>
        <w:ind w:left="284"/>
        <w:rPr>
          <w:rFonts w:hAnsi="宋体"/>
          <w:sz w:val="28"/>
          <w:szCs w:val="28"/>
        </w:rPr>
      </w:pPr>
      <w:r>
        <w:rPr>
          <w:rFonts w:hint="eastAsia" w:hAnsi="宋体"/>
          <w:sz w:val="28"/>
          <w:szCs w:val="28"/>
        </w:rPr>
        <w:t>证书编号：</w:t>
      </w:r>
    </w:p>
    <w:p>
      <w:pPr>
        <w:spacing w:line="540" w:lineRule="exact"/>
        <w:ind w:left="284"/>
        <w:rPr>
          <w:rFonts w:hAnsi="宋体"/>
          <w:sz w:val="28"/>
          <w:szCs w:val="28"/>
        </w:rPr>
      </w:pPr>
      <w:r>
        <w:rPr>
          <w:rFonts w:hint="eastAsia" w:hAnsi="宋体"/>
          <w:sz w:val="28"/>
          <w:szCs w:val="28"/>
        </w:rPr>
        <w:t>项目负责人（设计总负责人）：</w:t>
      </w:r>
    </w:p>
    <w:p>
      <w:pPr>
        <w:spacing w:line="540" w:lineRule="exact"/>
        <w:ind w:left="284"/>
        <w:jc w:val="center"/>
        <w:rPr>
          <w:rFonts w:hAnsi="宋体"/>
          <w:sz w:val="28"/>
          <w:szCs w:val="28"/>
        </w:rPr>
      </w:pPr>
      <w:r>
        <w:rPr>
          <w:rFonts w:hint="eastAsia" w:hAnsi="宋体"/>
          <w:sz w:val="28"/>
          <w:szCs w:val="28"/>
        </w:rPr>
        <w:t>设计人员一览表</w:t>
      </w:r>
    </w:p>
    <w:tbl>
      <w:tblPr>
        <w:tblStyle w:val="4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0"/>
        <w:gridCol w:w="1980"/>
        <w:gridCol w:w="2520"/>
        <w:gridCol w:w="2520"/>
        <w:gridCol w:w="2520"/>
        <w:gridCol w:w="2160"/>
        <w:gridCol w:w="2880"/>
        <w:gridCol w:w="2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2700" w:type="dxa"/>
            <w:vAlign w:val="center"/>
          </w:tcPr>
          <w:p>
            <w:pPr>
              <w:spacing w:line="540" w:lineRule="exact"/>
              <w:jc w:val="center"/>
              <w:rPr>
                <w:rFonts w:hAnsi="宋体"/>
                <w:sz w:val="24"/>
              </w:rPr>
            </w:pPr>
            <w:r>
              <w:rPr>
                <w:rFonts w:hint="eastAsia" w:hAnsi="宋体"/>
                <w:sz w:val="24"/>
              </w:rPr>
              <w:t>专业</w:t>
            </w:r>
          </w:p>
        </w:tc>
        <w:tc>
          <w:tcPr>
            <w:tcW w:w="1980" w:type="dxa"/>
            <w:vAlign w:val="center"/>
          </w:tcPr>
          <w:p>
            <w:pPr>
              <w:spacing w:line="540" w:lineRule="exact"/>
              <w:jc w:val="center"/>
              <w:rPr>
                <w:rFonts w:hAnsi="宋体"/>
                <w:sz w:val="24"/>
              </w:rPr>
            </w:pPr>
            <w:r>
              <w:rPr>
                <w:rFonts w:hint="eastAsia" w:hAnsi="宋体"/>
                <w:sz w:val="24"/>
              </w:rPr>
              <w:t>签署</w:t>
            </w:r>
          </w:p>
        </w:tc>
        <w:tc>
          <w:tcPr>
            <w:tcW w:w="2520" w:type="dxa"/>
            <w:vAlign w:val="center"/>
          </w:tcPr>
          <w:p>
            <w:pPr>
              <w:spacing w:line="540" w:lineRule="exact"/>
              <w:jc w:val="center"/>
              <w:rPr>
                <w:rFonts w:hAnsi="宋体"/>
                <w:sz w:val="24"/>
              </w:rPr>
            </w:pPr>
            <w:r>
              <w:rPr>
                <w:rFonts w:hint="eastAsia" w:hAnsi="宋体"/>
                <w:sz w:val="24"/>
              </w:rPr>
              <w:t>姓名</w:t>
            </w:r>
          </w:p>
        </w:tc>
        <w:tc>
          <w:tcPr>
            <w:tcW w:w="2520" w:type="dxa"/>
            <w:vAlign w:val="center"/>
          </w:tcPr>
          <w:p>
            <w:pPr>
              <w:spacing w:line="540" w:lineRule="exact"/>
              <w:jc w:val="center"/>
              <w:rPr>
                <w:rFonts w:hAnsi="宋体"/>
                <w:sz w:val="24"/>
              </w:rPr>
            </w:pPr>
            <w:r>
              <w:rPr>
                <w:rFonts w:hint="eastAsia" w:hAnsi="宋体"/>
                <w:sz w:val="24"/>
              </w:rPr>
              <w:t>签名</w:t>
            </w:r>
          </w:p>
        </w:tc>
        <w:tc>
          <w:tcPr>
            <w:tcW w:w="2520" w:type="dxa"/>
            <w:vAlign w:val="center"/>
          </w:tcPr>
          <w:p>
            <w:pPr>
              <w:spacing w:line="540" w:lineRule="exact"/>
              <w:jc w:val="center"/>
              <w:rPr>
                <w:rFonts w:hAnsi="宋体"/>
                <w:sz w:val="24"/>
              </w:rPr>
            </w:pPr>
            <w:r>
              <w:rPr>
                <w:rFonts w:hint="eastAsia" w:hAnsi="宋体"/>
                <w:sz w:val="24"/>
              </w:rPr>
              <w:t>专业</w:t>
            </w:r>
          </w:p>
        </w:tc>
        <w:tc>
          <w:tcPr>
            <w:tcW w:w="2160" w:type="dxa"/>
            <w:vAlign w:val="center"/>
          </w:tcPr>
          <w:p>
            <w:pPr>
              <w:spacing w:line="540" w:lineRule="exact"/>
              <w:jc w:val="center"/>
              <w:rPr>
                <w:rFonts w:hAnsi="宋体"/>
                <w:sz w:val="24"/>
              </w:rPr>
            </w:pPr>
            <w:r>
              <w:rPr>
                <w:rFonts w:hint="eastAsia" w:hAnsi="宋体"/>
                <w:sz w:val="24"/>
              </w:rPr>
              <w:t>签署</w:t>
            </w:r>
          </w:p>
        </w:tc>
        <w:tc>
          <w:tcPr>
            <w:tcW w:w="2880" w:type="dxa"/>
            <w:vAlign w:val="center"/>
          </w:tcPr>
          <w:p>
            <w:pPr>
              <w:spacing w:line="540" w:lineRule="exact"/>
              <w:jc w:val="center"/>
              <w:rPr>
                <w:rFonts w:hAnsi="宋体"/>
                <w:sz w:val="24"/>
              </w:rPr>
            </w:pPr>
            <w:r>
              <w:rPr>
                <w:rFonts w:hint="eastAsia" w:hAnsi="宋体"/>
                <w:sz w:val="24"/>
              </w:rPr>
              <w:t>姓名</w:t>
            </w:r>
          </w:p>
        </w:tc>
        <w:tc>
          <w:tcPr>
            <w:tcW w:w="2520" w:type="dxa"/>
            <w:vAlign w:val="center"/>
          </w:tcPr>
          <w:p>
            <w:pPr>
              <w:spacing w:line="540" w:lineRule="exact"/>
              <w:jc w:val="center"/>
              <w:rPr>
                <w:rFonts w:hAnsi="宋体"/>
                <w:sz w:val="24"/>
              </w:rPr>
            </w:pPr>
            <w:r>
              <w:rPr>
                <w:rFonts w:hint="eastAsia" w:hAnsi="宋体"/>
                <w:sz w:val="24"/>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restart"/>
            <w:vAlign w:val="center"/>
          </w:tcPr>
          <w:p>
            <w:pPr>
              <w:spacing w:line="540" w:lineRule="exact"/>
              <w:jc w:val="center"/>
              <w:rPr>
                <w:rFonts w:hAnsi="宋体"/>
                <w:sz w:val="24"/>
              </w:rPr>
            </w:pPr>
            <w:r>
              <w:rPr>
                <w:rFonts w:hint="eastAsia" w:hAnsi="宋体"/>
                <w:sz w:val="24"/>
              </w:rPr>
              <w:t>建筑</w:t>
            </w:r>
          </w:p>
        </w:tc>
        <w:tc>
          <w:tcPr>
            <w:tcW w:w="1980" w:type="dxa"/>
            <w:vAlign w:val="center"/>
          </w:tcPr>
          <w:p>
            <w:pPr>
              <w:spacing w:line="540" w:lineRule="exact"/>
              <w:jc w:val="center"/>
              <w:rPr>
                <w:rFonts w:hAnsi="宋体"/>
                <w:sz w:val="24"/>
              </w:rPr>
            </w:pPr>
            <w:r>
              <w:rPr>
                <w:rFonts w:hint="eastAsia" w:hAnsi="宋体"/>
                <w:sz w:val="24"/>
              </w:rPr>
              <w:t>专业负责人</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restart"/>
            <w:vAlign w:val="center"/>
          </w:tcPr>
          <w:p>
            <w:pPr>
              <w:spacing w:line="540" w:lineRule="exact"/>
              <w:jc w:val="center"/>
              <w:rPr>
                <w:rFonts w:hAnsi="宋体"/>
                <w:sz w:val="24"/>
              </w:rPr>
            </w:pPr>
            <w:r>
              <w:rPr>
                <w:rFonts w:hint="eastAsia" w:hAnsi="宋体"/>
                <w:sz w:val="24"/>
              </w:rPr>
              <w:t>结构</w:t>
            </w:r>
          </w:p>
        </w:tc>
        <w:tc>
          <w:tcPr>
            <w:tcW w:w="2160" w:type="dxa"/>
            <w:vAlign w:val="center"/>
          </w:tcPr>
          <w:p>
            <w:pPr>
              <w:spacing w:line="540" w:lineRule="exact"/>
              <w:jc w:val="center"/>
              <w:rPr>
                <w:rFonts w:hAnsi="宋体"/>
                <w:sz w:val="24"/>
              </w:rPr>
            </w:pPr>
            <w:r>
              <w:rPr>
                <w:rFonts w:hint="eastAsia" w:hAnsi="宋体"/>
                <w:sz w:val="24"/>
              </w:rPr>
              <w:t>专业负责人</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设计</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设计</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校对</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校对</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审核</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审核</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审定</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审定</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restart"/>
            <w:vAlign w:val="center"/>
          </w:tcPr>
          <w:p>
            <w:pPr>
              <w:spacing w:line="540" w:lineRule="exact"/>
              <w:jc w:val="center"/>
              <w:rPr>
                <w:rFonts w:hAnsi="宋体"/>
                <w:sz w:val="24"/>
              </w:rPr>
            </w:pPr>
            <w:r>
              <w:rPr>
                <w:rFonts w:hint="eastAsia" w:hAnsi="宋体"/>
                <w:sz w:val="24"/>
              </w:rPr>
              <w:t>给排水</w:t>
            </w:r>
          </w:p>
        </w:tc>
        <w:tc>
          <w:tcPr>
            <w:tcW w:w="1980" w:type="dxa"/>
            <w:vAlign w:val="center"/>
          </w:tcPr>
          <w:p>
            <w:pPr>
              <w:spacing w:line="540" w:lineRule="exact"/>
              <w:jc w:val="center"/>
              <w:rPr>
                <w:rFonts w:hAnsi="宋体"/>
                <w:sz w:val="24"/>
              </w:rPr>
            </w:pPr>
            <w:r>
              <w:rPr>
                <w:rFonts w:hint="eastAsia" w:hAnsi="宋体"/>
                <w:sz w:val="24"/>
              </w:rPr>
              <w:t>专业负责人</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restart"/>
            <w:vAlign w:val="center"/>
          </w:tcPr>
          <w:p>
            <w:pPr>
              <w:spacing w:line="540" w:lineRule="exact"/>
              <w:jc w:val="center"/>
              <w:rPr>
                <w:rFonts w:hAnsi="宋体"/>
                <w:sz w:val="24"/>
              </w:rPr>
            </w:pPr>
            <w:r>
              <w:rPr>
                <w:rFonts w:hint="eastAsia" w:hAnsi="宋体"/>
                <w:sz w:val="24"/>
              </w:rPr>
              <w:t>暖通</w:t>
            </w:r>
          </w:p>
        </w:tc>
        <w:tc>
          <w:tcPr>
            <w:tcW w:w="2160" w:type="dxa"/>
            <w:vAlign w:val="center"/>
          </w:tcPr>
          <w:p>
            <w:pPr>
              <w:spacing w:line="540" w:lineRule="exact"/>
              <w:jc w:val="center"/>
              <w:rPr>
                <w:rFonts w:hAnsi="宋体"/>
                <w:sz w:val="24"/>
              </w:rPr>
            </w:pPr>
            <w:r>
              <w:rPr>
                <w:rFonts w:hint="eastAsia" w:hAnsi="宋体"/>
                <w:sz w:val="24"/>
              </w:rPr>
              <w:t>专业负责人</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设计</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设计</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校对</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校对</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审核</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审核</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审定</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审定</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restart"/>
            <w:vAlign w:val="center"/>
          </w:tcPr>
          <w:p>
            <w:pPr>
              <w:spacing w:line="540" w:lineRule="exact"/>
              <w:jc w:val="center"/>
              <w:rPr>
                <w:rFonts w:hAnsi="宋体"/>
                <w:sz w:val="24"/>
              </w:rPr>
            </w:pPr>
            <w:r>
              <w:rPr>
                <w:rFonts w:hint="eastAsia" w:hAnsi="宋体"/>
                <w:sz w:val="24"/>
              </w:rPr>
              <w:t>建筑电气</w:t>
            </w:r>
          </w:p>
        </w:tc>
        <w:tc>
          <w:tcPr>
            <w:tcW w:w="1980" w:type="dxa"/>
            <w:vAlign w:val="center"/>
          </w:tcPr>
          <w:p>
            <w:pPr>
              <w:spacing w:line="540" w:lineRule="exact"/>
              <w:jc w:val="center"/>
              <w:rPr>
                <w:rFonts w:hAnsi="宋体"/>
                <w:sz w:val="24"/>
              </w:rPr>
            </w:pPr>
            <w:r>
              <w:rPr>
                <w:rFonts w:hint="eastAsia" w:hAnsi="宋体"/>
                <w:sz w:val="24"/>
              </w:rPr>
              <w:t>专业负责人</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restart"/>
            <w:vAlign w:val="center"/>
          </w:tcPr>
          <w:p>
            <w:pPr>
              <w:spacing w:line="540" w:lineRule="exact"/>
              <w:jc w:val="center"/>
              <w:rPr>
                <w:rFonts w:hAnsi="宋体"/>
                <w:sz w:val="24"/>
              </w:rPr>
            </w:pPr>
            <w:r>
              <w:rPr>
                <w:rFonts w:hint="eastAsia" w:hAnsi="宋体"/>
                <w:sz w:val="24"/>
              </w:rPr>
              <w:t>智能化</w:t>
            </w:r>
          </w:p>
        </w:tc>
        <w:tc>
          <w:tcPr>
            <w:tcW w:w="2160" w:type="dxa"/>
            <w:vAlign w:val="center"/>
          </w:tcPr>
          <w:p>
            <w:pPr>
              <w:spacing w:line="540" w:lineRule="exact"/>
              <w:jc w:val="center"/>
              <w:rPr>
                <w:rFonts w:hAnsi="宋体"/>
                <w:sz w:val="24"/>
              </w:rPr>
            </w:pPr>
            <w:r>
              <w:rPr>
                <w:rFonts w:hint="eastAsia" w:hAnsi="宋体"/>
                <w:sz w:val="24"/>
              </w:rPr>
              <w:t>专业负责人</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设计</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设计</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校对</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校对</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审核</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审核</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700" w:type="dxa"/>
            <w:vMerge w:val="continue"/>
            <w:vAlign w:val="center"/>
          </w:tcPr>
          <w:p>
            <w:pPr>
              <w:spacing w:line="540" w:lineRule="exact"/>
              <w:jc w:val="center"/>
              <w:rPr>
                <w:rFonts w:hAnsi="宋体"/>
                <w:sz w:val="24"/>
              </w:rPr>
            </w:pPr>
          </w:p>
        </w:tc>
        <w:tc>
          <w:tcPr>
            <w:tcW w:w="1980" w:type="dxa"/>
            <w:vAlign w:val="center"/>
          </w:tcPr>
          <w:p>
            <w:pPr>
              <w:spacing w:line="540" w:lineRule="exact"/>
              <w:jc w:val="center"/>
              <w:rPr>
                <w:rFonts w:hAnsi="宋体"/>
                <w:sz w:val="24"/>
              </w:rPr>
            </w:pPr>
            <w:r>
              <w:rPr>
                <w:rFonts w:hint="eastAsia" w:hAnsi="宋体"/>
                <w:sz w:val="24"/>
              </w:rPr>
              <w:t>审定</w:t>
            </w:r>
          </w:p>
        </w:tc>
        <w:tc>
          <w:tcPr>
            <w:tcW w:w="252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c>
          <w:tcPr>
            <w:tcW w:w="2520" w:type="dxa"/>
            <w:vMerge w:val="continue"/>
            <w:vAlign w:val="center"/>
          </w:tcPr>
          <w:p>
            <w:pPr>
              <w:spacing w:line="540" w:lineRule="exact"/>
              <w:jc w:val="center"/>
              <w:rPr>
                <w:rFonts w:hAnsi="宋体"/>
                <w:sz w:val="24"/>
              </w:rPr>
            </w:pPr>
          </w:p>
        </w:tc>
        <w:tc>
          <w:tcPr>
            <w:tcW w:w="2160" w:type="dxa"/>
            <w:vAlign w:val="center"/>
          </w:tcPr>
          <w:p>
            <w:pPr>
              <w:spacing w:line="540" w:lineRule="exact"/>
              <w:jc w:val="center"/>
              <w:rPr>
                <w:rFonts w:hAnsi="宋体"/>
                <w:sz w:val="24"/>
              </w:rPr>
            </w:pPr>
            <w:r>
              <w:rPr>
                <w:rFonts w:hint="eastAsia" w:hAnsi="宋体"/>
                <w:sz w:val="24"/>
              </w:rPr>
              <w:t>审定</w:t>
            </w:r>
          </w:p>
        </w:tc>
        <w:tc>
          <w:tcPr>
            <w:tcW w:w="2880" w:type="dxa"/>
            <w:vAlign w:val="center"/>
          </w:tcPr>
          <w:p>
            <w:pPr>
              <w:spacing w:line="540" w:lineRule="exact"/>
              <w:jc w:val="center"/>
              <w:rPr>
                <w:rFonts w:hAnsi="宋体"/>
                <w:sz w:val="24"/>
              </w:rPr>
            </w:pPr>
          </w:p>
        </w:tc>
        <w:tc>
          <w:tcPr>
            <w:tcW w:w="2520" w:type="dxa"/>
            <w:vAlign w:val="center"/>
          </w:tcPr>
          <w:p>
            <w:pPr>
              <w:spacing w:line="540" w:lineRule="exact"/>
              <w:jc w:val="center"/>
              <w:rPr>
                <w:rFonts w:hAnsi="宋体"/>
                <w:sz w:val="24"/>
              </w:rPr>
            </w:pPr>
          </w:p>
        </w:tc>
      </w:tr>
    </w:tbl>
    <w:p>
      <w:pPr>
        <w:spacing w:line="540" w:lineRule="exact"/>
        <w:rPr>
          <w:rFonts w:hAnsi="宋体"/>
          <w:sz w:val="28"/>
          <w:szCs w:val="28"/>
        </w:rPr>
        <w:sectPr>
          <w:pgSz w:w="23814" w:h="16840" w:orient="landscape"/>
          <w:pgMar w:top="1440" w:right="1800" w:bottom="1440" w:left="1800" w:header="851" w:footer="992" w:gutter="0"/>
          <w:pgNumType w:start="1"/>
          <w:cols w:space="630" w:num="1"/>
          <w:docGrid w:type="lines" w:linePitch="312" w:charSpace="0"/>
        </w:sectPr>
      </w:pPr>
    </w:p>
    <w:p>
      <w:pPr>
        <w:widowControl/>
        <w:spacing w:line="360" w:lineRule="auto"/>
        <w:rPr>
          <w:rFonts w:hAnsi="宋体"/>
          <w:kern w:val="0"/>
          <w:sz w:val="52"/>
          <w:szCs w:val="52"/>
        </w:rPr>
      </w:pPr>
    </w:p>
    <w:p>
      <w:pPr>
        <w:widowControl/>
        <w:spacing w:line="360" w:lineRule="auto"/>
        <w:jc w:val="center"/>
        <w:rPr>
          <w:rFonts w:hAnsi="宋体"/>
          <w:kern w:val="0"/>
          <w:sz w:val="52"/>
          <w:szCs w:val="52"/>
        </w:rPr>
      </w:pPr>
    </w:p>
    <w:p>
      <w:pPr>
        <w:widowControl/>
        <w:spacing w:line="360" w:lineRule="auto"/>
        <w:rPr>
          <w:rFonts w:hAnsi="宋体"/>
          <w:kern w:val="0"/>
          <w:sz w:val="52"/>
          <w:szCs w:val="52"/>
        </w:rPr>
      </w:pPr>
    </w:p>
    <w:p>
      <w:pPr>
        <w:pStyle w:val="2"/>
        <w:rPr>
          <w:rFonts w:hAnsi="宋体"/>
          <w:sz w:val="52"/>
          <w:szCs w:val="52"/>
        </w:rPr>
      </w:pPr>
      <w:bookmarkStart w:id="0" w:name="_Toc73698819"/>
      <w:bookmarkStart w:id="1" w:name="_Toc113029272"/>
      <w:r>
        <w:rPr>
          <w:rFonts w:hint="eastAsia" w:hAnsi="宋体"/>
          <w:sz w:val="52"/>
          <w:szCs w:val="52"/>
        </w:rPr>
        <w:t>第一</w:t>
      </w:r>
      <w:r>
        <w:rPr>
          <w:rFonts w:hAnsi="宋体"/>
          <w:sz w:val="52"/>
          <w:szCs w:val="52"/>
        </w:rPr>
        <w:t>部分：</w:t>
      </w:r>
      <w:bookmarkEnd w:id="0"/>
      <w:bookmarkStart w:id="2" w:name="_Hlk93483431"/>
      <w:r>
        <w:rPr>
          <w:rFonts w:hint="eastAsia" w:hAnsi="宋体"/>
          <w:sz w:val="52"/>
          <w:szCs w:val="52"/>
        </w:rPr>
        <w:t>杭州市民用建筑绿色与节能设计施工图专篇</w:t>
      </w:r>
      <w:bookmarkEnd w:id="1"/>
      <w:bookmarkEnd w:id="2"/>
    </w:p>
    <w:p>
      <w:pPr>
        <w:widowControl/>
        <w:jc w:val="left"/>
        <w:rPr>
          <w:rFonts w:ascii="黑体" w:hAnsi="黑体" w:eastAsia="黑体"/>
          <w:b/>
          <w:sz w:val="32"/>
          <w:szCs w:val="32"/>
          <w:lang w:val="zh-CN"/>
        </w:rPr>
      </w:pPr>
      <w:r>
        <w:rPr>
          <w:rFonts w:ascii="黑体" w:hAnsi="黑体" w:eastAsia="黑体"/>
          <w:b/>
          <w:sz w:val="32"/>
          <w:szCs w:val="32"/>
          <w:lang w:val="zh-CN"/>
        </w:rPr>
        <w:br w:type="page"/>
      </w:r>
    </w:p>
    <w:p>
      <w:pPr>
        <w:spacing w:line="360" w:lineRule="auto"/>
        <w:jc w:val="center"/>
        <w:rPr>
          <w:rFonts w:ascii="黑体" w:hAnsi="黑体" w:eastAsia="黑体"/>
          <w:b/>
          <w:sz w:val="32"/>
          <w:szCs w:val="32"/>
          <w:lang w:val="zh-CN"/>
        </w:rPr>
        <w:sectPr>
          <w:headerReference r:id="rId3" w:type="default"/>
          <w:footerReference r:id="rId4" w:type="default"/>
          <w:pgSz w:w="16838" w:h="11906" w:orient="landscape"/>
          <w:pgMar w:top="1800" w:right="1440" w:bottom="1800" w:left="1440" w:header="851" w:footer="992" w:gutter="0"/>
          <w:pgNumType w:start="1"/>
          <w:cols w:space="425" w:num="1"/>
          <w:docGrid w:type="lines" w:linePitch="312" w:charSpace="0"/>
        </w:sectPr>
      </w:pPr>
    </w:p>
    <w:p>
      <w:pPr>
        <w:rPr>
          <w:rFonts w:hAnsi="宋体"/>
        </w:rPr>
      </w:pPr>
    </w:p>
    <w:tbl>
      <w:tblPr>
        <w:tblStyle w:val="44"/>
        <w:tblW w:w="1048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56" w:type="dxa"/>
          <w:bottom w:w="0" w:type="dxa"/>
          <w:right w:w="56" w:type="dxa"/>
        </w:tblCellMar>
      </w:tblPr>
      <w:tblGrid>
        <w:gridCol w:w="1178"/>
        <w:gridCol w:w="729"/>
        <w:gridCol w:w="514"/>
        <w:gridCol w:w="1840"/>
        <w:gridCol w:w="425"/>
        <w:gridCol w:w="996"/>
        <w:gridCol w:w="769"/>
        <w:gridCol w:w="65"/>
        <w:gridCol w:w="283"/>
        <w:gridCol w:w="424"/>
        <w:gridCol w:w="9"/>
        <w:gridCol w:w="293"/>
        <w:gridCol w:w="988"/>
        <w:gridCol w:w="144"/>
        <w:gridCol w:w="282"/>
        <w:gridCol w:w="583"/>
        <w:gridCol w:w="9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0" w:hRule="atLeast"/>
          <w:jc w:val="center"/>
        </w:trPr>
        <w:tc>
          <w:tcPr>
            <w:tcW w:w="10481" w:type="dxa"/>
            <w:gridSpan w:val="17"/>
            <w:tcBorders>
              <w:top w:val="single" w:color="auto" w:sz="4" w:space="0"/>
              <w:left w:val="single" w:color="auto" w:sz="4" w:space="0"/>
              <w:bottom w:val="single" w:color="auto" w:sz="4" w:space="0"/>
              <w:right w:val="single" w:color="auto" w:sz="4" w:space="0"/>
            </w:tcBorders>
            <w:vAlign w:val="center"/>
          </w:tcPr>
          <w:p>
            <w:pPr>
              <w:snapToGrid w:val="0"/>
              <w:jc w:val="center"/>
              <w:rPr>
                <w:rFonts w:hAnsi="宋体"/>
                <w:sz w:val="18"/>
                <w:szCs w:val="18"/>
              </w:rPr>
            </w:pPr>
            <w:r>
              <w:rPr>
                <w:rFonts w:hint="eastAsia" w:hAnsi="宋体"/>
                <w:b/>
                <w:szCs w:val="21"/>
              </w:rPr>
              <w:t xml:space="preserve">1 </w:t>
            </w:r>
            <w:r>
              <w:rPr>
                <w:rFonts w:hAnsi="宋体"/>
                <w:b/>
                <w:szCs w:val="21"/>
              </w:rPr>
              <w:t>工程基本情况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Ansi="宋体"/>
                <w:szCs w:val="21"/>
              </w:rPr>
              <w:t>项目名称</w:t>
            </w:r>
          </w:p>
        </w:tc>
        <w:tc>
          <w:tcPr>
            <w:tcW w:w="8060" w:type="dxa"/>
            <w:gridSpan w:val="14"/>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Ansi="宋体"/>
                <w:szCs w:val="21"/>
              </w:rPr>
              <w:t>建设单位</w:t>
            </w:r>
          </w:p>
        </w:tc>
        <w:tc>
          <w:tcPr>
            <w:tcW w:w="8060" w:type="dxa"/>
            <w:gridSpan w:val="14"/>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Ansi="宋体"/>
                <w:szCs w:val="21"/>
              </w:rPr>
              <w:t>建设地点</w:t>
            </w:r>
          </w:p>
        </w:tc>
        <w:tc>
          <w:tcPr>
            <w:tcW w:w="8060" w:type="dxa"/>
            <w:gridSpan w:val="14"/>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项目性质</w:t>
            </w:r>
          </w:p>
        </w:tc>
        <w:tc>
          <w:tcPr>
            <w:tcW w:w="326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rPr>
                <w:rFonts w:hAnsi="宋体"/>
                <w:szCs w:val="21"/>
              </w:rPr>
            </w:pPr>
            <w:r>
              <w:rPr>
                <w:rFonts w:hAnsi="宋体"/>
                <w:szCs w:val="21"/>
              </w:rPr>
              <w:t>□新建</w:t>
            </w:r>
            <w:r>
              <w:rPr>
                <w:rFonts w:hint="eastAsia" w:hAnsi="宋体"/>
                <w:szCs w:val="21"/>
              </w:rPr>
              <w:t>；</w:t>
            </w:r>
            <w:r>
              <w:rPr>
                <w:rFonts w:hAnsi="宋体"/>
                <w:szCs w:val="21"/>
              </w:rPr>
              <w:t>□改</w:t>
            </w:r>
            <w:r>
              <w:rPr>
                <w:rFonts w:hint="eastAsia" w:hAnsi="宋体"/>
                <w:szCs w:val="21"/>
              </w:rPr>
              <w:t>建、</w:t>
            </w:r>
            <w:r>
              <w:rPr>
                <w:rFonts w:hAnsi="宋体"/>
                <w:szCs w:val="21"/>
              </w:rPr>
              <w:t>扩建</w:t>
            </w:r>
          </w:p>
        </w:tc>
        <w:tc>
          <w:tcPr>
            <w:tcW w:w="2975" w:type="dxa"/>
            <w:gridSpan w:val="8"/>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项目用地面积（</w:t>
            </w:r>
            <w:r>
              <w:rPr>
                <w:rFonts w:hAnsi="宋体"/>
                <w:szCs w:val="21"/>
              </w:rPr>
              <w:t>m²</w:t>
            </w:r>
            <w:r>
              <w:rPr>
                <w:rFonts w:hint="eastAsia" w:hAnsi="宋体"/>
                <w:szCs w:val="21"/>
              </w:rPr>
              <w:t>）</w:t>
            </w:r>
          </w:p>
        </w:tc>
        <w:tc>
          <w:tcPr>
            <w:tcW w:w="1824"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Ansi="宋体"/>
                <w:szCs w:val="21"/>
              </w:rPr>
              <w:t>绿地率</w:t>
            </w:r>
            <w:r>
              <w:rPr>
                <w:rFonts w:hint="eastAsia" w:hAnsi="宋体"/>
                <w:szCs w:val="21"/>
              </w:rPr>
              <w:t>（%）</w:t>
            </w:r>
          </w:p>
        </w:tc>
        <w:tc>
          <w:tcPr>
            <w:tcW w:w="184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rPr>
                <w:rFonts w:hAnsi="宋体"/>
                <w:szCs w:val="21"/>
              </w:rPr>
            </w:pPr>
          </w:p>
        </w:tc>
        <w:tc>
          <w:tcPr>
            <w:tcW w:w="1421"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20" w:lineRule="exact"/>
              <w:rPr>
                <w:rFonts w:hAnsi="宋体"/>
                <w:szCs w:val="21"/>
              </w:rPr>
            </w:pPr>
            <w:r>
              <w:rPr>
                <w:rFonts w:hint="eastAsia" w:hAnsi="宋体"/>
                <w:szCs w:val="21"/>
              </w:rPr>
              <w:t>建筑密度</w:t>
            </w:r>
          </w:p>
        </w:tc>
        <w:tc>
          <w:tcPr>
            <w:tcW w:w="1541" w:type="dxa"/>
            <w:gridSpan w:val="4"/>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c>
          <w:tcPr>
            <w:tcW w:w="1434" w:type="dxa"/>
            <w:gridSpan w:val="4"/>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容积率</w:t>
            </w:r>
          </w:p>
        </w:tc>
        <w:tc>
          <w:tcPr>
            <w:tcW w:w="1824"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229" w:hRule="atLeast"/>
          <w:jc w:val="center"/>
        </w:trPr>
        <w:tc>
          <w:tcPr>
            <w:tcW w:w="2421" w:type="dxa"/>
            <w:gridSpan w:val="3"/>
            <w:vMerge w:val="restart"/>
            <w:tcBorders>
              <w:top w:val="single" w:color="auto" w:sz="4" w:space="0"/>
              <w:left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总</w:t>
            </w:r>
            <w:r>
              <w:rPr>
                <w:rFonts w:hAnsi="宋体"/>
                <w:szCs w:val="21"/>
              </w:rPr>
              <w:t>建筑面积</w:t>
            </w:r>
            <w:r>
              <w:rPr>
                <w:rFonts w:hint="eastAsia" w:hAnsi="宋体"/>
                <w:szCs w:val="21"/>
              </w:rPr>
              <w:t>（</w:t>
            </w:r>
            <w:r>
              <w:rPr>
                <w:rFonts w:hAnsi="宋体"/>
                <w:szCs w:val="21"/>
              </w:rPr>
              <w:t>m²</w:t>
            </w:r>
            <w:r>
              <w:rPr>
                <w:rFonts w:hint="eastAsia" w:hAnsi="宋体"/>
                <w:szCs w:val="21"/>
              </w:rPr>
              <w:t>）</w:t>
            </w:r>
          </w:p>
        </w:tc>
        <w:tc>
          <w:tcPr>
            <w:tcW w:w="1840" w:type="dxa"/>
            <w:vMerge w:val="restart"/>
            <w:tcBorders>
              <w:top w:val="single" w:color="auto" w:sz="4" w:space="0"/>
              <w:left w:val="single" w:color="auto" w:sz="4" w:space="0"/>
              <w:right w:val="single" w:color="auto" w:sz="4" w:space="0"/>
            </w:tcBorders>
            <w:vAlign w:val="center"/>
          </w:tcPr>
          <w:p>
            <w:pPr>
              <w:snapToGrid w:val="0"/>
              <w:spacing w:line="320" w:lineRule="exact"/>
              <w:rPr>
                <w:rFonts w:hAnsi="宋体"/>
                <w:szCs w:val="21"/>
              </w:rPr>
            </w:pPr>
          </w:p>
        </w:tc>
        <w:tc>
          <w:tcPr>
            <w:tcW w:w="1421" w:type="dxa"/>
            <w:gridSpan w:val="2"/>
            <w:vMerge w:val="restart"/>
            <w:tcBorders>
              <w:top w:val="single" w:color="auto" w:sz="4" w:space="0"/>
              <w:left w:val="single" w:color="auto" w:sz="4" w:space="0"/>
              <w:right w:val="single" w:color="auto" w:sz="4" w:space="0"/>
            </w:tcBorders>
            <w:vAlign w:val="center"/>
          </w:tcPr>
          <w:p>
            <w:pPr>
              <w:snapToGrid w:val="0"/>
              <w:spacing w:line="320" w:lineRule="exact"/>
              <w:rPr>
                <w:rFonts w:hAnsi="宋体"/>
                <w:szCs w:val="21"/>
              </w:rPr>
            </w:pPr>
            <w:r>
              <w:rPr>
                <w:rFonts w:hint="eastAsia" w:hAnsi="宋体"/>
                <w:szCs w:val="21"/>
              </w:rPr>
              <w:t>其中</w:t>
            </w:r>
          </w:p>
        </w:tc>
        <w:tc>
          <w:tcPr>
            <w:tcW w:w="2975" w:type="dxa"/>
            <w:gridSpan w:val="8"/>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Ansi="宋体"/>
                <w:szCs w:val="21"/>
              </w:rPr>
              <w:t>地下</w:t>
            </w:r>
            <w:r>
              <w:rPr>
                <w:rFonts w:hint="eastAsia" w:hAnsi="宋体"/>
                <w:szCs w:val="21"/>
              </w:rPr>
              <w:t>建筑面积（</w:t>
            </w:r>
            <w:r>
              <w:rPr>
                <w:rFonts w:hAnsi="宋体"/>
                <w:szCs w:val="21"/>
              </w:rPr>
              <w:t>m²</w:t>
            </w:r>
            <w:r>
              <w:rPr>
                <w:rFonts w:hint="eastAsia" w:hAnsi="宋体"/>
                <w:szCs w:val="21"/>
              </w:rPr>
              <w:t>）</w:t>
            </w:r>
          </w:p>
        </w:tc>
        <w:tc>
          <w:tcPr>
            <w:tcW w:w="1824"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27" w:hRule="atLeast"/>
          <w:jc w:val="center"/>
        </w:trPr>
        <w:tc>
          <w:tcPr>
            <w:tcW w:w="2421" w:type="dxa"/>
            <w:gridSpan w:val="3"/>
            <w:vMerge w:val="continue"/>
            <w:tcBorders>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c>
          <w:tcPr>
            <w:tcW w:w="1840" w:type="dxa"/>
            <w:vMerge w:val="continue"/>
            <w:tcBorders>
              <w:left w:val="single" w:color="auto" w:sz="4" w:space="0"/>
              <w:bottom w:val="single" w:color="auto" w:sz="4" w:space="0"/>
              <w:right w:val="single" w:color="auto" w:sz="4" w:space="0"/>
            </w:tcBorders>
            <w:vAlign w:val="center"/>
          </w:tcPr>
          <w:p>
            <w:pPr>
              <w:snapToGrid w:val="0"/>
              <w:spacing w:line="320" w:lineRule="exact"/>
              <w:rPr>
                <w:rFonts w:hAnsi="宋体"/>
                <w:szCs w:val="21"/>
              </w:rPr>
            </w:pPr>
          </w:p>
        </w:tc>
        <w:tc>
          <w:tcPr>
            <w:tcW w:w="1421" w:type="dxa"/>
            <w:gridSpan w:val="2"/>
            <w:vMerge w:val="continue"/>
            <w:tcBorders>
              <w:left w:val="single" w:color="auto" w:sz="4" w:space="0"/>
              <w:bottom w:val="single" w:color="auto" w:sz="4" w:space="0"/>
              <w:right w:val="single" w:color="auto" w:sz="4" w:space="0"/>
            </w:tcBorders>
            <w:vAlign w:val="center"/>
          </w:tcPr>
          <w:p>
            <w:pPr>
              <w:snapToGrid w:val="0"/>
              <w:spacing w:line="320" w:lineRule="exact"/>
              <w:rPr>
                <w:rFonts w:hAnsi="宋体"/>
                <w:szCs w:val="21"/>
              </w:rPr>
            </w:pPr>
          </w:p>
        </w:tc>
        <w:tc>
          <w:tcPr>
            <w:tcW w:w="2975" w:type="dxa"/>
            <w:gridSpan w:val="8"/>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Ansi="宋体"/>
                <w:szCs w:val="21"/>
              </w:rPr>
              <w:t>地上</w:t>
            </w:r>
            <w:r>
              <w:rPr>
                <w:rFonts w:hint="eastAsia" w:hAnsi="宋体"/>
                <w:szCs w:val="21"/>
              </w:rPr>
              <w:t>建筑面积（</w:t>
            </w:r>
            <w:r>
              <w:rPr>
                <w:rFonts w:hAnsi="宋体"/>
                <w:szCs w:val="21"/>
              </w:rPr>
              <w:t>m²</w:t>
            </w:r>
            <w:r>
              <w:rPr>
                <w:rFonts w:hint="eastAsia" w:hAnsi="宋体"/>
                <w:szCs w:val="21"/>
              </w:rPr>
              <w:t>）</w:t>
            </w:r>
          </w:p>
        </w:tc>
        <w:tc>
          <w:tcPr>
            <w:tcW w:w="1824"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居住建筑面积（</w:t>
            </w:r>
            <w:r>
              <w:rPr>
                <w:rFonts w:hAnsi="宋体"/>
                <w:szCs w:val="21"/>
              </w:rPr>
              <w:t>m²</w:t>
            </w:r>
            <w:r>
              <w:rPr>
                <w:rFonts w:hint="eastAsia" w:hAnsi="宋体"/>
                <w:szCs w:val="21"/>
              </w:rPr>
              <w:t>）</w:t>
            </w:r>
          </w:p>
        </w:tc>
        <w:tc>
          <w:tcPr>
            <w:tcW w:w="184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rPr>
                <w:rFonts w:hAnsi="宋体"/>
                <w:szCs w:val="21"/>
              </w:rPr>
            </w:pPr>
          </w:p>
        </w:tc>
        <w:tc>
          <w:tcPr>
            <w:tcW w:w="1421"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20" w:lineRule="exact"/>
              <w:rPr>
                <w:rFonts w:hAnsi="宋体"/>
                <w:szCs w:val="21"/>
              </w:rPr>
            </w:pPr>
            <w:r>
              <w:rPr>
                <w:rFonts w:hint="eastAsia" w:hAnsi="宋体"/>
                <w:szCs w:val="21"/>
              </w:rPr>
              <w:t>总户数（户）</w:t>
            </w:r>
          </w:p>
        </w:tc>
        <w:tc>
          <w:tcPr>
            <w:tcW w:w="1550" w:type="dxa"/>
            <w:gridSpan w:val="5"/>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c>
          <w:tcPr>
            <w:tcW w:w="1425"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配套公建</w:t>
            </w:r>
          </w:p>
          <w:p>
            <w:pPr>
              <w:snapToGrid w:val="0"/>
              <w:spacing w:line="320" w:lineRule="exact"/>
              <w:jc w:val="center"/>
              <w:rPr>
                <w:rFonts w:hAnsi="宋体"/>
                <w:szCs w:val="21"/>
              </w:rPr>
            </w:pPr>
            <w:r>
              <w:rPr>
                <w:rFonts w:hint="eastAsia" w:hAnsi="宋体"/>
                <w:szCs w:val="21"/>
              </w:rPr>
              <w:t>建筑面积（</w:t>
            </w:r>
            <w:r>
              <w:rPr>
                <w:rFonts w:hAnsi="宋体"/>
                <w:szCs w:val="21"/>
              </w:rPr>
              <w:t>m²</w:t>
            </w:r>
            <w:r>
              <w:rPr>
                <w:rFonts w:hint="eastAsia" w:hAnsi="宋体"/>
                <w:szCs w:val="21"/>
              </w:rPr>
              <w:t>）</w:t>
            </w:r>
          </w:p>
        </w:tc>
        <w:tc>
          <w:tcPr>
            <w:tcW w:w="1824"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Ansi="宋体"/>
                <w:szCs w:val="21"/>
              </w:rPr>
              <w:t>建筑高度</w:t>
            </w:r>
            <w:r>
              <w:rPr>
                <w:rFonts w:hint="eastAsia" w:hAnsi="宋体"/>
                <w:szCs w:val="21"/>
              </w:rPr>
              <w:t>（m）</w:t>
            </w:r>
          </w:p>
        </w:tc>
        <w:tc>
          <w:tcPr>
            <w:tcW w:w="184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rPr>
                <w:rFonts w:hAnsi="宋体"/>
                <w:szCs w:val="21"/>
              </w:rPr>
            </w:pPr>
          </w:p>
        </w:tc>
        <w:tc>
          <w:tcPr>
            <w:tcW w:w="1421"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20" w:lineRule="exact"/>
              <w:rPr>
                <w:rFonts w:hAnsi="宋体"/>
                <w:szCs w:val="21"/>
              </w:rPr>
            </w:pPr>
            <w:r>
              <w:rPr>
                <w:rFonts w:hint="eastAsia" w:hAnsi="宋体"/>
                <w:szCs w:val="21"/>
              </w:rPr>
              <w:t>建筑主要朝向</w:t>
            </w:r>
          </w:p>
        </w:tc>
        <w:tc>
          <w:tcPr>
            <w:tcW w:w="4799" w:type="dxa"/>
            <w:gridSpan w:val="11"/>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用地范围内单体建筑数量（幢）</w:t>
            </w:r>
          </w:p>
        </w:tc>
        <w:tc>
          <w:tcPr>
            <w:tcW w:w="184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ind w:firstLine="840" w:firstLineChars="400"/>
              <w:rPr>
                <w:rFonts w:hAnsi="宋体"/>
                <w:szCs w:val="21"/>
              </w:rPr>
            </w:pPr>
          </w:p>
        </w:tc>
        <w:tc>
          <w:tcPr>
            <w:tcW w:w="4396" w:type="dxa"/>
            <w:gridSpan w:val="10"/>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本次设计单体数量（幢）</w:t>
            </w:r>
          </w:p>
        </w:tc>
        <w:tc>
          <w:tcPr>
            <w:tcW w:w="1824"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565" w:hRule="atLeast"/>
          <w:jc w:val="center"/>
        </w:trPr>
        <w:tc>
          <w:tcPr>
            <w:tcW w:w="242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Ansi="宋体"/>
                <w:szCs w:val="21"/>
              </w:rPr>
              <w:t>建筑层数</w:t>
            </w:r>
            <w:r>
              <w:rPr>
                <w:rFonts w:hint="eastAsia" w:hAnsi="宋体"/>
                <w:szCs w:val="21"/>
              </w:rPr>
              <w:t>（层）</w:t>
            </w:r>
          </w:p>
        </w:tc>
        <w:tc>
          <w:tcPr>
            <w:tcW w:w="184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c>
          <w:tcPr>
            <w:tcW w:w="6220" w:type="dxa"/>
            <w:gridSpan w:val="13"/>
            <w:tcBorders>
              <w:top w:val="single" w:color="auto" w:sz="4" w:space="0"/>
              <w:left w:val="single" w:color="auto" w:sz="4" w:space="0"/>
              <w:bottom w:val="single" w:color="auto" w:sz="4" w:space="0"/>
              <w:right w:val="single" w:color="auto" w:sz="4" w:space="0"/>
            </w:tcBorders>
            <w:vAlign w:val="center"/>
          </w:tcPr>
          <w:p>
            <w:pPr>
              <w:snapToGrid w:val="0"/>
              <w:spacing w:line="320" w:lineRule="exact"/>
              <w:rPr>
                <w:rFonts w:hAnsi="宋体"/>
                <w:szCs w:val="21"/>
              </w:rPr>
            </w:pPr>
            <w:r>
              <w:rPr>
                <w:rFonts w:hint="eastAsia" w:hAnsi="宋体"/>
                <w:szCs w:val="21"/>
              </w:rPr>
              <w:t>其中</w:t>
            </w:r>
            <w:r>
              <w:rPr>
                <w:rFonts w:hAnsi="宋体"/>
                <w:szCs w:val="21"/>
              </w:rPr>
              <w:t>地上</w:t>
            </w:r>
            <w:r>
              <w:rPr>
                <w:rFonts w:hint="eastAsia" w:hAnsi="宋体"/>
                <w:szCs w:val="21"/>
              </w:rPr>
              <w:t xml:space="preserve">：        </w:t>
            </w:r>
            <w:r>
              <w:rPr>
                <w:rFonts w:hAnsi="宋体"/>
                <w:szCs w:val="21"/>
              </w:rPr>
              <w:t>层</w:t>
            </w:r>
            <w:r>
              <w:rPr>
                <w:rFonts w:hint="eastAsia" w:hAnsi="宋体"/>
                <w:szCs w:val="21"/>
              </w:rPr>
              <w:t>；</w:t>
            </w:r>
            <w:r>
              <w:rPr>
                <w:rFonts w:hAnsi="宋体"/>
                <w:szCs w:val="21"/>
              </w:rPr>
              <w:t>地</w:t>
            </w:r>
            <w:r>
              <w:rPr>
                <w:rFonts w:hint="eastAsia" w:hAnsi="宋体"/>
                <w:szCs w:val="21"/>
              </w:rPr>
              <w:t xml:space="preserve">下：         </w:t>
            </w:r>
            <w:r>
              <w:rPr>
                <w:rFonts w:hAnsi="宋体"/>
                <w:szCs w:val="21"/>
              </w:rPr>
              <w:t>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top w:val="single" w:color="auto" w:sz="4" w:space="0"/>
              <w:left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项目基准建筑规模（倍）</w:t>
            </w:r>
          </w:p>
        </w:tc>
        <w:tc>
          <w:tcPr>
            <w:tcW w:w="184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c>
          <w:tcPr>
            <w:tcW w:w="2255" w:type="dxa"/>
            <w:gridSpan w:val="4"/>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c>
          <w:tcPr>
            <w:tcW w:w="3965" w:type="dxa"/>
            <w:gridSpan w:val="9"/>
            <w:tcBorders>
              <w:top w:val="single" w:color="auto" w:sz="4" w:space="0"/>
              <w:left w:val="single" w:color="auto" w:sz="4" w:space="0"/>
              <w:right w:val="single" w:color="auto" w:sz="4" w:space="0"/>
            </w:tcBorders>
            <w:vAlign w:val="center"/>
          </w:tcPr>
          <w:p>
            <w:pPr>
              <w:snapToGrid w:val="0"/>
              <w:spacing w:line="400" w:lineRule="exact"/>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top w:val="single" w:color="auto" w:sz="4" w:space="0"/>
              <w:left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设计使用年限</w:t>
            </w:r>
          </w:p>
        </w:tc>
        <w:tc>
          <w:tcPr>
            <w:tcW w:w="1840" w:type="dxa"/>
            <w:tcBorders>
              <w:top w:val="single" w:color="auto" w:sz="4" w:space="0"/>
              <w:left w:val="single" w:color="auto" w:sz="4" w:space="0"/>
              <w:right w:val="single" w:color="auto" w:sz="4" w:space="0"/>
            </w:tcBorders>
            <w:vAlign w:val="center"/>
          </w:tcPr>
          <w:p>
            <w:pPr>
              <w:snapToGrid w:val="0"/>
              <w:spacing w:line="400" w:lineRule="exact"/>
              <w:jc w:val="center"/>
              <w:rPr>
                <w:rFonts w:hAnsi="宋体"/>
                <w:szCs w:val="21"/>
              </w:rPr>
            </w:pPr>
          </w:p>
        </w:tc>
        <w:tc>
          <w:tcPr>
            <w:tcW w:w="2255" w:type="dxa"/>
            <w:gridSpan w:val="4"/>
            <w:tcBorders>
              <w:top w:val="single" w:color="auto" w:sz="4" w:space="0"/>
              <w:left w:val="single" w:color="auto" w:sz="4" w:space="0"/>
              <w:right w:val="single" w:color="auto" w:sz="4" w:space="0"/>
            </w:tcBorders>
            <w:vAlign w:val="center"/>
          </w:tcPr>
          <w:p>
            <w:pPr>
              <w:snapToGrid w:val="0"/>
              <w:spacing w:line="400" w:lineRule="exact"/>
              <w:jc w:val="center"/>
              <w:rPr>
                <w:rFonts w:hAnsi="宋体"/>
                <w:szCs w:val="21"/>
              </w:rPr>
            </w:pPr>
            <w:r>
              <w:rPr>
                <w:rFonts w:hint="eastAsia" w:hAnsi="宋体"/>
                <w:szCs w:val="21"/>
              </w:rPr>
              <w:t>结构安全等级</w:t>
            </w:r>
          </w:p>
        </w:tc>
        <w:tc>
          <w:tcPr>
            <w:tcW w:w="3965" w:type="dxa"/>
            <w:gridSpan w:val="9"/>
            <w:tcBorders>
              <w:top w:val="single" w:color="auto" w:sz="4" w:space="0"/>
              <w:left w:val="single" w:color="auto" w:sz="4" w:space="0"/>
              <w:right w:val="single" w:color="auto" w:sz="4" w:space="0"/>
            </w:tcBorders>
            <w:vAlign w:val="center"/>
          </w:tcPr>
          <w:p>
            <w:pPr>
              <w:snapToGrid w:val="0"/>
              <w:spacing w:line="400" w:lineRule="exact"/>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抗震设防类别</w:t>
            </w:r>
          </w:p>
        </w:tc>
        <w:tc>
          <w:tcPr>
            <w:tcW w:w="1840"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left"/>
              <w:rPr>
                <w:rFonts w:hAnsi="宋体"/>
                <w:szCs w:val="21"/>
              </w:rPr>
            </w:pPr>
          </w:p>
        </w:tc>
        <w:tc>
          <w:tcPr>
            <w:tcW w:w="2255" w:type="dxa"/>
            <w:gridSpan w:val="4"/>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抗震设防烈度</w:t>
            </w:r>
          </w:p>
        </w:tc>
        <w:tc>
          <w:tcPr>
            <w:tcW w:w="3965" w:type="dxa"/>
            <w:gridSpan w:val="9"/>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left"/>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结构形式</w:t>
            </w:r>
          </w:p>
        </w:tc>
        <w:tc>
          <w:tcPr>
            <w:tcW w:w="8060" w:type="dxa"/>
            <w:gridSpan w:val="14"/>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left"/>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vMerge w:val="restart"/>
            <w:tcBorders>
              <w:top w:val="single" w:color="auto" w:sz="4" w:space="0"/>
              <w:left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建筑工业化技术</w:t>
            </w:r>
          </w:p>
        </w:tc>
        <w:tc>
          <w:tcPr>
            <w:tcW w:w="8060" w:type="dxa"/>
            <w:gridSpan w:val="14"/>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left"/>
              <w:rPr>
                <w:rFonts w:hAnsi="宋体"/>
                <w:szCs w:val="21"/>
              </w:rPr>
            </w:pPr>
            <w:r>
              <w:rPr>
                <w:rFonts w:hint="eastAsia" w:hAnsi="宋体"/>
                <w:szCs w:val="21"/>
              </w:rPr>
              <w:t>符合《装配式建筑评价标准》DB</w:t>
            </w:r>
            <w:r>
              <w:rPr>
                <w:rFonts w:hAnsi="宋体"/>
                <w:szCs w:val="21"/>
              </w:rPr>
              <w:t xml:space="preserve"> 33</w:t>
            </w:r>
            <w:r>
              <w:rPr>
                <w:rFonts w:hint="eastAsia" w:hAnsi="宋体"/>
                <w:szCs w:val="21"/>
              </w:rPr>
              <w:t>/</w:t>
            </w:r>
            <w:r>
              <w:rPr>
                <w:rFonts w:hAnsi="宋体"/>
                <w:szCs w:val="21"/>
              </w:rPr>
              <w:t>T 1165</w:t>
            </w:r>
            <w:r>
              <w:rPr>
                <w:rFonts w:hint="eastAsia" w:hAnsi="宋体"/>
                <w:szCs w:val="21"/>
              </w:rPr>
              <w:t>的规定：</w:t>
            </w:r>
            <w:r>
              <w:rPr>
                <w:rFonts w:hAnsi="宋体"/>
                <w:szCs w:val="21"/>
              </w:rPr>
              <w:t>□</w:t>
            </w:r>
            <w:r>
              <w:rPr>
                <w:rFonts w:hint="eastAsia" w:hAnsi="宋体"/>
                <w:szCs w:val="21"/>
              </w:rPr>
              <w:t xml:space="preserve">是； </w:t>
            </w:r>
            <w:r>
              <w:rPr>
                <w:rFonts w:hAnsi="宋体"/>
                <w:szCs w:val="21"/>
              </w:rPr>
              <w:t xml:space="preserve">  □</w:t>
            </w:r>
            <w:r>
              <w:rPr>
                <w:rFonts w:hint="eastAsia" w:hAnsi="宋体"/>
                <w:szCs w:val="21"/>
              </w:rPr>
              <w:t>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vMerge w:val="continue"/>
            <w:tcBorders>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c>
          <w:tcPr>
            <w:tcW w:w="2265"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20" w:lineRule="exact"/>
              <w:ind w:left="56"/>
              <w:jc w:val="left"/>
              <w:rPr>
                <w:rFonts w:hAnsi="宋体"/>
                <w:szCs w:val="21"/>
              </w:rPr>
            </w:pPr>
            <w:r>
              <w:rPr>
                <w:rFonts w:hint="eastAsia" w:hAnsi="宋体"/>
                <w:szCs w:val="21"/>
              </w:rPr>
              <w:t>建筑的装配率（％）</w:t>
            </w:r>
          </w:p>
        </w:tc>
        <w:tc>
          <w:tcPr>
            <w:tcW w:w="996" w:type="dxa"/>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left"/>
              <w:rPr>
                <w:rFonts w:hAnsi="宋体"/>
                <w:szCs w:val="21"/>
              </w:rPr>
            </w:pPr>
          </w:p>
        </w:tc>
        <w:tc>
          <w:tcPr>
            <w:tcW w:w="4799" w:type="dxa"/>
            <w:gridSpan w:val="11"/>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left"/>
              <w:rPr>
                <w:rFonts w:hAnsi="宋体"/>
                <w:szCs w:val="21"/>
              </w:rPr>
            </w:pPr>
            <w:r>
              <w:rPr>
                <w:rFonts w:hint="eastAsia" w:hAnsi="宋体"/>
                <w:szCs w:val="21"/>
              </w:rPr>
              <w:t>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vMerge w:val="restart"/>
            <w:tcBorders>
              <w:left w:val="single" w:color="auto" w:sz="4" w:space="0"/>
              <w:right w:val="single" w:color="auto" w:sz="4" w:space="0"/>
            </w:tcBorders>
            <w:vAlign w:val="center"/>
          </w:tcPr>
          <w:p>
            <w:pPr>
              <w:snapToGrid w:val="0"/>
              <w:jc w:val="center"/>
              <w:rPr>
                <w:rFonts w:hAnsi="宋体"/>
                <w:szCs w:val="21"/>
              </w:rPr>
            </w:pPr>
            <w:r>
              <w:rPr>
                <w:rFonts w:hint="eastAsia" w:hAnsi="宋体"/>
                <w:szCs w:val="21"/>
              </w:rPr>
              <w:t>低影响开发控制项指标</w:t>
            </w:r>
          </w:p>
        </w:tc>
        <w:tc>
          <w:tcPr>
            <w:tcW w:w="2265" w:type="dxa"/>
            <w:gridSpan w:val="2"/>
            <w:tcBorders>
              <w:top w:val="single" w:color="auto" w:sz="4" w:space="0"/>
              <w:left w:val="single" w:color="auto" w:sz="4" w:space="0"/>
              <w:bottom w:val="single" w:color="auto" w:sz="4" w:space="0"/>
              <w:right w:val="single" w:color="auto" w:sz="4" w:space="0"/>
            </w:tcBorders>
            <w:vAlign w:val="center"/>
          </w:tcPr>
          <w:p>
            <w:pPr>
              <w:snapToGrid w:val="0"/>
              <w:jc w:val="left"/>
              <w:rPr>
                <w:rFonts w:hAnsi="宋体"/>
                <w:szCs w:val="21"/>
              </w:rPr>
            </w:pPr>
            <w:r>
              <w:rPr>
                <w:rFonts w:hint="eastAsia" w:hAnsi="宋体"/>
                <w:szCs w:val="21"/>
              </w:rPr>
              <w:t>雨水年径流总量</w:t>
            </w:r>
          </w:p>
          <w:p>
            <w:pPr>
              <w:snapToGrid w:val="0"/>
              <w:jc w:val="left"/>
              <w:rPr>
                <w:rFonts w:hAnsi="宋体"/>
                <w:szCs w:val="21"/>
              </w:rPr>
            </w:pPr>
            <w:r>
              <w:rPr>
                <w:rFonts w:hint="eastAsia" w:hAnsi="宋体"/>
                <w:szCs w:val="21"/>
              </w:rPr>
              <w:t>控制率（％）</w:t>
            </w:r>
          </w:p>
        </w:tc>
        <w:tc>
          <w:tcPr>
            <w:tcW w:w="996" w:type="dxa"/>
            <w:tcBorders>
              <w:top w:val="single" w:color="auto" w:sz="4" w:space="0"/>
              <w:left w:val="single" w:color="auto" w:sz="4" w:space="0"/>
              <w:bottom w:val="single" w:color="auto" w:sz="4" w:space="0"/>
              <w:right w:val="single" w:color="auto" w:sz="4" w:space="0"/>
            </w:tcBorders>
            <w:vAlign w:val="center"/>
          </w:tcPr>
          <w:p>
            <w:pPr>
              <w:snapToGrid w:val="0"/>
              <w:jc w:val="left"/>
              <w:rPr>
                <w:rFonts w:hAnsi="宋体"/>
                <w:szCs w:val="21"/>
              </w:rPr>
            </w:pPr>
          </w:p>
        </w:tc>
        <w:tc>
          <w:tcPr>
            <w:tcW w:w="1843" w:type="dxa"/>
            <w:gridSpan w:val="6"/>
            <w:tcBorders>
              <w:top w:val="single" w:color="auto" w:sz="4" w:space="0"/>
              <w:left w:val="single" w:color="auto" w:sz="4" w:space="0"/>
              <w:bottom w:val="single" w:color="auto" w:sz="4" w:space="0"/>
              <w:right w:val="single" w:color="auto" w:sz="4" w:space="0"/>
            </w:tcBorders>
            <w:vAlign w:val="center"/>
          </w:tcPr>
          <w:p>
            <w:pPr>
              <w:snapToGrid w:val="0"/>
              <w:jc w:val="left"/>
              <w:rPr>
                <w:rFonts w:hAnsi="宋体"/>
                <w:szCs w:val="21"/>
              </w:rPr>
            </w:pPr>
            <w:r>
              <w:rPr>
                <w:rFonts w:hint="eastAsia" w:hAnsi="宋体"/>
                <w:szCs w:val="21"/>
              </w:rPr>
              <w:t>外排雨水综合径流系数</w:t>
            </w:r>
          </w:p>
        </w:tc>
        <w:tc>
          <w:tcPr>
            <w:tcW w:w="988" w:type="dxa"/>
            <w:tcBorders>
              <w:top w:val="single" w:color="auto" w:sz="4" w:space="0"/>
              <w:left w:val="single" w:color="auto" w:sz="4" w:space="0"/>
              <w:bottom w:val="single" w:color="auto" w:sz="4" w:space="0"/>
              <w:right w:val="single" w:color="auto" w:sz="4" w:space="0"/>
            </w:tcBorders>
            <w:vAlign w:val="center"/>
          </w:tcPr>
          <w:p>
            <w:pPr>
              <w:snapToGrid w:val="0"/>
              <w:jc w:val="left"/>
              <w:rPr>
                <w:rFonts w:hAnsi="宋体"/>
                <w:szCs w:val="21"/>
              </w:rPr>
            </w:pPr>
          </w:p>
        </w:tc>
        <w:tc>
          <w:tcPr>
            <w:tcW w:w="1009" w:type="dxa"/>
            <w:gridSpan w:val="3"/>
            <w:tcBorders>
              <w:top w:val="single" w:color="auto" w:sz="4" w:space="0"/>
              <w:left w:val="single" w:color="auto" w:sz="4" w:space="0"/>
              <w:bottom w:val="single" w:color="auto" w:sz="4" w:space="0"/>
              <w:right w:val="single" w:color="auto" w:sz="4" w:space="0"/>
            </w:tcBorders>
            <w:vAlign w:val="center"/>
          </w:tcPr>
          <w:p>
            <w:pPr>
              <w:snapToGrid w:val="0"/>
              <w:jc w:val="left"/>
              <w:rPr>
                <w:rFonts w:hAnsi="宋体"/>
                <w:szCs w:val="21"/>
              </w:rPr>
            </w:pPr>
            <w:r>
              <w:rPr>
                <w:rFonts w:hAnsi="宋体"/>
                <w:szCs w:val="21"/>
              </w:rPr>
              <w:t>SS去除率</w:t>
            </w:r>
            <w:r>
              <w:rPr>
                <w:rFonts w:hint="eastAsia" w:hAnsi="宋体"/>
                <w:szCs w:val="21"/>
              </w:rPr>
              <w:t>（％）</w:t>
            </w:r>
          </w:p>
        </w:tc>
        <w:tc>
          <w:tcPr>
            <w:tcW w:w="959" w:type="dxa"/>
            <w:tcBorders>
              <w:top w:val="single" w:color="auto" w:sz="4" w:space="0"/>
              <w:left w:val="single" w:color="auto" w:sz="4" w:space="0"/>
              <w:bottom w:val="single" w:color="auto" w:sz="4" w:space="0"/>
              <w:right w:val="single" w:color="auto" w:sz="4" w:space="0"/>
            </w:tcBorders>
            <w:vAlign w:val="center"/>
          </w:tcPr>
          <w:p>
            <w:pPr>
              <w:snapToGrid w:val="0"/>
              <w:ind w:left="141"/>
              <w:jc w:val="left"/>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vMerge w:val="continue"/>
            <w:tcBorders>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c>
          <w:tcPr>
            <w:tcW w:w="8060" w:type="dxa"/>
            <w:gridSpan w:val="14"/>
            <w:tcBorders>
              <w:top w:val="single" w:color="auto" w:sz="4" w:space="0"/>
              <w:left w:val="single" w:color="auto" w:sz="4" w:space="0"/>
              <w:bottom w:val="single" w:color="auto" w:sz="4" w:space="0"/>
              <w:right w:val="single" w:color="auto" w:sz="4" w:space="0"/>
            </w:tcBorders>
            <w:vAlign w:val="center"/>
          </w:tcPr>
          <w:p>
            <w:pPr>
              <w:snapToGrid w:val="0"/>
              <w:spacing w:line="320" w:lineRule="exact"/>
              <w:ind w:left="56"/>
              <w:jc w:val="left"/>
              <w:rPr>
                <w:rFonts w:hAnsi="宋体"/>
                <w:szCs w:val="21"/>
              </w:rPr>
            </w:pPr>
            <w:r>
              <w:rPr>
                <w:rFonts w:hint="eastAsia" w:hAnsi="宋体"/>
                <w:szCs w:val="21"/>
              </w:rPr>
              <w:t>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土建和装修一体化</w:t>
            </w:r>
          </w:p>
        </w:tc>
        <w:tc>
          <w:tcPr>
            <w:tcW w:w="4095" w:type="dxa"/>
            <w:gridSpan w:val="5"/>
            <w:tcBorders>
              <w:top w:val="single" w:color="auto" w:sz="4" w:space="0"/>
              <w:left w:val="single" w:color="auto" w:sz="4" w:space="0"/>
              <w:bottom w:val="single" w:color="auto" w:sz="4" w:space="0"/>
              <w:right w:val="single" w:color="auto" w:sz="4" w:space="0"/>
            </w:tcBorders>
            <w:vAlign w:val="center"/>
          </w:tcPr>
          <w:p>
            <w:pPr>
              <w:snapToGrid w:val="0"/>
              <w:spacing w:line="320" w:lineRule="exact"/>
              <w:ind w:left="56"/>
              <w:jc w:val="left"/>
              <w:rPr>
                <w:rFonts w:hAnsi="宋体"/>
                <w:szCs w:val="21"/>
              </w:rPr>
            </w:pPr>
            <w:r>
              <w:rPr>
                <w:rFonts w:hint="eastAsia" w:hAnsi="宋体"/>
                <w:szCs w:val="21"/>
              </w:rPr>
              <w:t>项目进行全装修设计：</w:t>
            </w:r>
            <w:r>
              <w:rPr>
                <w:rFonts w:hAnsi="宋体"/>
                <w:szCs w:val="21"/>
              </w:rPr>
              <w:t>□</w:t>
            </w:r>
            <w:r>
              <w:rPr>
                <w:rFonts w:hint="eastAsia" w:hAnsi="宋体"/>
                <w:szCs w:val="21"/>
              </w:rPr>
              <w:t xml:space="preserve">是； </w:t>
            </w:r>
            <w:r>
              <w:rPr>
                <w:rFonts w:hAnsi="宋体"/>
                <w:szCs w:val="21"/>
              </w:rPr>
              <w:t xml:space="preserve">  □</w:t>
            </w:r>
            <w:r>
              <w:rPr>
                <w:rFonts w:hint="eastAsia" w:hAnsi="宋体"/>
                <w:szCs w:val="21"/>
              </w:rPr>
              <w:t>否；</w:t>
            </w:r>
          </w:p>
        </w:tc>
        <w:tc>
          <w:tcPr>
            <w:tcW w:w="2423" w:type="dxa"/>
            <w:gridSpan w:val="7"/>
            <w:tcBorders>
              <w:top w:val="single" w:color="auto" w:sz="4" w:space="0"/>
              <w:left w:val="single" w:color="auto" w:sz="4" w:space="0"/>
              <w:bottom w:val="single" w:color="auto" w:sz="4" w:space="0"/>
              <w:right w:val="single" w:color="auto" w:sz="4" w:space="0"/>
            </w:tcBorders>
            <w:vAlign w:val="center"/>
          </w:tcPr>
          <w:p>
            <w:pPr>
              <w:snapToGrid w:val="0"/>
              <w:spacing w:line="320" w:lineRule="exact"/>
              <w:ind w:firstLine="210" w:firstLineChars="100"/>
              <w:jc w:val="left"/>
              <w:rPr>
                <w:rFonts w:hAnsi="宋体"/>
                <w:szCs w:val="21"/>
              </w:rPr>
            </w:pPr>
            <w:r>
              <w:rPr>
                <w:rFonts w:hint="eastAsia" w:hAnsi="宋体"/>
                <w:szCs w:val="21"/>
              </w:rPr>
              <w:t>项目基准建筑规模（倍）</w:t>
            </w:r>
          </w:p>
        </w:tc>
        <w:tc>
          <w:tcPr>
            <w:tcW w:w="1542" w:type="dxa"/>
            <w:gridSpan w:val="2"/>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left"/>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空调形式</w:t>
            </w:r>
          </w:p>
        </w:tc>
        <w:tc>
          <w:tcPr>
            <w:tcW w:w="8060" w:type="dxa"/>
            <w:gridSpan w:val="14"/>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left"/>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2421" w:type="dxa"/>
            <w:gridSpan w:val="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Ansi="宋体"/>
                <w:szCs w:val="21"/>
              </w:rPr>
              <w:t>项目投资(万元)</w:t>
            </w:r>
          </w:p>
        </w:tc>
        <w:tc>
          <w:tcPr>
            <w:tcW w:w="4030" w:type="dxa"/>
            <w:gridSpan w:val="4"/>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left"/>
              <w:rPr>
                <w:rFonts w:hAnsi="宋体"/>
                <w:szCs w:val="21"/>
              </w:rPr>
            </w:pPr>
          </w:p>
        </w:tc>
        <w:tc>
          <w:tcPr>
            <w:tcW w:w="4030" w:type="dxa"/>
            <w:gridSpan w:val="10"/>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left"/>
              <w:rPr>
                <w:rFonts w:hAnsi="宋体"/>
                <w:szCs w:val="21"/>
              </w:rPr>
            </w:pPr>
            <w:r>
              <w:rPr>
                <w:rFonts w:hAnsi="宋体"/>
                <w:szCs w:val="21"/>
              </w:rPr>
              <w:t>□</w:t>
            </w:r>
            <w:r>
              <w:rPr>
                <w:rFonts w:hint="eastAsia" w:hAnsi="宋体"/>
                <w:szCs w:val="21"/>
              </w:rPr>
              <w:t>政府投资或以政府投资为主；</w:t>
            </w:r>
          </w:p>
          <w:p>
            <w:pPr>
              <w:snapToGrid w:val="0"/>
              <w:spacing w:line="320" w:lineRule="exact"/>
              <w:jc w:val="left"/>
              <w:rPr>
                <w:rFonts w:hAnsi="宋体"/>
                <w:szCs w:val="21"/>
              </w:rPr>
            </w:pPr>
            <w:r>
              <w:rPr>
                <w:rFonts w:hAnsi="宋体"/>
                <w:szCs w:val="21"/>
              </w:rPr>
              <w:t>□</w:t>
            </w:r>
            <w:r>
              <w:rPr>
                <w:rFonts w:hint="eastAsia" w:hAnsi="宋体"/>
                <w:szCs w:val="21"/>
              </w:rPr>
              <w:t>国家机关办公建筑；</w:t>
            </w:r>
            <w:r>
              <w:rPr>
                <w:rFonts w:hAnsi="宋体"/>
                <w:szCs w:val="21"/>
              </w:rPr>
              <w:t>□</w:t>
            </w:r>
            <w:r>
              <w:rPr>
                <w:rFonts w:hint="eastAsia" w:hAnsi="宋体"/>
                <w:szCs w:val="21"/>
              </w:rPr>
              <w:t>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4261" w:type="dxa"/>
            <w:gridSpan w:val="4"/>
            <w:tcBorders>
              <w:top w:val="single" w:color="auto" w:sz="4" w:space="0"/>
              <w:left w:val="single" w:color="auto" w:sz="4" w:space="0"/>
              <w:bottom w:val="single" w:color="auto" w:sz="4" w:space="0"/>
              <w:right w:val="single" w:color="auto" w:sz="4" w:space="0"/>
            </w:tcBorders>
            <w:vAlign w:val="center"/>
          </w:tcPr>
          <w:p>
            <w:pPr>
              <w:snapToGrid w:val="0"/>
              <w:jc w:val="center"/>
              <w:rPr>
                <w:rFonts w:hAnsi="宋体"/>
                <w:szCs w:val="21"/>
              </w:rPr>
            </w:pPr>
            <w:r>
              <w:rPr>
                <w:rFonts w:hAnsi="宋体"/>
                <w:szCs w:val="21"/>
              </w:rPr>
              <w:t>可达绿色建筑</w:t>
            </w:r>
            <w:r>
              <w:rPr>
                <w:rFonts w:hint="eastAsia" w:hAnsi="宋体"/>
                <w:szCs w:val="21"/>
              </w:rPr>
              <w:t>预评价</w:t>
            </w:r>
            <w:r>
              <w:rPr>
                <w:rFonts w:hAnsi="宋体"/>
                <w:szCs w:val="21"/>
              </w:rPr>
              <w:t>等级</w:t>
            </w:r>
          </w:p>
          <w:p>
            <w:pPr>
              <w:snapToGrid w:val="0"/>
              <w:spacing w:line="320" w:lineRule="exact"/>
              <w:jc w:val="center"/>
              <w:rPr>
                <w:rFonts w:hAnsi="宋体"/>
                <w:szCs w:val="21"/>
              </w:rPr>
            </w:pPr>
            <w:r>
              <w:rPr>
                <w:rFonts w:hint="eastAsia" w:hAnsi="宋体"/>
                <w:szCs w:val="21"/>
              </w:rPr>
              <w:t>（</w:t>
            </w:r>
            <w:r>
              <w:rPr>
                <w:rFonts w:hAnsi="宋体"/>
                <w:szCs w:val="21"/>
              </w:rPr>
              <w:t>参照</w:t>
            </w:r>
            <w:r>
              <w:rPr>
                <w:rFonts w:hint="eastAsia" w:hAnsi="宋体"/>
                <w:szCs w:val="21"/>
              </w:rPr>
              <w:t>《绿色建筑评价标准》</w:t>
            </w:r>
          </w:p>
          <w:p>
            <w:pPr>
              <w:snapToGrid w:val="0"/>
              <w:spacing w:line="320" w:lineRule="exact"/>
              <w:jc w:val="center"/>
              <w:rPr>
                <w:rFonts w:hAnsi="宋体"/>
                <w:szCs w:val="21"/>
              </w:rPr>
            </w:pPr>
            <w:r>
              <w:rPr>
                <w:rFonts w:hAnsi="宋体"/>
                <w:szCs w:val="21"/>
              </w:rPr>
              <w:t>GB/T 50378</w:t>
            </w:r>
            <w:r>
              <w:rPr>
                <w:rFonts w:hint="eastAsia" w:hAnsi="宋体"/>
                <w:szCs w:val="21"/>
              </w:rPr>
              <w:t>-2019）</w:t>
            </w:r>
          </w:p>
        </w:tc>
        <w:tc>
          <w:tcPr>
            <w:tcW w:w="6220" w:type="dxa"/>
            <w:gridSpan w:val="13"/>
            <w:tcBorders>
              <w:top w:val="single" w:color="auto" w:sz="4" w:space="0"/>
              <w:left w:val="single" w:color="auto" w:sz="4" w:space="0"/>
              <w:bottom w:val="single" w:color="auto" w:sz="4" w:space="0"/>
              <w:right w:val="single" w:color="auto" w:sz="4" w:space="0"/>
            </w:tcBorders>
            <w:vAlign w:val="center"/>
          </w:tcPr>
          <w:p>
            <w:pPr>
              <w:snapToGrid w:val="0"/>
              <w:spacing w:line="320" w:lineRule="exact"/>
              <w:rPr>
                <w:rFonts w:hAnsi="宋体"/>
                <w:szCs w:val="21"/>
              </w:rPr>
            </w:pPr>
            <w:r>
              <w:rPr>
                <w:rFonts w:asciiTheme="minorEastAsia" w:hAnsiTheme="minorEastAsia" w:eastAsiaTheme="minorEastAsia"/>
                <w:szCs w:val="21"/>
              </w:rPr>
              <w:t>□</w:t>
            </w:r>
            <w:r>
              <w:rPr>
                <w:rFonts w:hint="eastAsia" w:asciiTheme="minorEastAsia" w:hAnsiTheme="minorEastAsia" w:eastAsiaTheme="minorEastAsia"/>
                <w:szCs w:val="21"/>
              </w:rPr>
              <w:t>一</w:t>
            </w:r>
            <w:r>
              <w:rPr>
                <w:rFonts w:asciiTheme="minorEastAsia" w:hAnsiTheme="minorEastAsia" w:eastAsiaTheme="minorEastAsia"/>
                <w:szCs w:val="21"/>
              </w:rPr>
              <w:t>星级</w:t>
            </w:r>
            <w:r>
              <w:rPr>
                <w:rFonts w:hint="eastAsia" w:asciiTheme="minorEastAsia" w:hAnsiTheme="minorEastAsia" w:eastAsiaTheme="minorEastAsia"/>
                <w:szCs w:val="21"/>
              </w:rPr>
              <w:t>；</w:t>
            </w:r>
            <w:r>
              <w:rPr>
                <w:rFonts w:hAnsi="宋体"/>
                <w:szCs w:val="21"/>
              </w:rPr>
              <w:t>□ 二星级</w:t>
            </w:r>
            <w:r>
              <w:rPr>
                <w:rFonts w:hint="eastAsia" w:hAnsi="宋体"/>
                <w:szCs w:val="21"/>
              </w:rPr>
              <w:t>；</w:t>
            </w:r>
            <w:r>
              <w:rPr>
                <w:rFonts w:hAnsi="宋体"/>
                <w:szCs w:val="21"/>
              </w:rPr>
              <w:t>□</w:t>
            </w:r>
            <w:r>
              <w:rPr>
                <w:rFonts w:hint="eastAsia" w:hAnsi="宋体"/>
                <w:szCs w:val="21"/>
              </w:rPr>
              <w:t>三</w:t>
            </w:r>
            <w:r>
              <w:rPr>
                <w:rFonts w:hAnsi="宋体"/>
                <w:szCs w:val="21"/>
              </w:rPr>
              <w:t>星级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4261" w:type="dxa"/>
            <w:gridSpan w:val="4"/>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Ansi="宋体"/>
                <w:szCs w:val="21"/>
              </w:rPr>
              <w:t>可再生能源</w:t>
            </w:r>
            <w:r>
              <w:rPr>
                <w:rFonts w:hint="eastAsia" w:hAnsi="宋体"/>
                <w:szCs w:val="21"/>
              </w:rPr>
              <w:t>应用形式</w:t>
            </w:r>
          </w:p>
        </w:tc>
        <w:tc>
          <w:tcPr>
            <w:tcW w:w="6220" w:type="dxa"/>
            <w:gridSpan w:val="13"/>
            <w:tcBorders>
              <w:top w:val="single" w:color="auto" w:sz="4" w:space="0"/>
              <w:left w:val="single" w:color="auto" w:sz="4" w:space="0"/>
              <w:bottom w:val="single" w:color="auto" w:sz="4" w:space="0"/>
              <w:right w:val="single" w:color="auto" w:sz="4" w:space="0"/>
            </w:tcBorders>
            <w:vAlign w:val="center"/>
          </w:tcPr>
          <w:p>
            <w:pPr>
              <w:snapToGrid w:val="0"/>
              <w:rPr>
                <w:rFonts w:hAnsi="宋体"/>
                <w:szCs w:val="21"/>
              </w:rPr>
            </w:pPr>
            <w:r>
              <w:rPr>
                <w:rFonts w:hAnsi="宋体"/>
                <w:szCs w:val="21"/>
              </w:rPr>
              <w:t>□</w:t>
            </w:r>
            <w:r>
              <w:rPr>
                <w:rFonts w:hint="eastAsia" w:hAnsi="宋体"/>
                <w:szCs w:val="21"/>
              </w:rPr>
              <w:t>太阳能；</w:t>
            </w:r>
            <w:r>
              <w:rPr>
                <w:rFonts w:hAnsi="宋体"/>
                <w:szCs w:val="21"/>
              </w:rPr>
              <w:t>□</w:t>
            </w:r>
            <w:r>
              <w:rPr>
                <w:rFonts w:hint="eastAsia" w:hAnsi="宋体"/>
                <w:szCs w:val="21"/>
              </w:rPr>
              <w:t>风能；</w:t>
            </w:r>
            <w:r>
              <w:rPr>
                <w:rFonts w:hAnsi="宋体"/>
                <w:szCs w:val="21"/>
              </w:rPr>
              <w:t>□</w:t>
            </w:r>
            <w:r>
              <w:rPr>
                <w:rFonts w:hint="eastAsia" w:hAnsi="宋体"/>
                <w:szCs w:val="21"/>
              </w:rPr>
              <w:t>水能；</w:t>
            </w:r>
            <w:r>
              <w:rPr>
                <w:rFonts w:hAnsi="宋体"/>
                <w:szCs w:val="21"/>
              </w:rPr>
              <w:t>□</w:t>
            </w:r>
            <w:r>
              <w:rPr>
                <w:rFonts w:hint="eastAsia" w:hAnsi="宋体"/>
                <w:szCs w:val="21"/>
              </w:rPr>
              <w:t xml:space="preserve"> 空气能；</w:t>
            </w:r>
            <w:r>
              <w:rPr>
                <w:rFonts w:hAnsi="宋体"/>
                <w:szCs w:val="21"/>
              </w:rPr>
              <w:t>□生物质能</w:t>
            </w:r>
            <w:r>
              <w:rPr>
                <w:rFonts w:hint="eastAsia" w:hAnsi="宋体"/>
                <w:szCs w:val="21"/>
              </w:rPr>
              <w:t>；</w:t>
            </w:r>
          </w:p>
          <w:p>
            <w:pPr>
              <w:snapToGrid w:val="0"/>
              <w:spacing w:line="320" w:lineRule="exact"/>
              <w:jc w:val="left"/>
              <w:rPr>
                <w:rFonts w:hAnsi="宋体"/>
                <w:szCs w:val="21"/>
              </w:rPr>
            </w:pPr>
            <w:r>
              <w:rPr>
                <w:rFonts w:hAnsi="宋体"/>
                <w:szCs w:val="21"/>
              </w:rPr>
              <w:t>□地热能</w:t>
            </w:r>
            <w:r>
              <w:rPr>
                <w:rFonts w:hint="eastAsia" w:hAnsi="宋体"/>
                <w:szCs w:val="21"/>
              </w:rPr>
              <w:t>；</w:t>
            </w:r>
            <w:r>
              <w:rPr>
                <w:rFonts w:hAnsi="宋体"/>
                <w:szCs w:val="21"/>
              </w:rPr>
              <w:t>□海洋能</w:t>
            </w:r>
            <w:r>
              <w:rPr>
                <w:rFonts w:hint="eastAsia" w:hAnsi="宋体"/>
                <w:szCs w:val="21"/>
              </w:rPr>
              <w:t>；</w:t>
            </w:r>
            <w:r>
              <w:rPr>
                <w:rFonts w:hAnsi="宋体"/>
                <w:szCs w:val="21"/>
              </w:rPr>
              <w:t>□</w:t>
            </w:r>
            <w:r>
              <w:rPr>
                <w:rFonts w:hint="eastAsia" w:hAnsi="宋体"/>
                <w:szCs w:val="21"/>
              </w:rPr>
              <w:t>其他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1178" w:type="dxa"/>
            <w:vMerge w:val="restart"/>
            <w:tcBorders>
              <w:top w:val="single" w:color="auto" w:sz="4" w:space="0"/>
              <w:left w:val="single" w:color="auto" w:sz="4" w:space="0"/>
              <w:right w:val="single" w:color="auto" w:sz="4" w:space="0"/>
            </w:tcBorders>
            <w:vAlign w:val="center"/>
          </w:tcPr>
          <w:p>
            <w:pPr>
              <w:snapToGrid w:val="0"/>
              <w:spacing w:line="320" w:lineRule="exact"/>
              <w:jc w:val="center"/>
              <w:rPr>
                <w:rFonts w:hAnsi="宋体"/>
                <w:szCs w:val="21"/>
              </w:rPr>
            </w:pPr>
            <w:r>
              <w:rPr>
                <w:rFonts w:hAnsi="宋体"/>
                <w:szCs w:val="21"/>
              </w:rPr>
              <w:t>可再生能源</w:t>
            </w:r>
            <w:r>
              <w:rPr>
                <w:rFonts w:hint="eastAsia" w:hAnsi="宋体"/>
                <w:szCs w:val="21"/>
              </w:rPr>
              <w:t>及（余热或废热）回收</w:t>
            </w:r>
            <w:r>
              <w:rPr>
                <w:rFonts w:hAnsi="宋体"/>
                <w:szCs w:val="21"/>
              </w:rPr>
              <w:t>总量</w:t>
            </w:r>
          </w:p>
        </w:tc>
        <w:tc>
          <w:tcPr>
            <w:tcW w:w="5621" w:type="dxa"/>
            <w:gridSpan w:val="8"/>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Ansi="宋体"/>
                <w:szCs w:val="21"/>
              </w:rPr>
              <w:t>可再生能源</w:t>
            </w:r>
            <w:r>
              <w:rPr>
                <w:rFonts w:hint="eastAsia" w:hAnsi="宋体"/>
                <w:szCs w:val="21"/>
              </w:rPr>
              <w:t>综合利用量最小值（kWh/</w:t>
            </w:r>
            <w:r>
              <w:rPr>
                <w:rFonts w:hAnsi="宋体"/>
                <w:szCs w:val="21"/>
              </w:rPr>
              <w:t>a</w:t>
            </w:r>
            <w:r>
              <w:rPr>
                <w:rFonts w:hint="eastAsia" w:hAnsi="宋体"/>
                <w:szCs w:val="21"/>
              </w:rPr>
              <w:t>）</w:t>
            </w:r>
          </w:p>
          <w:p>
            <w:pPr>
              <w:snapToGrid w:val="0"/>
              <w:spacing w:line="320" w:lineRule="exact"/>
              <w:jc w:val="center"/>
              <w:rPr>
                <w:rFonts w:hAnsi="宋体"/>
                <w:szCs w:val="21"/>
              </w:rPr>
            </w:pPr>
            <w:r>
              <w:rPr>
                <w:rFonts w:hint="eastAsia" w:hAnsi="宋体"/>
                <w:szCs w:val="21"/>
              </w:rPr>
              <w:t>（参照《民用建筑可再生能源应用核算标准》DB</w:t>
            </w:r>
            <w:r>
              <w:rPr>
                <w:rFonts w:hAnsi="宋体"/>
                <w:szCs w:val="21"/>
              </w:rPr>
              <w:t xml:space="preserve"> 33/1105</w:t>
            </w:r>
            <w:r>
              <w:rPr>
                <w:rFonts w:hint="eastAsia" w:hAnsi="宋体"/>
                <w:szCs w:val="21"/>
              </w:rPr>
              <w:t>）</w:t>
            </w:r>
          </w:p>
        </w:tc>
        <w:tc>
          <w:tcPr>
            <w:tcW w:w="3682" w:type="dxa"/>
            <w:gridSpan w:val="8"/>
            <w:tcBorders>
              <w:top w:val="single" w:color="auto" w:sz="4" w:space="0"/>
              <w:left w:val="single" w:color="auto" w:sz="4" w:space="0"/>
              <w:bottom w:val="single" w:color="auto" w:sz="4" w:space="0"/>
              <w:right w:val="single" w:color="auto" w:sz="4" w:space="0"/>
            </w:tcBorders>
            <w:vAlign w:val="center"/>
          </w:tcPr>
          <w:p>
            <w:pPr>
              <w:snapToGrid w:val="0"/>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1178" w:type="dxa"/>
            <w:vMerge w:val="continue"/>
            <w:tcBorders>
              <w:left w:val="single" w:color="auto" w:sz="4" w:space="0"/>
              <w:right w:val="single" w:color="auto" w:sz="4" w:space="0"/>
            </w:tcBorders>
            <w:vAlign w:val="center"/>
          </w:tcPr>
          <w:p>
            <w:pPr>
              <w:snapToGrid w:val="0"/>
              <w:spacing w:line="320" w:lineRule="exact"/>
              <w:jc w:val="center"/>
              <w:rPr>
                <w:rFonts w:hAnsi="宋体"/>
                <w:szCs w:val="21"/>
              </w:rPr>
            </w:pPr>
          </w:p>
        </w:tc>
        <w:tc>
          <w:tcPr>
            <w:tcW w:w="5621" w:type="dxa"/>
            <w:gridSpan w:val="8"/>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本项目可再生能源综合利用量（kWh/</w:t>
            </w:r>
            <w:r>
              <w:rPr>
                <w:rFonts w:hAnsi="宋体"/>
                <w:szCs w:val="21"/>
              </w:rPr>
              <w:t>a</w:t>
            </w:r>
            <w:r>
              <w:rPr>
                <w:rFonts w:hint="eastAsia" w:hAnsi="宋体"/>
                <w:szCs w:val="21"/>
              </w:rPr>
              <w:t>）</w:t>
            </w:r>
          </w:p>
        </w:tc>
        <w:tc>
          <w:tcPr>
            <w:tcW w:w="3682" w:type="dxa"/>
            <w:gridSpan w:val="8"/>
            <w:tcBorders>
              <w:top w:val="single" w:color="auto" w:sz="4" w:space="0"/>
              <w:left w:val="single" w:color="auto" w:sz="4" w:space="0"/>
              <w:bottom w:val="single" w:color="auto" w:sz="4" w:space="0"/>
              <w:right w:val="single" w:color="auto" w:sz="4" w:space="0"/>
            </w:tcBorders>
            <w:vAlign w:val="center"/>
          </w:tcPr>
          <w:p>
            <w:pPr>
              <w:snapToGrid w:val="0"/>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1178" w:type="dxa"/>
            <w:vMerge w:val="continue"/>
            <w:tcBorders>
              <w:left w:val="single" w:color="auto" w:sz="4" w:space="0"/>
              <w:right w:val="single" w:color="auto" w:sz="4" w:space="0"/>
            </w:tcBorders>
            <w:vAlign w:val="center"/>
          </w:tcPr>
          <w:p>
            <w:pPr>
              <w:snapToGrid w:val="0"/>
              <w:spacing w:line="320" w:lineRule="exact"/>
              <w:jc w:val="center"/>
              <w:rPr>
                <w:rFonts w:hAnsi="宋体"/>
                <w:szCs w:val="21"/>
              </w:rPr>
            </w:pPr>
          </w:p>
        </w:tc>
        <w:tc>
          <w:tcPr>
            <w:tcW w:w="729" w:type="dxa"/>
            <w:vMerge w:val="restart"/>
            <w:tcBorders>
              <w:top w:val="single" w:color="auto" w:sz="4" w:space="0"/>
              <w:left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其中</w:t>
            </w:r>
          </w:p>
        </w:tc>
        <w:tc>
          <w:tcPr>
            <w:tcW w:w="4892" w:type="dxa"/>
            <w:gridSpan w:val="7"/>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Ansi="宋体"/>
                <w:szCs w:val="21"/>
              </w:rPr>
              <w:t>可再生能源</w:t>
            </w:r>
            <w:r>
              <w:rPr>
                <w:rFonts w:hint="eastAsia" w:hAnsi="宋体"/>
                <w:szCs w:val="21"/>
              </w:rPr>
              <w:t>年综合利用量（Q</w:t>
            </w:r>
            <w:r>
              <w:rPr>
                <w:rFonts w:hAnsi="宋体"/>
                <w:szCs w:val="21"/>
                <w:vertAlign w:val="subscript"/>
              </w:rPr>
              <w:t>L</w:t>
            </w:r>
            <w:r>
              <w:rPr>
                <w:rFonts w:hint="eastAsia" w:hAnsi="宋体"/>
                <w:szCs w:val="21"/>
              </w:rPr>
              <w:t>）（kWh/</w:t>
            </w:r>
            <w:r>
              <w:rPr>
                <w:rFonts w:hAnsi="宋体"/>
                <w:szCs w:val="21"/>
              </w:rPr>
              <w:t>a</w:t>
            </w:r>
            <w:r>
              <w:rPr>
                <w:rFonts w:hint="eastAsia" w:hAnsi="宋体"/>
                <w:szCs w:val="21"/>
              </w:rPr>
              <w:t>）</w:t>
            </w:r>
          </w:p>
        </w:tc>
        <w:tc>
          <w:tcPr>
            <w:tcW w:w="3682" w:type="dxa"/>
            <w:gridSpan w:val="8"/>
            <w:tcBorders>
              <w:top w:val="single" w:color="auto" w:sz="4" w:space="0"/>
              <w:left w:val="single" w:color="auto" w:sz="4" w:space="0"/>
              <w:bottom w:val="single" w:color="auto" w:sz="4" w:space="0"/>
              <w:right w:val="single" w:color="auto" w:sz="4" w:space="0"/>
            </w:tcBorders>
            <w:vAlign w:val="center"/>
          </w:tcPr>
          <w:p>
            <w:pPr>
              <w:snapToGrid w:val="0"/>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1178" w:type="dxa"/>
            <w:vMerge w:val="continue"/>
            <w:tcBorders>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c>
          <w:tcPr>
            <w:tcW w:w="729" w:type="dxa"/>
            <w:vMerge w:val="continue"/>
            <w:tcBorders>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p>
        </w:tc>
        <w:tc>
          <w:tcPr>
            <w:tcW w:w="4892" w:type="dxa"/>
            <w:gridSpan w:val="7"/>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余热或废热（QG）（kWh/</w:t>
            </w:r>
            <w:r>
              <w:rPr>
                <w:rFonts w:hAnsi="宋体"/>
                <w:szCs w:val="21"/>
              </w:rPr>
              <w:t>a</w:t>
            </w:r>
            <w:r>
              <w:rPr>
                <w:rFonts w:hint="eastAsia" w:hAnsi="宋体"/>
                <w:szCs w:val="21"/>
              </w:rPr>
              <w:t>）</w:t>
            </w:r>
          </w:p>
        </w:tc>
        <w:tc>
          <w:tcPr>
            <w:tcW w:w="3682" w:type="dxa"/>
            <w:gridSpan w:val="8"/>
            <w:tcBorders>
              <w:top w:val="single" w:color="auto" w:sz="4" w:space="0"/>
              <w:left w:val="single" w:color="auto" w:sz="4" w:space="0"/>
              <w:bottom w:val="single" w:color="auto" w:sz="4" w:space="0"/>
              <w:right w:val="single" w:color="auto" w:sz="4" w:space="0"/>
            </w:tcBorders>
            <w:vAlign w:val="center"/>
          </w:tcPr>
          <w:p>
            <w:pPr>
              <w:snapToGrid w:val="0"/>
              <w:rPr>
                <w:rFonts w:hAnsi="宋体"/>
                <w:szCs w:val="21"/>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56" w:type="dxa"/>
            <w:bottom w:w="0" w:type="dxa"/>
            <w:right w:w="56" w:type="dxa"/>
          </w:tblCellMar>
        </w:tblPrEx>
        <w:trPr>
          <w:trHeight w:val="340" w:hRule="atLeast"/>
          <w:jc w:val="center"/>
        </w:trPr>
        <w:tc>
          <w:tcPr>
            <w:tcW w:w="4261" w:type="dxa"/>
            <w:gridSpan w:val="4"/>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center"/>
              <w:rPr>
                <w:rFonts w:hAnsi="宋体"/>
                <w:szCs w:val="21"/>
              </w:rPr>
            </w:pPr>
            <w:r>
              <w:rPr>
                <w:rFonts w:hint="eastAsia" w:hAnsi="宋体"/>
                <w:szCs w:val="21"/>
              </w:rPr>
              <w:t>其他需要说明的内容</w:t>
            </w:r>
          </w:p>
        </w:tc>
        <w:tc>
          <w:tcPr>
            <w:tcW w:w="6220" w:type="dxa"/>
            <w:gridSpan w:val="13"/>
            <w:tcBorders>
              <w:top w:val="single" w:color="auto" w:sz="4" w:space="0"/>
              <w:left w:val="single" w:color="auto" w:sz="4" w:space="0"/>
              <w:bottom w:val="single" w:color="auto" w:sz="4" w:space="0"/>
              <w:right w:val="single" w:color="auto" w:sz="4" w:space="0"/>
            </w:tcBorders>
            <w:vAlign w:val="center"/>
          </w:tcPr>
          <w:p>
            <w:pPr>
              <w:snapToGrid w:val="0"/>
              <w:spacing w:line="320" w:lineRule="exact"/>
              <w:jc w:val="left"/>
              <w:rPr>
                <w:rFonts w:hAnsi="宋体"/>
                <w:szCs w:val="21"/>
              </w:rPr>
            </w:pPr>
          </w:p>
        </w:tc>
      </w:tr>
    </w:tbl>
    <w:tbl>
      <w:tblPr>
        <w:tblStyle w:val="44"/>
        <w:tblpPr w:leftFromText="180" w:rightFromText="180" w:vertAnchor="text" w:horzAnchor="margin" w:tblpXSpec="right" w:tblpY="26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6" w:type="dxa"/>
          <w:bottom w:w="0" w:type="dxa"/>
          <w:right w:w="56" w:type="dxa"/>
        </w:tblCellMar>
      </w:tblPr>
      <w:tblGrid>
        <w:gridCol w:w="1038"/>
        <w:gridCol w:w="1038"/>
        <w:gridCol w:w="2082"/>
        <w:gridCol w:w="3116"/>
        <w:gridCol w:w="3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5000" w:type="pct"/>
            <w:gridSpan w:val="5"/>
            <w:vAlign w:val="center"/>
          </w:tcPr>
          <w:p>
            <w:pPr>
              <w:snapToGrid w:val="0"/>
              <w:jc w:val="center"/>
              <w:rPr>
                <w:rFonts w:hAnsi="宋体"/>
                <w:b/>
                <w:szCs w:val="21"/>
              </w:rPr>
            </w:pPr>
            <w:r>
              <w:rPr>
                <w:rFonts w:hint="eastAsia" w:hAnsi="宋体"/>
                <w:b/>
                <w:szCs w:val="21"/>
              </w:rPr>
              <w:t>2</w:t>
            </w:r>
            <w:r>
              <w:rPr>
                <w:rFonts w:hAnsi="宋体"/>
                <w:b/>
                <w:szCs w:val="21"/>
              </w:rPr>
              <w:t xml:space="preserve"> 关键设计指标汇总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jc w:val="center"/>
              <w:rPr>
                <w:rFonts w:hAnsi="宋体"/>
                <w:szCs w:val="21"/>
              </w:rPr>
            </w:pPr>
            <w:r>
              <w:rPr>
                <w:rFonts w:hAnsi="宋体"/>
                <w:szCs w:val="21"/>
              </w:rPr>
              <w:t>指标</w:t>
            </w:r>
          </w:p>
        </w:tc>
        <w:tc>
          <w:tcPr>
            <w:tcW w:w="1474" w:type="pct"/>
            <w:vAlign w:val="center"/>
          </w:tcPr>
          <w:p>
            <w:pPr>
              <w:jc w:val="center"/>
              <w:rPr>
                <w:rFonts w:hAnsi="宋体"/>
                <w:szCs w:val="21"/>
              </w:rPr>
            </w:pPr>
            <w:r>
              <w:rPr>
                <w:rFonts w:hint="eastAsia" w:hAnsi="宋体"/>
                <w:szCs w:val="21"/>
              </w:rPr>
              <w:t>单位</w:t>
            </w:r>
          </w:p>
        </w:tc>
        <w:tc>
          <w:tcPr>
            <w:tcW w:w="1559" w:type="pct"/>
            <w:vAlign w:val="center"/>
          </w:tcPr>
          <w:p>
            <w:pPr>
              <w:jc w:val="center"/>
              <w:rPr>
                <w:rFonts w:hAnsi="宋体"/>
                <w:szCs w:val="21"/>
              </w:rPr>
            </w:pPr>
            <w:r>
              <w:rPr>
                <w:rFonts w:hAnsi="宋体"/>
                <w:szCs w:val="21"/>
              </w:rPr>
              <w:t>填报数据(小数点后保留两位)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snapToGrid w:val="0"/>
              <w:jc w:val="center"/>
              <w:rPr>
                <w:rFonts w:hAnsi="宋体"/>
                <w:szCs w:val="21"/>
              </w:rPr>
            </w:pPr>
            <w:r>
              <w:rPr>
                <w:rFonts w:hint="eastAsia" w:hAnsi="宋体"/>
                <w:szCs w:val="21"/>
              </w:rPr>
              <w:t>地下建筑面积与地上建筑面积的比率</w:t>
            </w:r>
            <w:r>
              <w:rPr>
                <w:rFonts w:hAnsi="宋体"/>
                <w:szCs w:val="21"/>
              </w:rPr>
              <w:t>R</w:t>
            </w:r>
            <w:r>
              <w:rPr>
                <w:rFonts w:hAnsi="宋体"/>
                <w:szCs w:val="21"/>
                <w:vertAlign w:val="subscript"/>
              </w:rPr>
              <w:t>r</w:t>
            </w:r>
          </w:p>
        </w:tc>
        <w:tc>
          <w:tcPr>
            <w:tcW w:w="1474" w:type="pct"/>
            <w:vAlign w:val="center"/>
          </w:tcPr>
          <w:p>
            <w:pPr>
              <w:snapToGrid w:val="0"/>
              <w:jc w:val="center"/>
              <w:rPr>
                <w:rFonts w:hAnsi="宋体"/>
                <w:szCs w:val="21"/>
              </w:rPr>
            </w:pPr>
            <w:r>
              <w:rPr>
                <w:rFonts w:hAnsi="宋体"/>
                <w:szCs w:val="21"/>
              </w:rPr>
              <w:t>％</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snapToGrid w:val="0"/>
              <w:jc w:val="center"/>
              <w:rPr>
                <w:rFonts w:hAnsi="宋体"/>
                <w:szCs w:val="21"/>
              </w:rPr>
            </w:pPr>
            <w:r>
              <w:rPr>
                <w:rFonts w:hint="eastAsia" w:hAnsi="宋体"/>
                <w:szCs w:val="21"/>
              </w:rPr>
              <w:t>地下一层建筑面积与总用地面积的比率</w:t>
            </w:r>
            <w:r>
              <w:rPr>
                <w:rFonts w:hAnsi="宋体"/>
                <w:szCs w:val="21"/>
              </w:rPr>
              <w:t>R</w:t>
            </w:r>
            <w:r>
              <w:rPr>
                <w:rFonts w:hint="eastAsia" w:hAnsi="宋体"/>
                <w:szCs w:val="21"/>
                <w:vertAlign w:val="subscript"/>
              </w:rPr>
              <w:t>p</w:t>
            </w:r>
          </w:p>
        </w:tc>
        <w:tc>
          <w:tcPr>
            <w:tcW w:w="1474" w:type="pct"/>
            <w:vAlign w:val="center"/>
          </w:tcPr>
          <w:p>
            <w:pPr>
              <w:snapToGrid w:val="0"/>
              <w:jc w:val="center"/>
              <w:rPr>
                <w:rFonts w:hAnsi="宋体"/>
                <w:szCs w:val="21"/>
              </w:rPr>
            </w:pPr>
            <w:r>
              <w:rPr>
                <w:rFonts w:hAnsi="宋体"/>
                <w:szCs w:val="21"/>
              </w:rPr>
              <w:t>％</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jc w:val="center"/>
              <w:rPr>
                <w:rFonts w:hAnsi="宋体"/>
                <w:szCs w:val="21"/>
              </w:rPr>
            </w:pPr>
            <w:r>
              <w:rPr>
                <w:rFonts w:hAnsi="宋体"/>
                <w:szCs w:val="21"/>
              </w:rPr>
              <w:t>透水地面面积比</w:t>
            </w:r>
          </w:p>
        </w:tc>
        <w:tc>
          <w:tcPr>
            <w:tcW w:w="1474" w:type="pct"/>
            <w:vAlign w:val="center"/>
          </w:tcPr>
          <w:p>
            <w:pPr>
              <w:jc w:val="center"/>
              <w:rPr>
                <w:rFonts w:hAnsi="宋体"/>
                <w:szCs w:val="21"/>
              </w:rPr>
            </w:pPr>
            <w:r>
              <w:rPr>
                <w:rFonts w:hAnsi="宋体"/>
                <w:szCs w:val="21"/>
              </w:rPr>
              <w:t>％</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jc w:val="center"/>
              <w:rPr>
                <w:rFonts w:hAnsi="宋体"/>
                <w:szCs w:val="21"/>
              </w:rPr>
            </w:pPr>
            <w:r>
              <w:rPr>
                <w:rFonts w:hint="eastAsia" w:hAnsi="宋体"/>
                <w:szCs w:val="21"/>
              </w:rPr>
              <w:t>项目总能耗</w:t>
            </w:r>
          </w:p>
        </w:tc>
        <w:tc>
          <w:tcPr>
            <w:tcW w:w="1474" w:type="pct"/>
            <w:vAlign w:val="center"/>
          </w:tcPr>
          <w:p>
            <w:pPr>
              <w:jc w:val="center"/>
              <w:rPr>
                <w:rFonts w:hAnsi="宋体"/>
                <w:szCs w:val="21"/>
              </w:rPr>
            </w:pPr>
            <w:r>
              <w:rPr>
                <w:rFonts w:hAnsi="宋体"/>
                <w:szCs w:val="21"/>
              </w:rPr>
              <w:t>tce/a</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jc w:val="center"/>
              <w:rPr>
                <w:rFonts w:hAnsi="宋体"/>
                <w:szCs w:val="21"/>
              </w:rPr>
            </w:pPr>
            <w:r>
              <w:rPr>
                <w:rFonts w:hint="eastAsia" w:hAnsi="宋体"/>
                <w:szCs w:val="21"/>
              </w:rPr>
              <w:t>单位面积能耗</w:t>
            </w:r>
          </w:p>
        </w:tc>
        <w:tc>
          <w:tcPr>
            <w:tcW w:w="1474" w:type="pct"/>
            <w:vAlign w:val="center"/>
          </w:tcPr>
          <w:p>
            <w:pPr>
              <w:jc w:val="center"/>
              <w:rPr>
                <w:rFonts w:hAnsi="宋体"/>
                <w:szCs w:val="21"/>
              </w:rPr>
            </w:pPr>
            <w:r>
              <w:rPr>
                <w:rFonts w:hAnsi="宋体"/>
                <w:szCs w:val="21"/>
              </w:rPr>
              <w:t>tce/m²a</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jc w:val="center"/>
              <w:rPr>
                <w:rFonts w:hAnsi="宋体"/>
                <w:szCs w:val="21"/>
              </w:rPr>
            </w:pPr>
            <w:r>
              <w:rPr>
                <w:rFonts w:hAnsi="宋体"/>
                <w:szCs w:val="21"/>
              </w:rPr>
              <w:t>节能率</w:t>
            </w:r>
          </w:p>
        </w:tc>
        <w:tc>
          <w:tcPr>
            <w:tcW w:w="1474" w:type="pct"/>
            <w:vAlign w:val="center"/>
          </w:tcPr>
          <w:p>
            <w:pPr>
              <w:jc w:val="center"/>
              <w:rPr>
                <w:rFonts w:hAnsi="宋体"/>
                <w:szCs w:val="21"/>
              </w:rPr>
            </w:pPr>
            <w:r>
              <w:rPr>
                <w:rFonts w:hAnsi="宋体"/>
                <w:szCs w:val="21"/>
              </w:rPr>
              <w:t>％</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pStyle w:val="86"/>
              <w:kinsoku w:val="0"/>
              <w:overflowPunct w:val="0"/>
              <w:ind w:right="-144"/>
              <w:jc w:val="center"/>
              <w:rPr>
                <w:rFonts w:hAnsi="宋体"/>
                <w:sz w:val="21"/>
                <w:szCs w:val="21"/>
              </w:rPr>
            </w:pPr>
            <w:r>
              <w:rPr>
                <w:rFonts w:hint="eastAsia" w:hAnsi="宋体" w:cs="宋体"/>
                <w:sz w:val="21"/>
                <w:szCs w:val="21"/>
              </w:rPr>
              <w:t>可再生能源发电量</w:t>
            </w:r>
          </w:p>
        </w:tc>
        <w:tc>
          <w:tcPr>
            <w:tcW w:w="1474" w:type="pct"/>
            <w:vAlign w:val="center"/>
          </w:tcPr>
          <w:p>
            <w:pPr>
              <w:jc w:val="center"/>
              <w:rPr>
                <w:rFonts w:hAnsi="宋体"/>
                <w:szCs w:val="21"/>
              </w:rPr>
            </w:pPr>
            <w:r>
              <w:rPr>
                <w:rFonts w:hAnsi="宋体"/>
                <w:szCs w:val="21"/>
              </w:rPr>
              <w:t>kWh/a</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pStyle w:val="86"/>
              <w:kinsoku w:val="0"/>
              <w:overflowPunct w:val="0"/>
              <w:ind w:right="-144"/>
              <w:jc w:val="center"/>
              <w:rPr>
                <w:rFonts w:hAnsi="宋体" w:cs="宋体"/>
                <w:sz w:val="21"/>
                <w:szCs w:val="21"/>
              </w:rPr>
            </w:pPr>
            <w:r>
              <w:rPr>
                <w:rFonts w:hint="eastAsia" w:hAnsi="宋体" w:cs="宋体"/>
                <w:sz w:val="21"/>
                <w:szCs w:val="21"/>
              </w:rPr>
              <w:t>项目总用电量</w:t>
            </w:r>
          </w:p>
        </w:tc>
        <w:tc>
          <w:tcPr>
            <w:tcW w:w="1474" w:type="pct"/>
            <w:vAlign w:val="center"/>
          </w:tcPr>
          <w:p>
            <w:pPr>
              <w:jc w:val="center"/>
              <w:rPr>
                <w:rFonts w:hAnsi="宋体"/>
                <w:szCs w:val="21"/>
              </w:rPr>
            </w:pPr>
            <w:r>
              <w:rPr>
                <w:rFonts w:hAnsi="宋体"/>
                <w:szCs w:val="21"/>
              </w:rPr>
              <w:t>kWh/a</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pStyle w:val="86"/>
              <w:kinsoku w:val="0"/>
              <w:overflowPunct w:val="0"/>
              <w:jc w:val="center"/>
              <w:rPr>
                <w:rFonts w:hAnsi="宋体" w:cs="宋体"/>
                <w:sz w:val="21"/>
                <w:szCs w:val="21"/>
              </w:rPr>
            </w:pPr>
            <w:r>
              <w:rPr>
                <w:rFonts w:hint="eastAsia" w:hAnsi="宋体" w:cs="宋体"/>
                <w:sz w:val="21"/>
                <w:szCs w:val="21"/>
              </w:rPr>
              <w:t>可再生能源</w:t>
            </w:r>
            <w:r>
              <w:rPr>
                <w:rFonts w:hAnsi="宋体" w:cs="宋体"/>
                <w:sz w:val="21"/>
                <w:szCs w:val="21"/>
              </w:rPr>
              <w:t>提供电量比例</w:t>
            </w:r>
          </w:p>
        </w:tc>
        <w:tc>
          <w:tcPr>
            <w:tcW w:w="1474" w:type="pct"/>
            <w:vAlign w:val="center"/>
          </w:tcPr>
          <w:p>
            <w:pPr>
              <w:jc w:val="center"/>
              <w:rPr>
                <w:rFonts w:hAnsi="宋体"/>
                <w:szCs w:val="21"/>
              </w:rPr>
            </w:pPr>
            <w:r>
              <w:rPr>
                <w:rFonts w:hAnsi="宋体"/>
                <w:szCs w:val="21"/>
              </w:rPr>
              <w:t>％</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pStyle w:val="86"/>
              <w:kinsoku w:val="0"/>
              <w:overflowPunct w:val="0"/>
              <w:jc w:val="center"/>
              <w:rPr>
                <w:rFonts w:hAnsi="宋体"/>
                <w:sz w:val="21"/>
                <w:szCs w:val="21"/>
              </w:rPr>
            </w:pPr>
            <w:r>
              <w:rPr>
                <w:rFonts w:hint="eastAsia" w:hAnsi="宋体" w:cs="宋体"/>
                <w:sz w:val="21"/>
                <w:szCs w:val="21"/>
              </w:rPr>
              <w:t>可再生能源产生的热水量</w:t>
            </w:r>
          </w:p>
        </w:tc>
        <w:tc>
          <w:tcPr>
            <w:tcW w:w="1474" w:type="pct"/>
            <w:vAlign w:val="center"/>
          </w:tcPr>
          <w:p>
            <w:pPr>
              <w:jc w:val="center"/>
              <w:rPr>
                <w:rFonts w:hAnsi="宋体"/>
                <w:szCs w:val="21"/>
              </w:rPr>
            </w:pPr>
            <w:r>
              <w:rPr>
                <w:rFonts w:hint="eastAsia" w:hAnsi="宋体"/>
                <w:szCs w:val="21"/>
              </w:rPr>
              <w:t>m³</w:t>
            </w:r>
            <w:r>
              <w:rPr>
                <w:rFonts w:hAnsi="宋体"/>
                <w:szCs w:val="21"/>
              </w:rPr>
              <w:t>/a</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pStyle w:val="86"/>
              <w:kinsoku w:val="0"/>
              <w:overflowPunct w:val="0"/>
              <w:jc w:val="center"/>
              <w:rPr>
                <w:rFonts w:hAnsi="宋体"/>
                <w:sz w:val="21"/>
                <w:szCs w:val="21"/>
              </w:rPr>
            </w:pPr>
            <w:r>
              <w:rPr>
                <w:rFonts w:hint="eastAsia" w:hAnsi="宋体" w:cs="宋体"/>
                <w:sz w:val="21"/>
                <w:szCs w:val="21"/>
              </w:rPr>
              <w:t>建筑生活热水量</w:t>
            </w:r>
          </w:p>
        </w:tc>
        <w:tc>
          <w:tcPr>
            <w:tcW w:w="1474" w:type="pct"/>
            <w:vAlign w:val="center"/>
          </w:tcPr>
          <w:p>
            <w:pPr>
              <w:jc w:val="center"/>
              <w:rPr>
                <w:rFonts w:hAnsi="宋体"/>
                <w:szCs w:val="21"/>
              </w:rPr>
            </w:pPr>
            <w:r>
              <w:rPr>
                <w:rFonts w:hint="eastAsia" w:hAnsi="宋体"/>
                <w:szCs w:val="21"/>
              </w:rPr>
              <w:t>m³</w:t>
            </w:r>
            <w:r>
              <w:rPr>
                <w:rFonts w:hAnsi="宋体"/>
                <w:szCs w:val="21"/>
              </w:rPr>
              <w:t>/a</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pStyle w:val="86"/>
              <w:kinsoku w:val="0"/>
              <w:overflowPunct w:val="0"/>
              <w:jc w:val="center"/>
              <w:rPr>
                <w:rFonts w:hAnsi="宋体"/>
                <w:sz w:val="21"/>
                <w:szCs w:val="21"/>
              </w:rPr>
            </w:pPr>
            <w:r>
              <w:rPr>
                <w:rFonts w:hint="eastAsia" w:hAnsi="宋体" w:cs="宋体"/>
                <w:sz w:val="21"/>
                <w:szCs w:val="21"/>
              </w:rPr>
              <w:t>可再生能源提供的热水比例</w:t>
            </w:r>
          </w:p>
        </w:tc>
        <w:tc>
          <w:tcPr>
            <w:tcW w:w="1474" w:type="pct"/>
            <w:vAlign w:val="center"/>
          </w:tcPr>
          <w:p>
            <w:pPr>
              <w:jc w:val="center"/>
              <w:rPr>
                <w:rFonts w:hAnsi="宋体"/>
                <w:szCs w:val="21"/>
              </w:rPr>
            </w:pPr>
            <w:r>
              <w:rPr>
                <w:rFonts w:hAnsi="宋体"/>
                <w:szCs w:val="21"/>
              </w:rPr>
              <w:t>％</w:t>
            </w:r>
          </w:p>
        </w:tc>
        <w:tc>
          <w:tcPr>
            <w:tcW w:w="1559" w:type="pct"/>
            <w:vAlign w:val="center"/>
          </w:tcPr>
          <w:p>
            <w:pPr>
              <w:jc w:val="center"/>
              <w:rPr>
                <w:rFonts w:hAnsi="宋体"/>
                <w:szCs w:val="21"/>
              </w:rPr>
            </w:pPr>
            <w:r>
              <w:rPr>
                <w:rFonts w:hint="eastAsia" w:hAnsi="宋体"/>
                <w:szCs w:val="21"/>
              </w:rPr>
              <w:t>住宅建筑按户数比应为100％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pStyle w:val="86"/>
              <w:kinsoku w:val="0"/>
              <w:overflowPunct w:val="0"/>
              <w:jc w:val="center"/>
              <w:rPr>
                <w:rFonts w:hAnsi="宋体" w:cs="宋体"/>
                <w:sz w:val="21"/>
                <w:szCs w:val="21"/>
              </w:rPr>
            </w:pPr>
            <w:r>
              <w:rPr>
                <w:rFonts w:hAnsi="宋体"/>
                <w:sz w:val="21"/>
                <w:szCs w:val="21"/>
              </w:rPr>
              <w:t>非传统水</w:t>
            </w:r>
            <w:r>
              <w:rPr>
                <w:rFonts w:hint="eastAsia" w:hAnsi="宋体"/>
                <w:sz w:val="21"/>
                <w:szCs w:val="21"/>
              </w:rPr>
              <w:t>用</w:t>
            </w:r>
            <w:r>
              <w:rPr>
                <w:rFonts w:hAnsi="宋体"/>
                <w:sz w:val="21"/>
                <w:szCs w:val="21"/>
              </w:rPr>
              <w:t>量</w:t>
            </w:r>
          </w:p>
        </w:tc>
        <w:tc>
          <w:tcPr>
            <w:tcW w:w="1474" w:type="pct"/>
            <w:vAlign w:val="center"/>
          </w:tcPr>
          <w:p>
            <w:pPr>
              <w:jc w:val="center"/>
              <w:rPr>
                <w:rFonts w:hAnsi="宋体"/>
                <w:szCs w:val="21"/>
              </w:rPr>
            </w:pPr>
            <w:r>
              <w:rPr>
                <w:rFonts w:hint="eastAsia" w:hAnsi="宋体"/>
                <w:szCs w:val="21"/>
              </w:rPr>
              <w:t>m³</w:t>
            </w:r>
            <w:r>
              <w:rPr>
                <w:rFonts w:hAnsi="宋体"/>
                <w:szCs w:val="21"/>
              </w:rPr>
              <w:t>/a</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pStyle w:val="86"/>
              <w:kinsoku w:val="0"/>
              <w:overflowPunct w:val="0"/>
              <w:jc w:val="center"/>
              <w:rPr>
                <w:rFonts w:hAnsi="宋体" w:cs="宋体"/>
                <w:sz w:val="21"/>
                <w:szCs w:val="21"/>
              </w:rPr>
            </w:pPr>
            <w:r>
              <w:rPr>
                <w:rFonts w:hint="eastAsia" w:hAnsi="宋体"/>
                <w:szCs w:val="21"/>
              </w:rPr>
              <w:t>项目</w:t>
            </w:r>
            <w:r>
              <w:rPr>
                <w:rFonts w:hAnsi="宋体"/>
                <w:sz w:val="21"/>
                <w:szCs w:val="21"/>
              </w:rPr>
              <w:t>用水总量</w:t>
            </w:r>
          </w:p>
        </w:tc>
        <w:tc>
          <w:tcPr>
            <w:tcW w:w="1474" w:type="pct"/>
            <w:vAlign w:val="center"/>
          </w:tcPr>
          <w:p>
            <w:pPr>
              <w:jc w:val="center"/>
              <w:rPr>
                <w:rFonts w:hAnsi="宋体"/>
                <w:szCs w:val="21"/>
              </w:rPr>
            </w:pPr>
            <w:r>
              <w:rPr>
                <w:rFonts w:hint="eastAsia" w:hAnsi="宋体"/>
                <w:szCs w:val="21"/>
              </w:rPr>
              <w:t>m³</w:t>
            </w:r>
            <w:r>
              <w:rPr>
                <w:rFonts w:hAnsi="宋体"/>
                <w:szCs w:val="21"/>
              </w:rPr>
              <w:t>/a</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pStyle w:val="86"/>
              <w:kinsoku w:val="0"/>
              <w:overflowPunct w:val="0"/>
              <w:jc w:val="center"/>
              <w:rPr>
                <w:rFonts w:hAnsi="宋体" w:cs="宋体"/>
                <w:sz w:val="21"/>
                <w:szCs w:val="21"/>
              </w:rPr>
            </w:pPr>
            <w:r>
              <w:rPr>
                <w:rFonts w:hAnsi="宋体"/>
                <w:sz w:val="21"/>
                <w:szCs w:val="21"/>
              </w:rPr>
              <w:t>非传统水源利用率</w:t>
            </w:r>
          </w:p>
        </w:tc>
        <w:tc>
          <w:tcPr>
            <w:tcW w:w="1474" w:type="pct"/>
            <w:vAlign w:val="center"/>
          </w:tcPr>
          <w:p>
            <w:pPr>
              <w:jc w:val="center"/>
              <w:rPr>
                <w:rFonts w:hAnsi="宋体"/>
                <w:szCs w:val="21"/>
              </w:rPr>
            </w:pPr>
            <w:r>
              <w:rPr>
                <w:rFonts w:hAnsi="宋体"/>
                <w:szCs w:val="21"/>
              </w:rPr>
              <w:t>％</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pStyle w:val="86"/>
              <w:kinsoku w:val="0"/>
              <w:overflowPunct w:val="0"/>
              <w:jc w:val="center"/>
              <w:rPr>
                <w:rFonts w:hAnsi="宋体"/>
                <w:sz w:val="21"/>
                <w:szCs w:val="21"/>
              </w:rPr>
            </w:pPr>
            <w:r>
              <w:rPr>
                <w:rFonts w:hint="eastAsia" w:hAnsi="宋体"/>
                <w:sz w:val="21"/>
                <w:szCs w:val="21"/>
              </w:rPr>
              <w:t>建筑材料总重量</w:t>
            </w:r>
          </w:p>
        </w:tc>
        <w:tc>
          <w:tcPr>
            <w:tcW w:w="1474" w:type="pct"/>
            <w:vAlign w:val="center"/>
          </w:tcPr>
          <w:p>
            <w:pPr>
              <w:jc w:val="center"/>
              <w:rPr>
                <w:rFonts w:hAnsi="宋体"/>
                <w:szCs w:val="21"/>
              </w:rPr>
            </w:pPr>
            <w:r>
              <w:rPr>
                <w:rFonts w:hint="eastAsia" w:hAnsi="宋体"/>
                <w:szCs w:val="21"/>
              </w:rPr>
              <w:t>t</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pStyle w:val="86"/>
              <w:kinsoku w:val="0"/>
              <w:overflowPunct w:val="0"/>
              <w:jc w:val="center"/>
              <w:rPr>
                <w:rFonts w:hAnsi="宋体"/>
                <w:sz w:val="21"/>
                <w:szCs w:val="21"/>
              </w:rPr>
            </w:pPr>
            <w:r>
              <w:rPr>
                <w:rFonts w:hint="eastAsia" w:hAnsi="宋体"/>
                <w:sz w:val="21"/>
                <w:szCs w:val="21"/>
              </w:rPr>
              <w:t>可再循环材料重量</w:t>
            </w:r>
          </w:p>
        </w:tc>
        <w:tc>
          <w:tcPr>
            <w:tcW w:w="1474" w:type="pct"/>
            <w:vAlign w:val="center"/>
          </w:tcPr>
          <w:p>
            <w:pPr>
              <w:jc w:val="center"/>
              <w:rPr>
                <w:rFonts w:hAnsi="宋体"/>
                <w:szCs w:val="21"/>
              </w:rPr>
            </w:pPr>
            <w:r>
              <w:rPr>
                <w:rFonts w:hint="eastAsia" w:hAnsi="宋体"/>
                <w:szCs w:val="21"/>
              </w:rPr>
              <w:t>t</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pStyle w:val="86"/>
              <w:kinsoku w:val="0"/>
              <w:overflowPunct w:val="0"/>
              <w:jc w:val="center"/>
              <w:rPr>
                <w:rFonts w:hAnsi="宋体"/>
                <w:sz w:val="21"/>
                <w:szCs w:val="21"/>
              </w:rPr>
            </w:pPr>
            <w:r>
              <w:rPr>
                <w:rFonts w:hint="eastAsia" w:hAnsi="宋体"/>
                <w:sz w:val="21"/>
                <w:szCs w:val="21"/>
              </w:rPr>
              <w:t>可再循环材料利用率</w:t>
            </w:r>
          </w:p>
        </w:tc>
        <w:tc>
          <w:tcPr>
            <w:tcW w:w="1474" w:type="pct"/>
            <w:vAlign w:val="center"/>
          </w:tcPr>
          <w:p>
            <w:pPr>
              <w:jc w:val="center"/>
              <w:rPr>
                <w:rFonts w:hAnsi="宋体"/>
                <w:szCs w:val="21"/>
              </w:rPr>
            </w:pPr>
            <w:r>
              <w:rPr>
                <w:rFonts w:hint="eastAsia" w:hAnsi="宋体"/>
                <w:szCs w:val="21"/>
              </w:rPr>
              <w:t>%</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pStyle w:val="86"/>
              <w:kinsoku w:val="0"/>
              <w:overflowPunct w:val="0"/>
              <w:jc w:val="center"/>
              <w:rPr>
                <w:rFonts w:hAnsi="宋体"/>
                <w:sz w:val="21"/>
                <w:szCs w:val="21"/>
              </w:rPr>
            </w:pPr>
            <w:r>
              <w:rPr>
                <w:rFonts w:hint="eastAsia" w:hAnsi="宋体"/>
                <w:sz w:val="21"/>
                <w:szCs w:val="21"/>
              </w:rPr>
              <w:t>可再利用材料重量</w:t>
            </w:r>
          </w:p>
        </w:tc>
        <w:tc>
          <w:tcPr>
            <w:tcW w:w="1474" w:type="pct"/>
            <w:vAlign w:val="center"/>
          </w:tcPr>
          <w:p>
            <w:pPr>
              <w:jc w:val="center"/>
              <w:rPr>
                <w:rFonts w:hAnsi="宋体"/>
                <w:szCs w:val="21"/>
              </w:rPr>
            </w:pPr>
            <w:r>
              <w:rPr>
                <w:rFonts w:hint="eastAsia" w:hAnsi="宋体"/>
                <w:szCs w:val="21"/>
              </w:rPr>
              <w:t>t</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1967" w:type="pct"/>
            <w:gridSpan w:val="3"/>
            <w:vAlign w:val="center"/>
          </w:tcPr>
          <w:p>
            <w:pPr>
              <w:pStyle w:val="86"/>
              <w:kinsoku w:val="0"/>
              <w:overflowPunct w:val="0"/>
              <w:jc w:val="center"/>
              <w:rPr>
                <w:rFonts w:hAnsi="宋体"/>
                <w:sz w:val="21"/>
                <w:szCs w:val="21"/>
              </w:rPr>
            </w:pPr>
            <w:r>
              <w:rPr>
                <w:rFonts w:hint="eastAsia" w:hAnsi="宋体"/>
                <w:sz w:val="21"/>
                <w:szCs w:val="21"/>
              </w:rPr>
              <w:t>可再利用材料使用率</w:t>
            </w:r>
          </w:p>
        </w:tc>
        <w:tc>
          <w:tcPr>
            <w:tcW w:w="1474" w:type="pct"/>
            <w:vAlign w:val="center"/>
          </w:tcPr>
          <w:p>
            <w:pPr>
              <w:jc w:val="center"/>
              <w:rPr>
                <w:rFonts w:hAnsi="宋体"/>
                <w:szCs w:val="21"/>
              </w:rPr>
            </w:pPr>
            <w:r>
              <w:rPr>
                <w:rFonts w:hint="eastAsia" w:hAnsi="宋体"/>
                <w:szCs w:val="21"/>
              </w:rPr>
              <w:t>%</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restart"/>
            <w:vAlign w:val="center"/>
          </w:tcPr>
          <w:p>
            <w:pPr>
              <w:jc w:val="center"/>
              <w:rPr>
                <w:rFonts w:hAnsi="宋体"/>
                <w:szCs w:val="21"/>
              </w:rPr>
            </w:pPr>
            <w:r>
              <w:rPr>
                <w:rFonts w:hAnsi="宋体"/>
                <w:szCs w:val="21"/>
              </w:rPr>
              <w:t>主要</w:t>
            </w:r>
          </w:p>
          <w:p>
            <w:pPr>
              <w:jc w:val="center"/>
              <w:rPr>
                <w:rFonts w:hAnsi="宋体"/>
                <w:szCs w:val="21"/>
              </w:rPr>
            </w:pPr>
            <w:r>
              <w:rPr>
                <w:rFonts w:hAnsi="宋体"/>
                <w:szCs w:val="21"/>
              </w:rPr>
              <w:t>能耗</w:t>
            </w:r>
          </w:p>
          <w:p>
            <w:pPr>
              <w:jc w:val="center"/>
              <w:rPr>
                <w:rFonts w:hAnsi="宋体"/>
                <w:szCs w:val="21"/>
              </w:rPr>
            </w:pPr>
            <w:r>
              <w:rPr>
                <w:rFonts w:hAnsi="宋体"/>
                <w:szCs w:val="21"/>
              </w:rPr>
              <w:t>品种及</w:t>
            </w:r>
          </w:p>
          <w:p>
            <w:pPr>
              <w:snapToGrid w:val="0"/>
              <w:jc w:val="center"/>
              <w:rPr>
                <w:rFonts w:hAnsi="宋体"/>
                <w:szCs w:val="21"/>
              </w:rPr>
            </w:pPr>
            <w:r>
              <w:rPr>
                <w:rFonts w:hAnsi="宋体"/>
                <w:szCs w:val="21"/>
              </w:rPr>
              <w:t>耗能量</w:t>
            </w:r>
          </w:p>
        </w:tc>
        <w:tc>
          <w:tcPr>
            <w:tcW w:w="1476" w:type="pct"/>
            <w:gridSpan w:val="2"/>
            <w:vAlign w:val="center"/>
          </w:tcPr>
          <w:p>
            <w:pPr>
              <w:jc w:val="center"/>
              <w:rPr>
                <w:rFonts w:hAnsi="宋体"/>
                <w:szCs w:val="21"/>
              </w:rPr>
            </w:pPr>
            <w:r>
              <w:rPr>
                <w:rFonts w:hint="eastAsia" w:hAnsi="宋体"/>
                <w:szCs w:val="21"/>
              </w:rPr>
              <w:t>电力</w:t>
            </w:r>
          </w:p>
        </w:tc>
        <w:tc>
          <w:tcPr>
            <w:tcW w:w="1474" w:type="pct"/>
            <w:vAlign w:val="center"/>
          </w:tcPr>
          <w:p>
            <w:pPr>
              <w:jc w:val="center"/>
              <w:rPr>
                <w:rFonts w:hAnsi="宋体"/>
                <w:szCs w:val="21"/>
              </w:rPr>
            </w:pPr>
            <w:r>
              <w:rPr>
                <w:rFonts w:hint="eastAsia" w:hAnsi="宋体"/>
                <w:szCs w:val="21"/>
              </w:rPr>
              <w:t>kWh</w:t>
            </w:r>
            <w:r>
              <w:rPr>
                <w:rFonts w:hAnsi="宋体"/>
                <w:szCs w:val="21"/>
              </w:rPr>
              <w:t>/a</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continue"/>
            <w:vAlign w:val="center"/>
          </w:tcPr>
          <w:p>
            <w:pPr>
              <w:snapToGrid w:val="0"/>
              <w:jc w:val="center"/>
              <w:rPr>
                <w:rFonts w:hAnsi="宋体"/>
                <w:szCs w:val="21"/>
              </w:rPr>
            </w:pPr>
          </w:p>
        </w:tc>
        <w:tc>
          <w:tcPr>
            <w:tcW w:w="491" w:type="pct"/>
            <w:vMerge w:val="restart"/>
            <w:vAlign w:val="center"/>
          </w:tcPr>
          <w:p>
            <w:pPr>
              <w:jc w:val="center"/>
              <w:rPr>
                <w:rFonts w:hAnsi="宋体"/>
                <w:szCs w:val="21"/>
              </w:rPr>
            </w:pPr>
            <w:r>
              <w:rPr>
                <w:rFonts w:hint="eastAsia" w:hAnsi="宋体"/>
                <w:szCs w:val="21"/>
              </w:rPr>
              <w:t>其他</w:t>
            </w:r>
          </w:p>
          <w:p>
            <w:pPr>
              <w:jc w:val="center"/>
              <w:rPr>
                <w:rFonts w:hAnsi="宋体"/>
                <w:szCs w:val="21"/>
              </w:rPr>
            </w:pPr>
            <w:r>
              <w:rPr>
                <w:rFonts w:hint="eastAsia" w:hAnsi="宋体"/>
                <w:szCs w:val="21"/>
              </w:rPr>
              <w:t>耗能</w:t>
            </w:r>
          </w:p>
          <w:p>
            <w:pPr>
              <w:jc w:val="center"/>
              <w:rPr>
                <w:rFonts w:hAnsi="宋体"/>
                <w:szCs w:val="21"/>
              </w:rPr>
            </w:pPr>
            <w:r>
              <w:rPr>
                <w:rFonts w:hAnsi="宋体"/>
                <w:szCs w:val="21"/>
              </w:rPr>
              <w:t>种类</w:t>
            </w:r>
          </w:p>
        </w:tc>
        <w:tc>
          <w:tcPr>
            <w:tcW w:w="985" w:type="pct"/>
            <w:vAlign w:val="center"/>
          </w:tcPr>
          <w:p>
            <w:pPr>
              <w:rPr>
                <w:rFonts w:hAnsi="宋体"/>
                <w:szCs w:val="21"/>
              </w:rPr>
            </w:pPr>
            <w:r>
              <w:rPr>
                <w:rFonts w:hAnsi="宋体"/>
                <w:szCs w:val="21"/>
              </w:rPr>
              <w:t>□燃气</w:t>
            </w:r>
          </w:p>
        </w:tc>
        <w:tc>
          <w:tcPr>
            <w:tcW w:w="1474" w:type="pct"/>
            <w:vAlign w:val="center"/>
          </w:tcPr>
          <w:p>
            <w:pPr>
              <w:jc w:val="center"/>
              <w:rPr>
                <w:rFonts w:hAnsi="宋体"/>
                <w:szCs w:val="21"/>
              </w:rPr>
            </w:pPr>
            <w:r>
              <w:rPr>
                <w:rFonts w:hint="eastAsia" w:hAnsi="宋体"/>
                <w:szCs w:val="21"/>
              </w:rPr>
              <w:t>tce</w:t>
            </w:r>
            <w:r>
              <w:rPr>
                <w:rFonts w:hAnsi="宋体"/>
                <w:szCs w:val="21"/>
              </w:rPr>
              <w:t>/a</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continue"/>
            <w:vAlign w:val="center"/>
          </w:tcPr>
          <w:p>
            <w:pPr>
              <w:snapToGrid w:val="0"/>
              <w:jc w:val="center"/>
              <w:rPr>
                <w:rFonts w:hAnsi="宋体"/>
                <w:szCs w:val="21"/>
              </w:rPr>
            </w:pPr>
          </w:p>
        </w:tc>
        <w:tc>
          <w:tcPr>
            <w:tcW w:w="491" w:type="pct"/>
            <w:vMerge w:val="continue"/>
            <w:vAlign w:val="center"/>
          </w:tcPr>
          <w:p>
            <w:pPr>
              <w:ind w:firstLine="1470" w:firstLineChars="700"/>
              <w:rPr>
                <w:rFonts w:hAnsi="宋体"/>
                <w:szCs w:val="21"/>
              </w:rPr>
            </w:pPr>
          </w:p>
        </w:tc>
        <w:tc>
          <w:tcPr>
            <w:tcW w:w="985" w:type="pct"/>
            <w:vAlign w:val="center"/>
          </w:tcPr>
          <w:p>
            <w:pPr>
              <w:rPr>
                <w:rFonts w:hAnsi="宋体"/>
                <w:szCs w:val="21"/>
              </w:rPr>
            </w:pPr>
            <w:r>
              <w:rPr>
                <w:rFonts w:hAnsi="宋体"/>
                <w:szCs w:val="21"/>
              </w:rPr>
              <w:t>□燃油</w:t>
            </w:r>
          </w:p>
        </w:tc>
        <w:tc>
          <w:tcPr>
            <w:tcW w:w="1474" w:type="pct"/>
            <w:vAlign w:val="center"/>
          </w:tcPr>
          <w:p>
            <w:pPr>
              <w:jc w:val="center"/>
              <w:rPr>
                <w:rFonts w:hAnsi="宋体"/>
                <w:szCs w:val="21"/>
              </w:rPr>
            </w:pPr>
            <w:r>
              <w:rPr>
                <w:rFonts w:hint="eastAsia" w:hAnsi="宋体"/>
                <w:szCs w:val="21"/>
              </w:rPr>
              <w:t>tce</w:t>
            </w:r>
            <w:r>
              <w:rPr>
                <w:rFonts w:hAnsi="宋体"/>
                <w:szCs w:val="21"/>
              </w:rPr>
              <w:t>/a</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continue"/>
            <w:vAlign w:val="center"/>
          </w:tcPr>
          <w:p>
            <w:pPr>
              <w:snapToGrid w:val="0"/>
              <w:jc w:val="center"/>
              <w:rPr>
                <w:rFonts w:hAnsi="宋体"/>
                <w:szCs w:val="21"/>
              </w:rPr>
            </w:pPr>
          </w:p>
        </w:tc>
        <w:tc>
          <w:tcPr>
            <w:tcW w:w="491" w:type="pct"/>
            <w:vMerge w:val="continue"/>
            <w:vAlign w:val="center"/>
          </w:tcPr>
          <w:p>
            <w:pPr>
              <w:ind w:firstLine="1470" w:firstLineChars="700"/>
              <w:rPr>
                <w:rFonts w:hAnsi="宋体"/>
                <w:szCs w:val="21"/>
              </w:rPr>
            </w:pPr>
          </w:p>
        </w:tc>
        <w:tc>
          <w:tcPr>
            <w:tcW w:w="985" w:type="pct"/>
            <w:vAlign w:val="center"/>
          </w:tcPr>
          <w:p>
            <w:pPr>
              <w:rPr>
                <w:rFonts w:hAnsi="宋体"/>
                <w:szCs w:val="21"/>
              </w:rPr>
            </w:pPr>
            <w:r>
              <w:rPr>
                <w:rFonts w:hAnsi="宋体"/>
                <w:szCs w:val="21"/>
              </w:rPr>
              <w:t>□燃</w:t>
            </w:r>
            <w:r>
              <w:rPr>
                <w:rFonts w:hint="eastAsia" w:hAnsi="宋体"/>
                <w:szCs w:val="21"/>
              </w:rPr>
              <w:t>煤</w:t>
            </w:r>
          </w:p>
        </w:tc>
        <w:tc>
          <w:tcPr>
            <w:tcW w:w="1474" w:type="pct"/>
            <w:vAlign w:val="center"/>
          </w:tcPr>
          <w:p>
            <w:pPr>
              <w:jc w:val="center"/>
              <w:rPr>
                <w:rFonts w:hAnsi="宋体"/>
                <w:szCs w:val="21"/>
              </w:rPr>
            </w:pPr>
            <w:r>
              <w:rPr>
                <w:rFonts w:hint="eastAsia" w:hAnsi="宋体"/>
                <w:szCs w:val="21"/>
              </w:rPr>
              <w:t>tce</w:t>
            </w:r>
            <w:r>
              <w:rPr>
                <w:rFonts w:hAnsi="宋体"/>
                <w:szCs w:val="21"/>
              </w:rPr>
              <w:t>/a</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continue"/>
            <w:vAlign w:val="center"/>
          </w:tcPr>
          <w:p>
            <w:pPr>
              <w:snapToGrid w:val="0"/>
              <w:jc w:val="center"/>
              <w:rPr>
                <w:rFonts w:hAnsi="宋体"/>
                <w:szCs w:val="21"/>
              </w:rPr>
            </w:pPr>
          </w:p>
        </w:tc>
        <w:tc>
          <w:tcPr>
            <w:tcW w:w="491" w:type="pct"/>
            <w:vMerge w:val="continue"/>
            <w:vAlign w:val="center"/>
          </w:tcPr>
          <w:p>
            <w:pPr>
              <w:ind w:firstLine="1470" w:firstLineChars="700"/>
              <w:rPr>
                <w:rFonts w:hAnsi="宋体"/>
                <w:szCs w:val="21"/>
              </w:rPr>
            </w:pPr>
          </w:p>
        </w:tc>
        <w:tc>
          <w:tcPr>
            <w:tcW w:w="985" w:type="pct"/>
            <w:vAlign w:val="center"/>
          </w:tcPr>
          <w:p>
            <w:pPr>
              <w:rPr>
                <w:rFonts w:hAnsi="宋体"/>
                <w:szCs w:val="21"/>
              </w:rPr>
            </w:pPr>
            <w:r>
              <w:rPr>
                <w:rFonts w:hAnsi="宋体"/>
                <w:szCs w:val="21"/>
              </w:rPr>
              <w:t>□</w:t>
            </w:r>
            <w:r>
              <w:rPr>
                <w:rFonts w:hint="eastAsia" w:hAnsi="宋体"/>
                <w:szCs w:val="21"/>
              </w:rPr>
              <w:t>其他热力</w:t>
            </w:r>
          </w:p>
        </w:tc>
        <w:tc>
          <w:tcPr>
            <w:tcW w:w="1474" w:type="pct"/>
            <w:vAlign w:val="center"/>
          </w:tcPr>
          <w:p>
            <w:pPr>
              <w:jc w:val="center"/>
              <w:rPr>
                <w:rFonts w:hAnsi="宋体"/>
                <w:szCs w:val="21"/>
              </w:rPr>
            </w:pPr>
            <w:r>
              <w:rPr>
                <w:rFonts w:hint="eastAsia" w:hAnsi="宋体"/>
                <w:szCs w:val="21"/>
              </w:rPr>
              <w:t>tce</w:t>
            </w:r>
            <w:r>
              <w:rPr>
                <w:rFonts w:hAnsi="宋体"/>
                <w:szCs w:val="21"/>
              </w:rPr>
              <w:t>/a</w:t>
            </w: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restart"/>
            <w:vAlign w:val="center"/>
          </w:tcPr>
          <w:p>
            <w:pPr>
              <w:snapToGrid w:val="0"/>
              <w:jc w:val="center"/>
              <w:rPr>
                <w:rFonts w:hAnsi="宋体"/>
                <w:szCs w:val="21"/>
              </w:rPr>
            </w:pPr>
            <w:r>
              <w:rPr>
                <w:rFonts w:hint="eastAsia" w:hAnsi="宋体"/>
                <w:szCs w:val="21"/>
              </w:rPr>
              <w:t>项目</w:t>
            </w:r>
          </w:p>
          <w:p>
            <w:pPr>
              <w:snapToGrid w:val="0"/>
              <w:jc w:val="center"/>
              <w:rPr>
                <w:rFonts w:hAnsi="宋体"/>
                <w:szCs w:val="21"/>
              </w:rPr>
            </w:pPr>
            <w:r>
              <w:rPr>
                <w:rFonts w:hAnsi="宋体"/>
                <w:szCs w:val="21"/>
              </w:rPr>
              <w:t>分项</w:t>
            </w:r>
          </w:p>
          <w:p>
            <w:pPr>
              <w:snapToGrid w:val="0"/>
              <w:jc w:val="center"/>
              <w:rPr>
                <w:rFonts w:hAnsi="宋体"/>
                <w:szCs w:val="21"/>
              </w:rPr>
            </w:pPr>
            <w:r>
              <w:rPr>
                <w:rFonts w:hAnsi="宋体"/>
                <w:szCs w:val="21"/>
              </w:rPr>
              <w:t>能耗</w:t>
            </w:r>
          </w:p>
        </w:tc>
        <w:tc>
          <w:tcPr>
            <w:tcW w:w="1476" w:type="pct"/>
            <w:gridSpan w:val="2"/>
            <w:vAlign w:val="center"/>
          </w:tcPr>
          <w:p>
            <w:pPr>
              <w:jc w:val="center"/>
              <w:rPr>
                <w:rFonts w:hAnsi="宋体"/>
                <w:szCs w:val="21"/>
              </w:rPr>
            </w:pPr>
            <w:r>
              <w:rPr>
                <w:rFonts w:hAnsi="宋体"/>
                <w:szCs w:val="21"/>
              </w:rPr>
              <w:t>耗能系统</w:t>
            </w:r>
          </w:p>
        </w:tc>
        <w:tc>
          <w:tcPr>
            <w:tcW w:w="1474" w:type="pct"/>
            <w:vAlign w:val="center"/>
          </w:tcPr>
          <w:p>
            <w:pPr>
              <w:jc w:val="center"/>
              <w:rPr>
                <w:rFonts w:hAnsi="宋体"/>
                <w:szCs w:val="21"/>
              </w:rPr>
            </w:pPr>
            <w:r>
              <w:rPr>
                <w:rFonts w:hAnsi="宋体"/>
                <w:szCs w:val="21"/>
              </w:rPr>
              <w:t>设计年耗能量（tce）</w:t>
            </w:r>
          </w:p>
        </w:tc>
        <w:tc>
          <w:tcPr>
            <w:tcW w:w="1559" w:type="pct"/>
            <w:vAlign w:val="center"/>
          </w:tcPr>
          <w:p>
            <w:pPr>
              <w:jc w:val="center"/>
              <w:rPr>
                <w:rFonts w:hAnsi="宋体"/>
                <w:szCs w:val="21"/>
              </w:rPr>
            </w:pPr>
            <w:r>
              <w:rPr>
                <w:rFonts w:hAnsi="宋体"/>
                <w:szCs w:val="21"/>
              </w:rPr>
              <w:t>分项能耗占总能耗百分比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continue"/>
            <w:vAlign w:val="center"/>
          </w:tcPr>
          <w:p>
            <w:pPr>
              <w:snapToGrid w:val="0"/>
              <w:rPr>
                <w:rFonts w:hAnsi="宋体"/>
                <w:szCs w:val="21"/>
              </w:rPr>
            </w:pPr>
          </w:p>
        </w:tc>
        <w:tc>
          <w:tcPr>
            <w:tcW w:w="1476" w:type="pct"/>
            <w:gridSpan w:val="2"/>
            <w:vAlign w:val="center"/>
          </w:tcPr>
          <w:p>
            <w:pPr>
              <w:jc w:val="center"/>
              <w:rPr>
                <w:rFonts w:hAnsi="宋体"/>
                <w:szCs w:val="21"/>
              </w:rPr>
            </w:pPr>
            <w:r>
              <w:rPr>
                <w:rFonts w:hAnsi="宋体"/>
                <w:szCs w:val="21"/>
              </w:rPr>
              <w:t>暖通空调系统</w:t>
            </w:r>
          </w:p>
        </w:tc>
        <w:tc>
          <w:tcPr>
            <w:tcW w:w="1474" w:type="pct"/>
            <w:vAlign w:val="center"/>
          </w:tcPr>
          <w:p>
            <w:pPr>
              <w:jc w:val="center"/>
              <w:rPr>
                <w:rFonts w:hAnsi="宋体"/>
                <w:szCs w:val="21"/>
              </w:rPr>
            </w:pP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continue"/>
            <w:vAlign w:val="center"/>
          </w:tcPr>
          <w:p>
            <w:pPr>
              <w:snapToGrid w:val="0"/>
              <w:rPr>
                <w:rFonts w:hAnsi="宋体"/>
                <w:szCs w:val="21"/>
              </w:rPr>
            </w:pPr>
          </w:p>
        </w:tc>
        <w:tc>
          <w:tcPr>
            <w:tcW w:w="1476" w:type="pct"/>
            <w:gridSpan w:val="2"/>
            <w:vAlign w:val="center"/>
          </w:tcPr>
          <w:p>
            <w:pPr>
              <w:jc w:val="center"/>
              <w:rPr>
                <w:rFonts w:hAnsi="宋体"/>
                <w:szCs w:val="21"/>
              </w:rPr>
            </w:pPr>
            <w:r>
              <w:rPr>
                <w:rFonts w:hAnsi="宋体"/>
                <w:szCs w:val="21"/>
              </w:rPr>
              <w:t>照明</w:t>
            </w:r>
            <w:r>
              <w:rPr>
                <w:rFonts w:hint="eastAsia" w:hAnsi="宋体"/>
                <w:szCs w:val="21"/>
              </w:rPr>
              <w:t>、插座</w:t>
            </w:r>
          </w:p>
        </w:tc>
        <w:tc>
          <w:tcPr>
            <w:tcW w:w="1474" w:type="pct"/>
            <w:vAlign w:val="center"/>
          </w:tcPr>
          <w:p>
            <w:pPr>
              <w:jc w:val="center"/>
              <w:rPr>
                <w:rFonts w:hAnsi="宋体"/>
                <w:szCs w:val="21"/>
              </w:rPr>
            </w:pP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continue"/>
            <w:vAlign w:val="center"/>
          </w:tcPr>
          <w:p>
            <w:pPr>
              <w:snapToGrid w:val="0"/>
              <w:rPr>
                <w:rFonts w:hAnsi="宋体"/>
                <w:szCs w:val="21"/>
              </w:rPr>
            </w:pPr>
          </w:p>
        </w:tc>
        <w:tc>
          <w:tcPr>
            <w:tcW w:w="1476" w:type="pct"/>
            <w:gridSpan w:val="2"/>
            <w:vAlign w:val="center"/>
          </w:tcPr>
          <w:p>
            <w:pPr>
              <w:jc w:val="center"/>
              <w:rPr>
                <w:rFonts w:hAnsi="宋体"/>
                <w:szCs w:val="21"/>
              </w:rPr>
            </w:pPr>
            <w:r>
              <w:rPr>
                <w:rFonts w:hint="eastAsia" w:hAnsi="宋体"/>
                <w:szCs w:val="21"/>
              </w:rPr>
              <w:t>生活热水系统</w:t>
            </w:r>
          </w:p>
        </w:tc>
        <w:tc>
          <w:tcPr>
            <w:tcW w:w="1474" w:type="pct"/>
            <w:vAlign w:val="center"/>
          </w:tcPr>
          <w:p>
            <w:pPr>
              <w:jc w:val="center"/>
              <w:rPr>
                <w:rFonts w:hAnsi="宋体"/>
                <w:szCs w:val="21"/>
              </w:rPr>
            </w:pP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continue"/>
            <w:vAlign w:val="center"/>
          </w:tcPr>
          <w:p>
            <w:pPr>
              <w:snapToGrid w:val="0"/>
              <w:rPr>
                <w:rFonts w:hAnsi="宋体"/>
                <w:szCs w:val="21"/>
              </w:rPr>
            </w:pPr>
          </w:p>
        </w:tc>
        <w:tc>
          <w:tcPr>
            <w:tcW w:w="1476" w:type="pct"/>
            <w:gridSpan w:val="2"/>
            <w:vAlign w:val="center"/>
          </w:tcPr>
          <w:p>
            <w:pPr>
              <w:jc w:val="center"/>
              <w:rPr>
                <w:rFonts w:hAnsi="宋体"/>
                <w:szCs w:val="21"/>
              </w:rPr>
            </w:pPr>
            <w:r>
              <w:rPr>
                <w:rFonts w:hint="eastAsia" w:hAnsi="宋体"/>
                <w:szCs w:val="21"/>
              </w:rPr>
              <w:t>生活给水系统</w:t>
            </w:r>
          </w:p>
        </w:tc>
        <w:tc>
          <w:tcPr>
            <w:tcW w:w="1474" w:type="pct"/>
            <w:vAlign w:val="center"/>
          </w:tcPr>
          <w:p>
            <w:pPr>
              <w:jc w:val="center"/>
              <w:rPr>
                <w:rFonts w:hAnsi="宋体"/>
                <w:szCs w:val="21"/>
              </w:rPr>
            </w:pP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continue"/>
            <w:vAlign w:val="center"/>
          </w:tcPr>
          <w:p>
            <w:pPr>
              <w:snapToGrid w:val="0"/>
              <w:rPr>
                <w:rFonts w:hAnsi="宋体"/>
                <w:szCs w:val="21"/>
              </w:rPr>
            </w:pPr>
          </w:p>
        </w:tc>
        <w:tc>
          <w:tcPr>
            <w:tcW w:w="1476" w:type="pct"/>
            <w:gridSpan w:val="2"/>
            <w:vAlign w:val="center"/>
          </w:tcPr>
          <w:p>
            <w:pPr>
              <w:jc w:val="center"/>
              <w:rPr>
                <w:rFonts w:hAnsi="宋体"/>
                <w:szCs w:val="21"/>
              </w:rPr>
            </w:pPr>
            <w:r>
              <w:rPr>
                <w:rFonts w:hint="eastAsia" w:hAnsi="宋体"/>
                <w:szCs w:val="21"/>
              </w:rPr>
              <w:t>厨房炊事系统（燃气）</w:t>
            </w:r>
          </w:p>
        </w:tc>
        <w:tc>
          <w:tcPr>
            <w:tcW w:w="1474" w:type="pct"/>
            <w:vAlign w:val="center"/>
          </w:tcPr>
          <w:p>
            <w:pPr>
              <w:jc w:val="center"/>
              <w:rPr>
                <w:rFonts w:hAnsi="宋体"/>
                <w:szCs w:val="21"/>
              </w:rPr>
            </w:pP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continue"/>
            <w:vAlign w:val="center"/>
          </w:tcPr>
          <w:p>
            <w:pPr>
              <w:snapToGrid w:val="0"/>
              <w:rPr>
                <w:rFonts w:hAnsi="宋体"/>
                <w:szCs w:val="21"/>
              </w:rPr>
            </w:pPr>
          </w:p>
        </w:tc>
        <w:tc>
          <w:tcPr>
            <w:tcW w:w="1476" w:type="pct"/>
            <w:gridSpan w:val="2"/>
            <w:vAlign w:val="center"/>
          </w:tcPr>
          <w:p>
            <w:pPr>
              <w:jc w:val="center"/>
              <w:rPr>
                <w:rFonts w:hAnsi="宋体"/>
                <w:szCs w:val="21"/>
              </w:rPr>
            </w:pPr>
            <w:r>
              <w:rPr>
                <w:rFonts w:hAnsi="宋体"/>
                <w:szCs w:val="21"/>
              </w:rPr>
              <w:t>电梯运输系统</w:t>
            </w:r>
          </w:p>
        </w:tc>
        <w:tc>
          <w:tcPr>
            <w:tcW w:w="1474" w:type="pct"/>
            <w:vAlign w:val="center"/>
          </w:tcPr>
          <w:p>
            <w:pPr>
              <w:jc w:val="center"/>
              <w:rPr>
                <w:rFonts w:hAnsi="宋体"/>
                <w:szCs w:val="21"/>
              </w:rPr>
            </w:pP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continue"/>
            <w:vAlign w:val="center"/>
          </w:tcPr>
          <w:p>
            <w:pPr>
              <w:snapToGrid w:val="0"/>
              <w:rPr>
                <w:rFonts w:hAnsi="宋体"/>
                <w:szCs w:val="21"/>
              </w:rPr>
            </w:pPr>
          </w:p>
        </w:tc>
        <w:tc>
          <w:tcPr>
            <w:tcW w:w="1476" w:type="pct"/>
            <w:gridSpan w:val="2"/>
            <w:vAlign w:val="center"/>
          </w:tcPr>
          <w:p>
            <w:pPr>
              <w:jc w:val="center"/>
              <w:rPr>
                <w:rFonts w:hAnsi="宋体"/>
                <w:szCs w:val="21"/>
              </w:rPr>
            </w:pPr>
            <w:r>
              <w:rPr>
                <w:rFonts w:hint="eastAsia" w:hAnsi="宋体"/>
                <w:szCs w:val="21"/>
              </w:rPr>
              <w:t>变压器损耗</w:t>
            </w:r>
          </w:p>
        </w:tc>
        <w:tc>
          <w:tcPr>
            <w:tcW w:w="1474" w:type="pct"/>
            <w:vAlign w:val="center"/>
          </w:tcPr>
          <w:p>
            <w:pPr>
              <w:jc w:val="center"/>
              <w:rPr>
                <w:rFonts w:hAnsi="宋体"/>
                <w:szCs w:val="21"/>
              </w:rPr>
            </w:pP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continue"/>
            <w:vAlign w:val="center"/>
          </w:tcPr>
          <w:p>
            <w:pPr>
              <w:snapToGrid w:val="0"/>
              <w:rPr>
                <w:rFonts w:hAnsi="宋体"/>
                <w:szCs w:val="21"/>
              </w:rPr>
            </w:pPr>
          </w:p>
        </w:tc>
        <w:tc>
          <w:tcPr>
            <w:tcW w:w="1476" w:type="pct"/>
            <w:gridSpan w:val="2"/>
            <w:vAlign w:val="center"/>
          </w:tcPr>
          <w:p>
            <w:pPr>
              <w:jc w:val="center"/>
              <w:rPr>
                <w:rFonts w:hAnsi="宋体"/>
                <w:szCs w:val="21"/>
              </w:rPr>
            </w:pPr>
            <w:r>
              <w:rPr>
                <w:rFonts w:hint="eastAsia" w:hAnsi="宋体"/>
                <w:szCs w:val="21"/>
              </w:rPr>
              <w:t>户内用电量</w:t>
            </w:r>
          </w:p>
        </w:tc>
        <w:tc>
          <w:tcPr>
            <w:tcW w:w="1474" w:type="pct"/>
            <w:vAlign w:val="center"/>
          </w:tcPr>
          <w:p>
            <w:pPr>
              <w:jc w:val="center"/>
              <w:rPr>
                <w:rFonts w:hAnsi="宋体"/>
                <w:szCs w:val="21"/>
              </w:rPr>
            </w:pP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491" w:type="pct"/>
            <w:vMerge w:val="continue"/>
            <w:vAlign w:val="center"/>
          </w:tcPr>
          <w:p>
            <w:pPr>
              <w:snapToGrid w:val="0"/>
              <w:rPr>
                <w:rFonts w:hAnsi="宋体"/>
                <w:szCs w:val="21"/>
              </w:rPr>
            </w:pPr>
          </w:p>
        </w:tc>
        <w:tc>
          <w:tcPr>
            <w:tcW w:w="1476" w:type="pct"/>
            <w:gridSpan w:val="2"/>
            <w:vAlign w:val="center"/>
          </w:tcPr>
          <w:p>
            <w:pPr>
              <w:jc w:val="center"/>
              <w:rPr>
                <w:rFonts w:hAnsi="宋体"/>
                <w:szCs w:val="21"/>
              </w:rPr>
            </w:pPr>
            <w:r>
              <w:rPr>
                <w:rFonts w:hint="eastAsia" w:hAnsi="宋体"/>
                <w:szCs w:val="21"/>
              </w:rPr>
              <w:t>其他</w:t>
            </w:r>
          </w:p>
        </w:tc>
        <w:tc>
          <w:tcPr>
            <w:tcW w:w="1474" w:type="pct"/>
            <w:vAlign w:val="center"/>
          </w:tcPr>
          <w:p>
            <w:pPr>
              <w:jc w:val="center"/>
              <w:rPr>
                <w:rFonts w:hAnsi="宋体"/>
                <w:szCs w:val="21"/>
              </w:rPr>
            </w:pPr>
          </w:p>
        </w:tc>
        <w:tc>
          <w:tcPr>
            <w:tcW w:w="1559" w:type="pct"/>
            <w:vAlign w:val="center"/>
          </w:tcPr>
          <w:p>
            <w:pPr>
              <w:jc w:val="center"/>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870" w:hRule="atLeast"/>
        </w:trPr>
        <w:tc>
          <w:tcPr>
            <w:tcW w:w="5000" w:type="pct"/>
            <w:gridSpan w:val="5"/>
          </w:tcPr>
          <w:p>
            <w:pPr>
              <w:ind w:firstLine="105" w:firstLineChars="50"/>
              <w:jc w:val="left"/>
              <w:rPr>
                <w:rFonts w:hAnsi="宋体"/>
                <w:szCs w:val="21"/>
              </w:rPr>
            </w:pPr>
            <w:r>
              <w:rPr>
                <w:rFonts w:hint="eastAsia" w:hAnsi="宋体"/>
                <w:szCs w:val="21"/>
              </w:rPr>
              <w:t>其它指标说明：</w:t>
            </w:r>
          </w:p>
          <w:p>
            <w:pPr>
              <w:jc w:val="left"/>
              <w:rPr>
                <w:rFonts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23" w:hRule="atLeast"/>
        </w:trPr>
        <w:tc>
          <w:tcPr>
            <w:tcW w:w="5000" w:type="pct"/>
            <w:gridSpan w:val="5"/>
          </w:tcPr>
          <w:p>
            <w:pPr>
              <w:ind w:firstLine="103" w:firstLineChars="49"/>
              <w:jc w:val="center"/>
              <w:rPr>
                <w:rFonts w:hAnsi="宋体"/>
                <w:szCs w:val="21"/>
              </w:rPr>
            </w:pPr>
            <w:r>
              <w:rPr>
                <w:rFonts w:hint="eastAsia" w:hAnsi="宋体"/>
                <w:b/>
                <w:szCs w:val="21"/>
              </w:rPr>
              <w:t>3</w:t>
            </w:r>
            <w:r>
              <w:rPr>
                <w:rFonts w:hAnsi="宋体"/>
                <w:b/>
                <w:szCs w:val="21"/>
              </w:rPr>
              <w:t xml:space="preserve"> </w:t>
            </w:r>
            <w:r>
              <w:rPr>
                <w:rFonts w:hint="eastAsia" w:hAnsi="宋体"/>
                <w:b/>
                <w:szCs w:val="21"/>
              </w:rPr>
              <w:t>绿色建筑设计技术措施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6" w:type="dxa"/>
            <w:bottom w:w="0" w:type="dxa"/>
            <w:right w:w="56" w:type="dxa"/>
          </w:tblCellMar>
        </w:tblPrEx>
        <w:trPr>
          <w:trHeight w:val="377" w:hRule="atLeast"/>
        </w:trPr>
        <w:tc>
          <w:tcPr>
            <w:tcW w:w="5000" w:type="pct"/>
            <w:gridSpan w:val="5"/>
          </w:tcPr>
          <w:p>
            <w:pPr>
              <w:jc w:val="center"/>
              <w:rPr>
                <w:rFonts w:hAnsi="宋体"/>
                <w:szCs w:val="21"/>
              </w:rPr>
            </w:pPr>
            <w:r>
              <w:rPr>
                <w:rFonts w:hint="eastAsia" w:hAnsi="宋体"/>
                <w:szCs w:val="21"/>
              </w:rPr>
              <w:t>详见各专业绿建施工图。</w:t>
            </w:r>
          </w:p>
        </w:tc>
      </w:tr>
    </w:tbl>
    <w:p>
      <w:pPr>
        <w:rPr>
          <w:rFonts w:hAnsi="宋体"/>
        </w:rPr>
        <w:sectPr>
          <w:headerReference r:id="rId5" w:type="default"/>
          <w:pgSz w:w="23814" w:h="16840" w:orient="landscape"/>
          <w:pgMar w:top="1134" w:right="1134" w:bottom="1134" w:left="1134" w:header="851" w:footer="810" w:gutter="0"/>
          <w:cols w:space="630" w:num="2"/>
          <w:docGrid w:type="lines" w:linePitch="312" w:charSpace="0"/>
        </w:sectPr>
      </w:pPr>
    </w:p>
    <w:p>
      <w:pPr>
        <w:rPr>
          <w:rFonts w:hAnsi="宋体"/>
        </w:rPr>
      </w:pPr>
    </w:p>
    <w:p>
      <w:pPr>
        <w:pStyle w:val="63"/>
        <w:ind w:firstLine="0"/>
        <w:rPr>
          <w:rFonts w:asciiTheme="minorEastAsia" w:hAnsiTheme="minorEastAsia" w:eastAsiaTheme="minorEastAsia"/>
          <w:b/>
        </w:rPr>
      </w:pPr>
      <w:bookmarkStart w:id="3" w:name="_Toc109325900"/>
      <w:bookmarkStart w:id="4" w:name="_Toc109325264"/>
      <w:r>
        <w:rPr>
          <w:rFonts w:hint="eastAsia" w:asciiTheme="minorEastAsia" w:hAnsiTheme="minorEastAsia" w:eastAsiaTheme="minorEastAsia"/>
          <w:b/>
        </w:rPr>
        <w:t>一、建筑主要</w:t>
      </w:r>
      <w:r>
        <w:rPr>
          <w:rFonts w:asciiTheme="minorEastAsia" w:hAnsiTheme="minorEastAsia" w:eastAsiaTheme="minorEastAsia"/>
          <w:b/>
        </w:rPr>
        <w:t>设计依据</w:t>
      </w:r>
      <w:r>
        <w:rPr>
          <w:rFonts w:hint="eastAsia" w:asciiTheme="minorEastAsia" w:hAnsiTheme="minorEastAsia" w:eastAsiaTheme="minorEastAsia"/>
          <w:b/>
        </w:rPr>
        <w:t>:</w:t>
      </w:r>
      <w:bookmarkEnd w:id="3"/>
      <w:bookmarkEnd w:id="4"/>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《浙江省绿色建筑条例》；</w:t>
      </w:r>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《杭州市民用建筑节能条例》；</w:t>
      </w:r>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《建筑节能与可再生能源利用通用规范》 GB 55015-2021；</w:t>
      </w:r>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《建筑环境通用规范》 GB 55016-2021；</w:t>
      </w:r>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 xml:space="preserve">浙江省《居住建筑节能设计标准》DB </w:t>
      </w:r>
      <w:r>
        <w:rPr>
          <w:rFonts w:asciiTheme="minorEastAsia" w:hAnsiTheme="minorEastAsia" w:eastAsiaTheme="minorEastAsia"/>
          <w:szCs w:val="21"/>
        </w:rPr>
        <w:t>33</w:t>
      </w:r>
      <w:r>
        <w:rPr>
          <w:rFonts w:hint="eastAsia" w:asciiTheme="minorEastAsia" w:hAnsiTheme="minorEastAsia" w:eastAsiaTheme="minorEastAsia"/>
          <w:szCs w:val="21"/>
        </w:rPr>
        <w:t>/10</w:t>
      </w:r>
      <w:r>
        <w:rPr>
          <w:rFonts w:asciiTheme="minorEastAsia" w:hAnsiTheme="minorEastAsia" w:eastAsiaTheme="minorEastAsia"/>
          <w:szCs w:val="21"/>
        </w:rPr>
        <w:t>15</w:t>
      </w:r>
      <w:r>
        <w:rPr>
          <w:rFonts w:hint="eastAsia" w:asciiTheme="minorEastAsia" w:hAnsiTheme="minorEastAsia" w:eastAsiaTheme="minorEastAsia"/>
          <w:szCs w:val="21"/>
        </w:rPr>
        <w:t>-2021；</w:t>
      </w:r>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浙江省《绿色建筑设计标准》DB</w:t>
      </w:r>
      <w:r>
        <w:rPr>
          <w:rFonts w:asciiTheme="minorEastAsia" w:hAnsiTheme="minorEastAsia" w:eastAsiaTheme="minorEastAsia"/>
          <w:szCs w:val="21"/>
        </w:rPr>
        <w:t xml:space="preserve"> 33</w:t>
      </w:r>
      <w:r>
        <w:rPr>
          <w:rFonts w:hint="eastAsia" w:asciiTheme="minorEastAsia" w:hAnsiTheme="minorEastAsia" w:eastAsiaTheme="minorEastAsia"/>
          <w:szCs w:val="21"/>
        </w:rPr>
        <w:t>/1092-</w:t>
      </w:r>
      <w:r>
        <w:rPr>
          <w:rFonts w:asciiTheme="minorEastAsia" w:hAnsiTheme="minorEastAsia" w:eastAsiaTheme="minorEastAsia"/>
          <w:szCs w:val="21"/>
        </w:rPr>
        <w:t>2021</w:t>
      </w:r>
      <w:r>
        <w:rPr>
          <w:rFonts w:hint="eastAsia" w:asciiTheme="minorEastAsia" w:hAnsiTheme="minorEastAsia" w:eastAsiaTheme="minorEastAsia"/>
          <w:szCs w:val="21"/>
        </w:rPr>
        <w:t>；</w:t>
      </w:r>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《绿色建筑评价标准》GB/T</w:t>
      </w:r>
      <w:r>
        <w:rPr>
          <w:rFonts w:asciiTheme="minorEastAsia" w:hAnsiTheme="minorEastAsia" w:eastAsiaTheme="minorEastAsia"/>
          <w:szCs w:val="21"/>
        </w:rPr>
        <w:t xml:space="preserve"> </w:t>
      </w:r>
      <w:r>
        <w:rPr>
          <w:rFonts w:hint="eastAsia" w:asciiTheme="minorEastAsia" w:hAnsiTheme="minorEastAsia" w:eastAsiaTheme="minorEastAsia"/>
          <w:szCs w:val="21"/>
        </w:rPr>
        <w:t>50378-</w:t>
      </w:r>
      <w:r>
        <w:rPr>
          <w:rFonts w:hint="eastAsia" w:cs="宋体" w:asciiTheme="minorEastAsia" w:hAnsiTheme="minorEastAsia" w:eastAsiaTheme="minorEastAsia"/>
          <w:kern w:val="0"/>
          <w:szCs w:val="21"/>
        </w:rPr>
        <w:t>201</w:t>
      </w:r>
      <w:r>
        <w:rPr>
          <w:rFonts w:cs="宋体" w:asciiTheme="minorEastAsia" w:hAnsiTheme="minorEastAsia" w:eastAsiaTheme="minorEastAsia"/>
          <w:kern w:val="0"/>
          <w:szCs w:val="21"/>
        </w:rPr>
        <w:t>9</w:t>
      </w:r>
      <w:r>
        <w:rPr>
          <w:rFonts w:hint="eastAsia" w:asciiTheme="minorEastAsia" w:hAnsiTheme="minorEastAsia" w:eastAsiaTheme="minorEastAsia"/>
          <w:szCs w:val="21"/>
        </w:rPr>
        <w:t>；</w:t>
      </w:r>
    </w:p>
    <w:p>
      <w:pPr>
        <w:widowControl/>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《民用建筑绿色设计规范》JGJ/T</w:t>
      </w:r>
      <w:r>
        <w:rPr>
          <w:rFonts w:asciiTheme="minorEastAsia" w:hAnsiTheme="minorEastAsia" w:eastAsiaTheme="minorEastAsia"/>
          <w:szCs w:val="21"/>
        </w:rPr>
        <w:t xml:space="preserve"> </w:t>
      </w:r>
      <w:r>
        <w:rPr>
          <w:rFonts w:hint="eastAsia" w:asciiTheme="minorEastAsia" w:hAnsiTheme="minorEastAsia" w:eastAsiaTheme="minorEastAsia"/>
          <w:szCs w:val="21"/>
        </w:rPr>
        <w:t>229-2010；</w:t>
      </w:r>
    </w:p>
    <w:p>
      <w:pPr>
        <w:widowControl/>
        <w:numPr>
          <w:ilvl w:val="0"/>
          <w:numId w:val="13"/>
        </w:numPr>
        <w:spacing w:line="400" w:lineRule="exact"/>
        <w:ind w:left="426" w:firstLine="0"/>
        <w:rPr>
          <w:rFonts w:asciiTheme="minorEastAsia" w:hAnsiTheme="minorEastAsia" w:eastAsiaTheme="minorEastAsia"/>
          <w:szCs w:val="21"/>
        </w:rPr>
      </w:pPr>
      <w:r>
        <w:rPr>
          <w:rFonts w:asciiTheme="minorEastAsia" w:hAnsiTheme="minorEastAsia" w:eastAsiaTheme="minorEastAsia"/>
          <w:szCs w:val="21"/>
        </w:rPr>
        <w:t>《民用建筑热工设计规范》GB 50176-</w:t>
      </w:r>
      <w:r>
        <w:rPr>
          <w:rFonts w:hint="eastAsia" w:asciiTheme="minorEastAsia" w:hAnsiTheme="minorEastAsia" w:eastAsiaTheme="minorEastAsia"/>
          <w:szCs w:val="21"/>
        </w:rPr>
        <w:t>2016；</w:t>
      </w:r>
    </w:p>
    <w:p>
      <w:pPr>
        <w:widowControl/>
        <w:numPr>
          <w:ilvl w:val="0"/>
          <w:numId w:val="13"/>
        </w:numPr>
        <w:spacing w:line="400" w:lineRule="exact"/>
        <w:ind w:left="426" w:firstLine="0"/>
        <w:rPr>
          <w:rFonts w:asciiTheme="minorEastAsia" w:hAnsiTheme="minorEastAsia" w:eastAsiaTheme="minorEastAsia"/>
          <w:szCs w:val="21"/>
        </w:rPr>
      </w:pPr>
      <w:r>
        <w:rPr>
          <w:rFonts w:asciiTheme="minorEastAsia" w:hAnsiTheme="minorEastAsia" w:eastAsiaTheme="minorEastAsia"/>
          <w:szCs w:val="21"/>
        </w:rPr>
        <w:t>《建筑设计防火规范》GB 50016-</w:t>
      </w:r>
      <w:r>
        <w:rPr>
          <w:rFonts w:hint="eastAsia" w:cs="宋体" w:asciiTheme="minorEastAsia" w:hAnsiTheme="minorEastAsia" w:eastAsiaTheme="minorEastAsia"/>
          <w:kern w:val="0"/>
          <w:szCs w:val="21"/>
        </w:rPr>
        <w:t>2014</w:t>
      </w:r>
      <w:r>
        <w:rPr>
          <w:rFonts w:hint="eastAsia" w:asciiTheme="minorEastAsia" w:hAnsiTheme="minorEastAsia" w:eastAsiaTheme="minorEastAsia"/>
          <w:szCs w:val="21"/>
        </w:rPr>
        <w:t>（2</w:t>
      </w:r>
      <w:r>
        <w:rPr>
          <w:rFonts w:asciiTheme="minorEastAsia" w:hAnsiTheme="minorEastAsia" w:eastAsiaTheme="minorEastAsia"/>
          <w:szCs w:val="21"/>
        </w:rPr>
        <w:t>018</w:t>
      </w:r>
      <w:r>
        <w:rPr>
          <w:rFonts w:hint="eastAsia" w:asciiTheme="minorEastAsia" w:hAnsiTheme="minorEastAsia" w:eastAsiaTheme="minorEastAsia"/>
          <w:szCs w:val="21"/>
        </w:rPr>
        <w:t>年版）；</w:t>
      </w:r>
    </w:p>
    <w:p>
      <w:pPr>
        <w:numPr>
          <w:ilvl w:val="0"/>
          <w:numId w:val="13"/>
        </w:numPr>
        <w:spacing w:line="400" w:lineRule="exact"/>
        <w:ind w:left="426" w:firstLine="0"/>
        <w:rPr>
          <w:rFonts w:asciiTheme="minorEastAsia" w:hAnsiTheme="minorEastAsia" w:eastAsiaTheme="minorEastAsia"/>
          <w:szCs w:val="21"/>
        </w:rPr>
      </w:pPr>
      <w:r>
        <w:rPr>
          <w:rFonts w:hint="eastAsia" w:cs="宋体" w:asciiTheme="minorEastAsia" w:hAnsiTheme="minorEastAsia" w:eastAsiaTheme="minorEastAsia"/>
          <w:kern w:val="0"/>
          <w:szCs w:val="21"/>
        </w:rPr>
        <w:t>《建筑外门窗气密、水密、抗风压性能检测方法》</w:t>
      </w:r>
      <w:r>
        <w:rPr>
          <w:rFonts w:cs="宋体" w:asciiTheme="minorEastAsia" w:hAnsiTheme="minorEastAsia" w:eastAsiaTheme="minorEastAsia"/>
          <w:kern w:val="0"/>
          <w:szCs w:val="21"/>
        </w:rPr>
        <w:t>GB/T 7106-2019</w:t>
      </w:r>
      <w:r>
        <w:rPr>
          <w:rFonts w:hint="eastAsia" w:cs="宋体" w:asciiTheme="minorEastAsia" w:hAnsiTheme="minorEastAsia" w:eastAsiaTheme="minorEastAsia"/>
          <w:kern w:val="0"/>
          <w:szCs w:val="21"/>
        </w:rPr>
        <w:t>；</w:t>
      </w:r>
    </w:p>
    <w:p>
      <w:pPr>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《建筑幕墙、门窗通用技术条件》GB/T 31433-2015；</w:t>
      </w:r>
    </w:p>
    <w:p>
      <w:pPr>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《建筑采光设计标准》GB</w:t>
      </w:r>
      <w:r>
        <w:rPr>
          <w:rFonts w:asciiTheme="minorEastAsia" w:hAnsiTheme="minorEastAsia" w:eastAsiaTheme="minorEastAsia"/>
          <w:szCs w:val="21"/>
        </w:rPr>
        <w:t xml:space="preserve"> </w:t>
      </w:r>
      <w:r>
        <w:rPr>
          <w:rFonts w:hint="eastAsia" w:asciiTheme="minorEastAsia" w:hAnsiTheme="minorEastAsia" w:eastAsiaTheme="minorEastAsia"/>
          <w:szCs w:val="21"/>
        </w:rPr>
        <w:t>50033-2013；</w:t>
      </w:r>
    </w:p>
    <w:p>
      <w:pPr>
        <w:numPr>
          <w:ilvl w:val="0"/>
          <w:numId w:val="13"/>
        </w:numPr>
        <w:spacing w:line="400" w:lineRule="exact"/>
        <w:ind w:left="426" w:firstLine="0"/>
        <w:rPr>
          <w:rFonts w:asciiTheme="minorEastAsia" w:hAnsiTheme="minorEastAsia" w:eastAsiaTheme="minorEastAsia"/>
          <w:szCs w:val="21"/>
        </w:rPr>
      </w:pPr>
      <w:r>
        <w:rPr>
          <w:rFonts w:hint="eastAsia" w:asciiTheme="minorEastAsia" w:hAnsiTheme="minorEastAsia" w:eastAsiaTheme="minorEastAsia"/>
          <w:szCs w:val="21"/>
        </w:rPr>
        <w:t>《声环境质量标准》GB</w:t>
      </w:r>
      <w:r>
        <w:rPr>
          <w:rFonts w:asciiTheme="minorEastAsia" w:hAnsiTheme="minorEastAsia" w:eastAsiaTheme="minorEastAsia"/>
          <w:szCs w:val="21"/>
        </w:rPr>
        <w:t xml:space="preserve"> </w:t>
      </w:r>
      <w:r>
        <w:rPr>
          <w:rFonts w:hint="eastAsia" w:asciiTheme="minorEastAsia" w:hAnsiTheme="minorEastAsia" w:eastAsiaTheme="minorEastAsia"/>
          <w:szCs w:val="21"/>
        </w:rPr>
        <w:t>3096-2008；</w:t>
      </w:r>
    </w:p>
    <w:p>
      <w:pPr>
        <w:numPr>
          <w:ilvl w:val="0"/>
          <w:numId w:val="13"/>
        </w:numPr>
        <w:spacing w:line="400" w:lineRule="exact"/>
        <w:ind w:left="850" w:leftChars="205" w:hangingChars="200"/>
        <w:rPr>
          <w:rFonts w:asciiTheme="minorEastAsia" w:hAnsiTheme="minorEastAsia" w:eastAsiaTheme="minorEastAsia"/>
          <w:szCs w:val="21"/>
        </w:rPr>
      </w:pPr>
      <w:r>
        <w:rPr>
          <w:rFonts w:hint="eastAsia" w:cs="宋体" w:asciiTheme="minorEastAsia" w:hAnsiTheme="minorEastAsia" w:eastAsiaTheme="minorEastAsia"/>
          <w:kern w:val="0"/>
          <w:szCs w:val="21"/>
        </w:rPr>
        <w:t>《浙江省建设领域推广应用技术公告》和《浙江省建设领域禁止和限制使用技术公告》（浙建发〔2014〕284号）；</w:t>
      </w:r>
    </w:p>
    <w:p>
      <w:pPr>
        <w:numPr>
          <w:ilvl w:val="0"/>
          <w:numId w:val="13"/>
        </w:numPr>
        <w:spacing w:line="400" w:lineRule="exact"/>
        <w:ind w:left="426" w:firstLine="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项目环境影响评价报告：</w:t>
      </w:r>
      <w:r>
        <w:rPr>
          <w:rFonts w:hint="eastAsia" w:hAnsi="宋体" w:cs="宋体"/>
          <w:kern w:val="0"/>
          <w:szCs w:val="21"/>
        </w:rPr>
        <w:t>_</w:t>
      </w:r>
      <w:r>
        <w:rPr>
          <w:rFonts w:hAnsi="宋体" w:cs="宋体"/>
          <w:kern w:val="0"/>
          <w:szCs w:val="21"/>
        </w:rPr>
        <w:t>_________________</w:t>
      </w:r>
      <w:r>
        <w:rPr>
          <w:rFonts w:hint="eastAsia" w:cs="宋体" w:asciiTheme="minorEastAsia" w:hAnsiTheme="minorEastAsia" w:eastAsiaTheme="minorEastAsia"/>
          <w:kern w:val="0"/>
          <w:szCs w:val="21"/>
        </w:rPr>
        <w:t>；</w:t>
      </w:r>
    </w:p>
    <w:p>
      <w:pPr>
        <w:numPr>
          <w:ilvl w:val="0"/>
          <w:numId w:val="13"/>
        </w:numPr>
        <w:spacing w:line="400" w:lineRule="exact"/>
        <w:ind w:left="426" w:firstLine="0"/>
        <w:rPr>
          <w:rFonts w:cs="宋体" w:asciiTheme="minorEastAsia" w:hAnsiTheme="minorEastAsia" w:eastAsiaTheme="minorEastAsia"/>
          <w:kern w:val="0"/>
          <w:szCs w:val="21"/>
        </w:rPr>
      </w:pPr>
      <w:r>
        <w:rPr>
          <w:rFonts w:hint="eastAsia" w:asciiTheme="minorEastAsia" w:hAnsiTheme="minorEastAsia" w:eastAsiaTheme="minorEastAsia"/>
          <w:szCs w:val="21"/>
          <w:lang w:eastAsia="zh-CN"/>
        </w:rPr>
        <w:t>节</w:t>
      </w:r>
      <w:r>
        <w:rPr>
          <w:rFonts w:hint="eastAsia" w:asciiTheme="minorEastAsia" w:hAnsiTheme="minorEastAsia" w:eastAsiaTheme="minorEastAsia"/>
          <w:szCs w:val="21"/>
        </w:rPr>
        <w:t>能评估报告书（表）；</w:t>
      </w:r>
    </w:p>
    <w:p>
      <w:pPr>
        <w:numPr>
          <w:ilvl w:val="0"/>
          <w:numId w:val="13"/>
        </w:numPr>
        <w:spacing w:line="400" w:lineRule="exact"/>
        <w:ind w:left="426" w:firstLine="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建设单位提供的任务书、往来函件等文件资料要求；</w:t>
      </w:r>
    </w:p>
    <w:p>
      <w:pPr>
        <w:numPr>
          <w:ilvl w:val="0"/>
          <w:numId w:val="13"/>
        </w:numPr>
        <w:spacing w:line="400" w:lineRule="exact"/>
        <w:ind w:left="426" w:firstLine="0"/>
        <w:rPr>
          <w:rFonts w:cs="宋体" w:asciiTheme="minorEastAsia" w:hAnsiTheme="minorEastAsia" w:eastAsiaTheme="minorEastAsia"/>
          <w:kern w:val="0"/>
          <w:szCs w:val="21"/>
        </w:rPr>
      </w:pPr>
      <w:r>
        <w:rPr>
          <w:rFonts w:cs="宋体" w:asciiTheme="minorEastAsia" w:hAnsiTheme="minorEastAsia" w:eastAsiaTheme="minorEastAsia"/>
          <w:kern w:val="0"/>
          <w:szCs w:val="21"/>
        </w:rPr>
        <w:t>现行国家、</w:t>
      </w:r>
      <w:r>
        <w:rPr>
          <w:rFonts w:hint="eastAsia" w:cs="宋体" w:asciiTheme="minorEastAsia" w:hAnsiTheme="minorEastAsia" w:eastAsiaTheme="minorEastAsia"/>
          <w:kern w:val="0"/>
          <w:szCs w:val="21"/>
        </w:rPr>
        <w:t>行业、浙江省</w:t>
      </w:r>
      <w:r>
        <w:rPr>
          <w:rFonts w:cs="宋体" w:asciiTheme="minorEastAsia" w:hAnsiTheme="minorEastAsia" w:eastAsiaTheme="minorEastAsia"/>
          <w:kern w:val="0"/>
          <w:szCs w:val="21"/>
        </w:rPr>
        <w:t>相关</w:t>
      </w:r>
      <w:r>
        <w:rPr>
          <w:rFonts w:hint="eastAsia" w:cs="宋体" w:asciiTheme="minorEastAsia" w:hAnsiTheme="minorEastAsia" w:eastAsiaTheme="minorEastAsia"/>
          <w:kern w:val="0"/>
          <w:szCs w:val="21"/>
        </w:rPr>
        <w:t>绿色建筑与</w:t>
      </w:r>
      <w:r>
        <w:rPr>
          <w:rFonts w:cs="宋体" w:asciiTheme="minorEastAsia" w:hAnsiTheme="minorEastAsia" w:eastAsiaTheme="minorEastAsia"/>
          <w:kern w:val="0"/>
          <w:szCs w:val="21"/>
        </w:rPr>
        <w:t>节能</w:t>
      </w:r>
      <w:r>
        <w:rPr>
          <w:rFonts w:hint="eastAsia" w:cs="宋体" w:asciiTheme="minorEastAsia" w:hAnsiTheme="minorEastAsia" w:eastAsiaTheme="minorEastAsia"/>
          <w:kern w:val="0"/>
          <w:szCs w:val="21"/>
        </w:rPr>
        <w:t>的</w:t>
      </w:r>
      <w:r>
        <w:rPr>
          <w:rFonts w:cs="宋体" w:asciiTheme="minorEastAsia" w:hAnsiTheme="minorEastAsia" w:eastAsiaTheme="minorEastAsia"/>
          <w:kern w:val="0"/>
          <w:szCs w:val="21"/>
        </w:rPr>
        <w:t>法律、法规</w:t>
      </w:r>
      <w:r>
        <w:rPr>
          <w:rFonts w:hint="eastAsia" w:cs="宋体" w:asciiTheme="minorEastAsia" w:hAnsiTheme="minorEastAsia" w:eastAsiaTheme="minorEastAsia"/>
          <w:kern w:val="0"/>
          <w:szCs w:val="21"/>
        </w:rPr>
        <w:t>和规范性文件。</w:t>
      </w:r>
    </w:p>
    <w:p>
      <w:pPr>
        <w:autoSpaceDE w:val="0"/>
        <w:autoSpaceDN w:val="0"/>
        <w:adjustRightInd w:val="0"/>
        <w:spacing w:line="300" w:lineRule="auto"/>
        <w:ind w:left="704"/>
        <w:jc w:val="left"/>
        <w:rPr>
          <w:rFonts w:hAnsi="宋体"/>
          <w:sz w:val="18"/>
          <w:szCs w:val="18"/>
        </w:rPr>
      </w:pPr>
    </w:p>
    <w:p>
      <w:pPr>
        <w:pStyle w:val="63"/>
        <w:ind w:firstLine="0"/>
        <w:rPr>
          <w:rFonts w:asciiTheme="minorEastAsia" w:hAnsiTheme="minorEastAsia" w:eastAsiaTheme="minorEastAsia"/>
          <w:b/>
        </w:rPr>
      </w:pPr>
      <w:bookmarkStart w:id="5" w:name="_Toc109325265"/>
      <w:bookmarkStart w:id="6" w:name="_Toc109325901"/>
      <w:r>
        <w:rPr>
          <w:rFonts w:hint="eastAsia" w:asciiTheme="minorEastAsia" w:hAnsiTheme="minorEastAsia" w:eastAsiaTheme="minorEastAsia"/>
          <w:b/>
        </w:rPr>
        <w:t>二、建筑</w:t>
      </w:r>
      <w:r>
        <w:rPr>
          <w:rFonts w:asciiTheme="minorEastAsia" w:hAnsiTheme="minorEastAsia" w:eastAsiaTheme="minorEastAsia"/>
          <w:b/>
        </w:rPr>
        <w:t>设计技术措施</w:t>
      </w:r>
      <w:r>
        <w:rPr>
          <w:rFonts w:hint="eastAsia" w:asciiTheme="minorEastAsia" w:hAnsiTheme="minorEastAsia" w:eastAsiaTheme="minorEastAsia"/>
          <w:b/>
        </w:rPr>
        <w:t>:</w:t>
      </w:r>
      <w:bookmarkEnd w:id="5"/>
      <w:bookmarkEnd w:id="6"/>
    </w:p>
    <w:p>
      <w:pPr>
        <w:spacing w:line="360" w:lineRule="auto"/>
        <w:ind w:firstLine="481" w:firstLineChars="200"/>
        <w:rPr>
          <w:rFonts w:hAnsi="宋体"/>
          <w:b/>
          <w:sz w:val="24"/>
        </w:rPr>
      </w:pPr>
      <w:r>
        <w:rPr>
          <w:rFonts w:hAnsi="宋体"/>
          <w:b/>
          <w:sz w:val="24"/>
        </w:rPr>
        <w:t>可达绿色</w:t>
      </w:r>
      <w:r>
        <w:rPr>
          <w:rFonts w:hAnsi="宋体"/>
          <w:b/>
          <w:sz w:val="24"/>
          <w:lang w:val="en-GB"/>
        </w:rPr>
        <w:t>建筑</w:t>
      </w:r>
      <w:r>
        <w:rPr>
          <w:rFonts w:hint="eastAsia" w:hAnsi="宋体"/>
          <w:b/>
          <w:sz w:val="24"/>
          <w:lang w:val="en-GB"/>
        </w:rPr>
        <w:t>预评价</w:t>
      </w:r>
      <w:r>
        <w:rPr>
          <w:rFonts w:hAnsi="宋体"/>
          <w:b/>
          <w:sz w:val="24"/>
        </w:rPr>
        <w:t>等级</w:t>
      </w:r>
      <w:r>
        <w:rPr>
          <w:rFonts w:hint="eastAsia" w:hAnsi="宋体"/>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一</w:t>
      </w:r>
      <w:r>
        <w:rPr>
          <w:rFonts w:asciiTheme="minorEastAsia" w:hAnsiTheme="minorEastAsia" w:eastAsiaTheme="minorEastAsia"/>
          <w:b/>
          <w:sz w:val="24"/>
        </w:rPr>
        <w:t>星级</w:t>
      </w:r>
      <w:r>
        <w:rPr>
          <w:rFonts w:hint="eastAsia" w:asciiTheme="minorEastAsia" w:hAnsiTheme="minorEastAsia" w:eastAsiaTheme="minorEastAsia"/>
          <w:b/>
          <w:sz w:val="24"/>
        </w:rPr>
        <w:t>；</w:t>
      </w:r>
      <w:r>
        <w:rPr>
          <w:rFonts w:hAnsi="宋体"/>
          <w:b/>
          <w:sz w:val="24"/>
        </w:rPr>
        <w:t>□ 二星级</w:t>
      </w:r>
      <w:r>
        <w:rPr>
          <w:rFonts w:hint="eastAsia" w:hAnsi="宋体"/>
          <w:b/>
          <w:sz w:val="24"/>
        </w:rPr>
        <w:t>；</w:t>
      </w:r>
      <w:r>
        <w:rPr>
          <w:rFonts w:hAnsi="宋体"/>
          <w:b/>
          <w:sz w:val="24"/>
        </w:rPr>
        <w:t xml:space="preserve">□ </w:t>
      </w:r>
      <w:r>
        <w:rPr>
          <w:rFonts w:hint="eastAsia" w:hAnsi="宋体"/>
          <w:b/>
          <w:sz w:val="24"/>
        </w:rPr>
        <w:t>三</w:t>
      </w:r>
      <w:r>
        <w:rPr>
          <w:rFonts w:hAnsi="宋体"/>
          <w:b/>
          <w:sz w:val="24"/>
        </w:rPr>
        <w:t>星级</w:t>
      </w:r>
      <w:r>
        <w:rPr>
          <w:rFonts w:hint="eastAsia" w:hAnsi="宋体"/>
          <w:b/>
          <w:sz w:val="24"/>
        </w:rPr>
        <w:t>。</w:t>
      </w: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lang w:val="en-GB"/>
        </w:rPr>
      </w:pPr>
      <w:r>
        <w:rPr>
          <w:rFonts w:hint="eastAsia" w:hAnsi="宋体"/>
          <w:b/>
          <w:sz w:val="24"/>
          <w:lang w:val="en-GB"/>
        </w:rPr>
        <w:t>（一）总平面设计技术措施控制项内容</w:t>
      </w: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rPr>
      </w:pPr>
      <w:r>
        <w:rPr>
          <w:rFonts w:hint="eastAsia" w:hAnsi="宋体"/>
          <w:b/>
          <w:sz w:val="24"/>
          <w:lang w:val="en-GB"/>
        </w:rPr>
        <w:t>控制项内容</w:t>
      </w:r>
    </w:p>
    <w:p>
      <w:pPr>
        <w:pStyle w:val="90"/>
        <w:ind w:firstLine="423" w:firstLineChars="201"/>
      </w:pPr>
      <w:r>
        <w:t>场地的规划设计符合项目所在地城乡规划的要求</w:t>
      </w:r>
      <w:r>
        <w:rPr>
          <w:rFonts w:hint="eastAsia"/>
        </w:rPr>
        <w:t>，</w:t>
      </w:r>
      <w:r>
        <w:rPr>
          <w:rFonts w:hint="eastAsia" w:asciiTheme="minorEastAsia" w:hAnsiTheme="minorEastAsia" w:eastAsiaTheme="minorEastAsia"/>
        </w:rPr>
        <w:t>节约集约利用土地，合理控制场地开发强度，建筑规划布局</w:t>
      </w:r>
      <w:r>
        <w:rPr>
          <w:rFonts w:hint="eastAsia"/>
        </w:rPr>
        <w:t>符合国家和地方现行日照标准的规定</w:t>
      </w:r>
      <w:r>
        <w:rPr>
          <w:rFonts w:hint="eastAsia" w:asciiTheme="minorEastAsia" w:hAnsiTheme="minorEastAsia" w:eastAsiaTheme="minorEastAsia"/>
        </w:rPr>
        <w:t>，且不降低周边建筑的日照标准</w:t>
      </w:r>
      <w:r>
        <w:rPr>
          <w:rFonts w:hint="eastAsia"/>
        </w:rPr>
        <w:t>。</w:t>
      </w:r>
    </w:p>
    <w:p>
      <w:pPr>
        <w:pStyle w:val="90"/>
        <w:ind w:firstLine="423" w:firstLineChars="201"/>
        <w:rPr>
          <w:sz w:val="24"/>
          <w:lang w:val="en-GB"/>
        </w:rPr>
      </w:pPr>
      <w:r>
        <w:rPr>
          <w:rFonts w:hint="eastAsia"/>
        </w:rPr>
        <w:t>场地避开滑坡、泥石流等地质危险地段</w:t>
      </w:r>
      <w:r>
        <w:rPr>
          <w:rFonts w:hint="eastAsia" w:asciiTheme="minorEastAsia" w:hAnsiTheme="minorEastAsia" w:eastAsiaTheme="minorEastAsia"/>
        </w:rPr>
        <w:t>、避开不利于建筑抗震和容易产生风切变的地段</w:t>
      </w:r>
      <w:r>
        <w:rPr>
          <w:rFonts w:hint="eastAsia"/>
        </w:rPr>
        <w:t>，易发生洪涝地区有可靠的防洪涝基础设施；场地无危险化学品、易燃易爆危险源的威胁，无电磁辐射、含氡土壤的危害；场地内无排放超标的污染源。</w:t>
      </w:r>
    </w:p>
    <w:p>
      <w:pPr>
        <w:pStyle w:val="90"/>
        <w:rPr>
          <w:sz w:val="24"/>
          <w:lang w:val="en-GB"/>
        </w:rPr>
      </w:pP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lang w:val="en-GB"/>
        </w:rPr>
      </w:pPr>
      <w:r>
        <w:rPr>
          <w:rFonts w:hint="eastAsia" w:hAnsi="宋体"/>
          <w:b/>
          <w:sz w:val="24"/>
          <w:lang w:val="en-GB"/>
        </w:rPr>
        <w:t>一般项内容</w:t>
      </w:r>
    </w:p>
    <w:p>
      <w:pPr>
        <w:pStyle w:val="90"/>
        <w:ind w:left="845" w:hanging="420"/>
      </w:pPr>
    </w:p>
    <w:p>
      <w:pPr>
        <w:pStyle w:val="90"/>
        <w:numPr>
          <w:ilvl w:val="0"/>
          <w:numId w:val="14"/>
        </w:numPr>
        <w:rPr>
          <w:b w:val="0"/>
          <w:bCs/>
        </w:rPr>
      </w:pPr>
      <w:r>
        <w:rPr>
          <w:bCs/>
        </w:rPr>
        <w:t>场地</w:t>
      </w:r>
      <w:r>
        <w:rPr>
          <w:rFonts w:hint="eastAsia"/>
          <w:bCs/>
        </w:rPr>
        <w:t>规划与资源利用：</w:t>
      </w:r>
    </w:p>
    <w:p>
      <w:pPr>
        <w:pStyle w:val="88"/>
        <w:ind w:left="840" w:hanging="420"/>
        <w:rPr>
          <w:rFonts w:asciiTheme="minorEastAsia" w:hAnsiTheme="minorEastAsia" w:eastAsiaTheme="minorEastAsia"/>
        </w:rPr>
      </w:pPr>
      <w:r>
        <w:rPr>
          <w:rFonts w:hint="eastAsia" w:asciiTheme="minorEastAsia" w:hAnsiTheme="minorEastAsia" w:eastAsiaTheme="minorEastAsia"/>
        </w:rPr>
        <w:t>建筑物的布局、形式、高度、体量、色调未对周边物理环境造成不良影响：□是；□否；</w:t>
      </w:r>
    </w:p>
    <w:p>
      <w:pPr>
        <w:pStyle w:val="88"/>
        <w:ind w:left="840" w:hanging="420"/>
        <w:rPr>
          <w:rFonts w:asciiTheme="minorEastAsia" w:hAnsiTheme="minorEastAsia" w:eastAsiaTheme="minorEastAsia"/>
          <w:lang w:val="en-GB"/>
        </w:rPr>
      </w:pPr>
      <w:r>
        <w:rPr>
          <w:rFonts w:hint="eastAsia" w:asciiTheme="minorEastAsia" w:hAnsiTheme="minorEastAsia" w:eastAsiaTheme="minorEastAsia"/>
        </w:rPr>
        <w:t>生活垃圾分类收集，垃圾容器和收集点的设置合理并与周围景观协调：□是；□否；</w:t>
      </w:r>
      <w:r>
        <w:rPr>
          <w:rFonts w:asciiTheme="minorEastAsia" w:hAnsiTheme="minorEastAsia" w:eastAsiaTheme="minorEastAsia"/>
        </w:rPr>
        <w:t xml:space="preserve"> </w:t>
      </w:r>
    </w:p>
    <w:p>
      <w:pPr>
        <w:pStyle w:val="88"/>
        <w:ind w:left="840" w:hanging="420"/>
        <w:rPr>
          <w:rFonts w:asciiTheme="minorEastAsia" w:hAnsiTheme="minorEastAsia" w:eastAsiaTheme="minorEastAsia"/>
          <w:lang w:val="en-GB"/>
        </w:rPr>
      </w:pPr>
      <w:r>
        <w:rPr>
          <w:rFonts w:hint="eastAsia" w:asciiTheme="minorEastAsia" w:hAnsiTheme="minorEastAsia" w:eastAsiaTheme="minorEastAsia"/>
        </w:rPr>
        <w:t>项目利用场地内的可再生能源类型为：</w:t>
      </w:r>
    </w:p>
    <w:p>
      <w:pPr>
        <w:pStyle w:val="88"/>
        <w:numPr>
          <w:ilvl w:val="1"/>
          <w:numId w:val="0"/>
        </w:numPr>
        <w:ind w:left="420" w:firstLine="420" w:firstLineChars="200"/>
        <w:rPr>
          <w:rFonts w:asciiTheme="minorEastAsia" w:hAnsiTheme="minorEastAsia" w:eastAsiaTheme="minorEastAsia"/>
        </w:rPr>
      </w:pPr>
      <w:r>
        <w:rPr>
          <w:rFonts w:hint="eastAsia" w:asciiTheme="minorEastAsia" w:hAnsiTheme="minorEastAsia" w:eastAsiaTheme="minorEastAsia"/>
          <w:lang w:val="en-GB"/>
        </w:rPr>
        <w:t>□</w:t>
      </w:r>
      <w:r>
        <w:rPr>
          <w:rFonts w:hint="eastAsia" w:asciiTheme="minorEastAsia" w:hAnsiTheme="minorEastAsia" w:eastAsiaTheme="minorEastAsia"/>
        </w:rPr>
        <w:t>地下水资源，</w:t>
      </w:r>
      <w:r>
        <w:rPr>
          <w:rFonts w:hint="eastAsia" w:asciiTheme="minorEastAsia" w:hAnsiTheme="minorEastAsia" w:eastAsiaTheme="minorEastAsia"/>
          <w:lang w:val="en-GB"/>
        </w:rPr>
        <w:t>□</w:t>
      </w:r>
      <w:r>
        <w:rPr>
          <w:rFonts w:hint="eastAsia" w:asciiTheme="minorEastAsia" w:hAnsiTheme="minorEastAsia" w:eastAsiaTheme="minorEastAsia"/>
        </w:rPr>
        <w:t>地热能，</w:t>
      </w:r>
      <w:r>
        <w:rPr>
          <w:rFonts w:hint="eastAsia" w:asciiTheme="minorEastAsia" w:hAnsiTheme="minorEastAsia" w:eastAsiaTheme="minorEastAsia"/>
          <w:lang w:val="en-GB"/>
        </w:rPr>
        <w:t>□</w:t>
      </w:r>
      <w:r>
        <w:rPr>
          <w:rFonts w:hint="eastAsia" w:asciiTheme="minorEastAsia" w:hAnsiTheme="minorEastAsia" w:eastAsiaTheme="minorEastAsia"/>
        </w:rPr>
        <w:t>太阳能，</w:t>
      </w:r>
      <w:r>
        <w:rPr>
          <w:rFonts w:hint="eastAsia" w:asciiTheme="minorEastAsia" w:hAnsiTheme="minorEastAsia" w:eastAsiaTheme="minorEastAsia"/>
          <w:lang w:val="en-GB"/>
        </w:rPr>
        <w:t>□</w:t>
      </w:r>
      <w:r>
        <w:rPr>
          <w:rFonts w:hint="eastAsia" w:asciiTheme="minorEastAsia" w:hAnsiTheme="minorEastAsia" w:eastAsiaTheme="minorEastAsia"/>
        </w:rPr>
        <w:t>风能，</w:t>
      </w:r>
      <w:r>
        <w:rPr>
          <w:rFonts w:hint="eastAsia" w:asciiTheme="minorEastAsia" w:hAnsiTheme="minorEastAsia" w:eastAsiaTheme="minorEastAsia"/>
          <w:lang w:val="en-GB"/>
        </w:rPr>
        <w:t>□</w:t>
      </w:r>
      <w:r>
        <w:rPr>
          <w:rFonts w:hint="eastAsia" w:asciiTheme="minorEastAsia" w:hAnsiTheme="minorEastAsia" w:eastAsiaTheme="minorEastAsia"/>
        </w:rPr>
        <w:t>空气能，</w:t>
      </w:r>
    </w:p>
    <w:p>
      <w:pPr>
        <w:pStyle w:val="88"/>
        <w:numPr>
          <w:ilvl w:val="1"/>
          <w:numId w:val="0"/>
        </w:numPr>
        <w:ind w:left="425" w:firstLine="420" w:firstLineChars="200"/>
        <w:rPr>
          <w:rFonts w:asciiTheme="minorEastAsia" w:hAnsiTheme="minorEastAsia" w:eastAsiaTheme="minorEastAsia"/>
        </w:rPr>
      </w:pPr>
      <w:r>
        <w:rPr>
          <w:rFonts w:hint="eastAsia" w:asciiTheme="minorEastAsia" w:hAnsiTheme="minorEastAsia" w:eastAsiaTheme="minorEastAsia"/>
          <w:lang w:val="en-GB"/>
        </w:rPr>
        <w:sym w:font="Wingdings 2" w:char="00A3"/>
      </w:r>
      <w:r>
        <w:rPr>
          <w:rFonts w:hint="eastAsia" w:asciiTheme="minorEastAsia" w:hAnsiTheme="minorEastAsia" w:eastAsiaTheme="minorEastAsia"/>
        </w:rPr>
        <w:t>其他，具体为</w:t>
      </w:r>
      <w:r>
        <w:rPr>
          <w:rFonts w:hint="eastAsia" w:asciiTheme="minorEastAsia" w:hAnsiTheme="minorEastAsia" w:eastAsiaTheme="minorEastAsia"/>
          <w:lang w:val="en-GB"/>
        </w:rPr>
        <w:t>_______________________</w:t>
      </w:r>
      <w:r>
        <w:rPr>
          <w:rFonts w:hint="eastAsia" w:asciiTheme="minorEastAsia" w:hAnsiTheme="minorEastAsia" w:eastAsiaTheme="minorEastAsia"/>
        </w:rPr>
        <w:t>；</w:t>
      </w:r>
    </w:p>
    <w:p>
      <w:pPr>
        <w:pStyle w:val="88"/>
        <w:ind w:left="840" w:hanging="420"/>
        <w:rPr>
          <w:rFonts w:asciiTheme="minorEastAsia" w:hAnsiTheme="minorEastAsia" w:eastAsiaTheme="minorEastAsia"/>
        </w:rPr>
      </w:pPr>
      <w:r>
        <w:rPr>
          <w:rFonts w:hint="eastAsia" w:asciiTheme="minorEastAsia" w:hAnsiTheme="minorEastAsia" w:eastAsiaTheme="minorEastAsia"/>
        </w:rPr>
        <w:t>项目地下室设置情况：□有；□无，简述原因：_____________________；</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 xml:space="preserve">地下室层数：______层；地下室面积：_______m²；  </w:t>
      </w:r>
    </w:p>
    <w:p>
      <w:pPr>
        <w:pStyle w:val="88"/>
        <w:ind w:left="840" w:hanging="420"/>
        <w:rPr>
          <w:rFonts w:asciiTheme="minorEastAsia" w:hAnsiTheme="minorEastAsia" w:eastAsiaTheme="minorEastAsia"/>
        </w:rPr>
      </w:pPr>
      <w:r>
        <w:rPr>
          <w:rFonts w:hint="eastAsia" w:asciiTheme="minorEastAsia" w:hAnsiTheme="minorEastAsia" w:eastAsiaTheme="minorEastAsia"/>
        </w:rPr>
        <w:t>地下空间开发利用指标：Rr=</w:t>
      </w:r>
      <w:r>
        <w:rPr>
          <w:rFonts w:asciiTheme="minorEastAsia" w:hAnsiTheme="minorEastAsia" w:eastAsiaTheme="minorEastAsia"/>
        </w:rPr>
        <w:t xml:space="preserve"> </w:t>
      </w:r>
      <w:r>
        <w:rPr>
          <w:rFonts w:hint="eastAsia" w:asciiTheme="minorEastAsia" w:hAnsiTheme="minorEastAsia" w:eastAsiaTheme="minorEastAsia"/>
        </w:rPr>
        <w:t>_____；Rp=</w:t>
      </w:r>
      <w:r>
        <w:rPr>
          <w:rFonts w:asciiTheme="minorEastAsia" w:hAnsiTheme="minorEastAsia" w:eastAsiaTheme="minorEastAsia"/>
        </w:rPr>
        <w:t xml:space="preserve"> </w:t>
      </w:r>
      <w:r>
        <w:rPr>
          <w:rFonts w:hint="eastAsia" w:asciiTheme="minorEastAsia" w:hAnsiTheme="minorEastAsia" w:eastAsiaTheme="minorEastAsia"/>
        </w:rPr>
        <w:t>_____；</w:t>
      </w:r>
    </w:p>
    <w:p>
      <w:pPr>
        <w:pStyle w:val="88"/>
        <w:numPr>
          <w:ilvl w:val="0"/>
          <w:numId w:val="0"/>
        </w:numPr>
        <w:ind w:left="840"/>
        <w:rPr>
          <w:rFonts w:asciiTheme="minorEastAsia" w:hAnsiTheme="minorEastAsia" w:eastAsiaTheme="minorEastAsia"/>
        </w:rPr>
      </w:pPr>
      <w:r>
        <w:rPr>
          <w:rFonts w:hint="eastAsia" w:asciiTheme="minorEastAsia" w:hAnsiTheme="minorEastAsia" w:eastAsiaTheme="minorEastAsia"/>
        </w:rPr>
        <w:t>（注：R</w:t>
      </w:r>
      <w:r>
        <w:rPr>
          <w:rFonts w:asciiTheme="minorEastAsia" w:hAnsiTheme="minorEastAsia" w:eastAsiaTheme="minorEastAsia"/>
        </w:rPr>
        <w:t>r</w:t>
      </w:r>
      <w:r>
        <w:rPr>
          <w:rFonts w:hint="eastAsia" w:asciiTheme="minorEastAsia" w:hAnsiTheme="minorEastAsia" w:eastAsiaTheme="minorEastAsia"/>
        </w:rPr>
        <w:t>=地下建筑面积与地上建筑面积之比；Rp=地下一层建筑面积与总用地面积之比）</w:t>
      </w:r>
    </w:p>
    <w:p>
      <w:pPr>
        <w:spacing w:line="400" w:lineRule="exact"/>
        <w:ind w:firstLine="420"/>
      </w:pPr>
      <w:r>
        <w:tab/>
      </w:r>
      <w:r>
        <w:rPr>
          <w:rFonts w:hint="eastAsia" w:asciiTheme="minorEastAsia" w:hAnsiTheme="minorEastAsia" w:eastAsiaTheme="minorEastAsia"/>
        </w:rPr>
        <w:t>特殊</w:t>
      </w:r>
      <w:r>
        <w:rPr>
          <w:rFonts w:hint="eastAsia"/>
        </w:rPr>
        <w:t>情况说明：</w:t>
      </w:r>
      <w:r>
        <w:rPr>
          <w:rFonts w:hint="eastAsia" w:asciiTheme="minorEastAsia" w:hAnsiTheme="minorEastAsia" w:eastAsiaTheme="minorEastAsia"/>
        </w:rPr>
        <w:t>□无；□有：</w:t>
      </w:r>
      <w:r>
        <w:rPr>
          <w:rFonts w:hint="eastAsia" w:asciiTheme="minorEastAsia" w:hAnsiTheme="minorEastAsia" w:eastAsiaTheme="minorEastAsia"/>
          <w:lang w:val="en-GB"/>
        </w:rPr>
        <w:t>__________________________；</w:t>
      </w:r>
    </w:p>
    <w:p>
      <w:pPr>
        <w:pStyle w:val="88"/>
        <w:ind w:left="840" w:hanging="420"/>
        <w:rPr>
          <w:rFonts w:asciiTheme="minorEastAsia" w:hAnsiTheme="minorEastAsia" w:eastAsiaTheme="minorEastAsia"/>
        </w:rPr>
      </w:pPr>
      <w:r>
        <w:rPr>
          <w:rFonts w:hint="eastAsia" w:asciiTheme="minorEastAsia" w:hAnsiTheme="minorEastAsia" w:eastAsiaTheme="minorEastAsia"/>
        </w:rPr>
        <w:t>项目</w:t>
      </w:r>
      <w:r>
        <w:rPr>
          <w:rFonts w:asciiTheme="minorEastAsia" w:hAnsiTheme="minorEastAsia" w:eastAsiaTheme="minorEastAsia"/>
        </w:rPr>
        <w:t>容积率</w:t>
      </w:r>
      <w:r>
        <w:rPr>
          <w:rFonts w:hint="eastAsia" w:asciiTheme="minorEastAsia" w:hAnsiTheme="minorEastAsia" w:eastAsiaTheme="minorEastAsia"/>
        </w:rPr>
        <w:t>（R），规划要求：_______；设计值：______；</w:t>
      </w:r>
    </w:p>
    <w:p>
      <w:pPr>
        <w:pStyle w:val="88"/>
        <w:ind w:left="840" w:hanging="420"/>
      </w:pPr>
      <w:r>
        <w:rPr>
          <w:rFonts w:hint="eastAsia"/>
        </w:rPr>
        <w:t>居住街坊住宅建筑平均层数：_______层；人均住宅用地指标（A）：_______ m²；</w:t>
      </w:r>
    </w:p>
    <w:p>
      <w:pPr>
        <w:pStyle w:val="88"/>
        <w:ind w:left="840" w:hanging="420"/>
      </w:pPr>
      <w:r>
        <w:rPr>
          <w:rFonts w:hint="eastAsia" w:asciiTheme="minorEastAsia" w:hAnsiTheme="minorEastAsia" w:eastAsiaTheme="minorEastAsia"/>
        </w:rPr>
        <w:t>场地内规划配置公共服务设施和市政基础设施时，与周边区域共享、互补、集约化建设。□是；□否；</w:t>
      </w:r>
    </w:p>
    <w:p>
      <w:pPr>
        <w:pStyle w:val="88"/>
        <w:ind w:left="840" w:hanging="420"/>
        <w:rPr>
          <w:rFonts w:asciiTheme="minorEastAsia" w:hAnsiTheme="minorEastAsia" w:eastAsiaTheme="minorEastAsia"/>
          <w:lang w:val="en-GB"/>
        </w:rPr>
      </w:pPr>
      <w:r>
        <w:rPr>
          <w:rFonts w:hint="eastAsia"/>
        </w:rPr>
        <w:t>新建建筑地下空间与相邻建筑地下空间相连通或整体开发利用</w:t>
      </w:r>
      <w:r>
        <w:rPr>
          <w:rFonts w:hint="eastAsia" w:asciiTheme="minorEastAsia" w:hAnsiTheme="minorEastAsia" w:eastAsiaTheme="minorEastAsia"/>
        </w:rPr>
        <w:t>：□是；□否；</w:t>
      </w:r>
    </w:p>
    <w:p>
      <w:pPr>
        <w:pStyle w:val="87"/>
        <w:rPr>
          <w:b/>
          <w:bCs/>
        </w:rPr>
      </w:pPr>
      <w:r>
        <w:rPr>
          <w:rFonts w:hint="eastAsia"/>
          <w:b/>
          <w:bCs/>
        </w:rPr>
        <w:t>场地生态与景观绿化：</w:t>
      </w:r>
    </w:p>
    <w:p>
      <w:pPr>
        <w:pStyle w:val="88"/>
        <w:ind w:left="840" w:hanging="420"/>
      </w:pPr>
      <w:r>
        <w:rPr>
          <w:rFonts w:hint="eastAsia"/>
        </w:rPr>
        <w:t>场地设计保护场地内原有的自然水域、湿地和植被，采取净地表层土回收利用等生态补偿措施：</w:t>
      </w:r>
    </w:p>
    <w:p>
      <w:pPr>
        <w:pStyle w:val="88"/>
        <w:numPr>
          <w:ilvl w:val="0"/>
          <w:numId w:val="0"/>
        </w:numPr>
        <w:ind w:left="840"/>
        <w:rPr>
          <w:lang w:val="en-GB"/>
        </w:rPr>
      </w:pPr>
      <w:r>
        <w:rPr>
          <w:rFonts w:hint="eastAsia"/>
        </w:rPr>
        <w:t>□是,采取的其他措施</w:t>
      </w:r>
      <w:r>
        <w:rPr>
          <w:rFonts w:hint="eastAsia"/>
          <w:lang w:val="en-GB"/>
        </w:rPr>
        <w:t>：__________________；</w:t>
      </w:r>
      <w:r>
        <w:rPr>
          <w:rFonts w:hint="eastAsia"/>
        </w:rPr>
        <w:t>□否</w:t>
      </w:r>
      <w:r>
        <w:rPr>
          <w:rFonts w:hint="eastAsia"/>
          <w:lang w:val="en-GB"/>
        </w:rPr>
        <w:t>；</w:t>
      </w:r>
      <w:r>
        <w:rPr>
          <w:lang w:val="en-GB"/>
        </w:rPr>
        <w:t xml:space="preserve"> </w:t>
      </w:r>
    </w:p>
    <w:p>
      <w:pPr>
        <w:pStyle w:val="88"/>
        <w:ind w:left="840" w:hanging="420"/>
        <w:rPr>
          <w:lang w:val="en-GB"/>
        </w:rPr>
      </w:pPr>
      <w:r>
        <w:rPr>
          <w:rFonts w:hint="eastAsia"/>
          <w:lang w:val="en-GB"/>
        </w:rPr>
        <w:t>项目场地内存在有保留价值的古树名木：</w:t>
      </w:r>
      <w:r>
        <w:rPr>
          <w:rFonts w:hint="eastAsia"/>
        </w:rPr>
        <w:t>□是，</w:t>
      </w:r>
      <w:r>
        <w:rPr>
          <w:rFonts w:hint="eastAsia"/>
          <w:lang w:val="en-GB"/>
        </w:rPr>
        <w:t>采取的保护措施：__________________；</w:t>
      </w:r>
      <w:r>
        <w:rPr>
          <w:rFonts w:hint="eastAsia"/>
        </w:rPr>
        <w:t>□否</w:t>
      </w:r>
      <w:r>
        <w:rPr>
          <w:rFonts w:hint="eastAsia"/>
          <w:lang w:val="en-GB"/>
        </w:rPr>
        <w:t>；</w:t>
      </w:r>
    </w:p>
    <w:p>
      <w:pPr>
        <w:pStyle w:val="88"/>
        <w:ind w:left="840" w:hanging="420"/>
        <w:rPr>
          <w:rFonts w:asciiTheme="minorEastAsia" w:hAnsiTheme="minorEastAsia" w:eastAsiaTheme="minorEastAsia"/>
          <w:lang w:val="en-GB"/>
        </w:rPr>
      </w:pPr>
      <w:r>
        <w:rPr>
          <w:rFonts w:hint="eastAsia" w:asciiTheme="minorEastAsia" w:hAnsiTheme="minorEastAsia" w:eastAsiaTheme="minorEastAsia"/>
          <w:lang w:val="en-GB"/>
        </w:rPr>
        <w:t>地下</w:t>
      </w:r>
      <w:r>
        <w:rPr>
          <w:rFonts w:hint="eastAsia" w:asciiTheme="minorEastAsia" w:hAnsiTheme="minorEastAsia" w:eastAsiaTheme="minorEastAsia"/>
        </w:rPr>
        <w:t>空间开发利用中，采取保护地下水体补充路径的措施：</w:t>
      </w:r>
    </w:p>
    <w:p>
      <w:pPr>
        <w:pStyle w:val="89"/>
        <w:numPr>
          <w:ilvl w:val="0"/>
          <w:numId w:val="0"/>
        </w:numPr>
        <w:ind w:left="992"/>
        <w:rPr>
          <w:rFonts w:asciiTheme="minorEastAsia" w:hAnsiTheme="minorEastAsia" w:eastAsiaTheme="minorEastAsia"/>
          <w:lang w:val="en-GB"/>
        </w:rPr>
      </w:pPr>
      <w:r>
        <w:rPr>
          <w:rFonts w:hint="eastAsia" w:asciiTheme="minorEastAsia" w:hAnsiTheme="minorEastAsia" w:eastAsiaTheme="minorEastAsia"/>
        </w:rPr>
        <w:t>□是，采取的措施</w:t>
      </w:r>
      <w:r>
        <w:rPr>
          <w:rFonts w:hint="eastAsia" w:asciiTheme="minorEastAsia" w:hAnsiTheme="minorEastAsia" w:eastAsiaTheme="minorEastAsia"/>
          <w:lang w:val="en-GB"/>
        </w:rPr>
        <w:t>：________________________；</w:t>
      </w:r>
      <w:r>
        <w:rPr>
          <w:rFonts w:hint="eastAsia" w:asciiTheme="minorEastAsia" w:hAnsiTheme="minorEastAsia" w:eastAsiaTheme="minorEastAsia"/>
        </w:rPr>
        <w:t>□否；</w:t>
      </w:r>
      <w:r>
        <w:rPr>
          <w:rFonts w:asciiTheme="minorEastAsia" w:hAnsiTheme="minorEastAsia" w:eastAsiaTheme="minorEastAsia"/>
          <w:lang w:val="en-GB"/>
        </w:rPr>
        <w:t xml:space="preserve"> </w:t>
      </w:r>
    </w:p>
    <w:p>
      <w:pPr>
        <w:pStyle w:val="88"/>
        <w:rPr>
          <w:lang w:val="en-GB"/>
        </w:rPr>
      </w:pPr>
      <w:r>
        <w:rPr>
          <w:rFonts w:hint="eastAsia"/>
        </w:rPr>
        <w:t>景观</w:t>
      </w:r>
      <w:r>
        <w:rPr>
          <w:rFonts w:hint="eastAsia"/>
          <w:lang w:val="en-GB"/>
        </w:rPr>
        <w:t>绿化设计：</w:t>
      </w:r>
      <w:r>
        <w:rPr>
          <w:lang w:val="en-GB"/>
        </w:rPr>
        <w:t xml:space="preserve"> </w:t>
      </w:r>
    </w:p>
    <w:p>
      <w:pPr>
        <w:pStyle w:val="89"/>
      </w:pPr>
      <w:r>
        <w:rPr>
          <w:rFonts w:hint="eastAsia"/>
        </w:rPr>
        <w:t>景观设计结合项目进行专项设计：□是；□否；</w:t>
      </w:r>
    </w:p>
    <w:p>
      <w:pPr>
        <w:pStyle w:val="89"/>
      </w:pPr>
      <w:r>
        <w:rPr>
          <w:rFonts w:hint="eastAsia"/>
        </w:rPr>
        <w:t>规划条件要求绿地率：______％；设计绿地率：______％；可计入绿地率的绿地面积：_______m²；</w:t>
      </w:r>
    </w:p>
    <w:p>
      <w:pPr>
        <w:pStyle w:val="89"/>
      </w:pPr>
      <w:r>
        <w:t>住宅建筑所在居住街坊内人均集中绿地面积</w:t>
      </w:r>
      <w:r>
        <w:rPr>
          <w:rFonts w:hint="eastAsia"/>
        </w:rPr>
        <w:t>Ag（㎡/人）：</w:t>
      </w:r>
    </w:p>
    <w:p>
      <w:pPr>
        <w:pStyle w:val="89"/>
        <w:numPr>
          <w:ilvl w:val="0"/>
          <w:numId w:val="0"/>
        </w:numPr>
        <w:ind w:left="1050"/>
      </w:pPr>
      <w:r>
        <w:rPr>
          <w:rFonts w:hint="eastAsia"/>
          <w:lang w:val="en-GB"/>
        </w:rPr>
        <w:t>□</w:t>
      </w:r>
      <w:r>
        <w:rPr>
          <w:rFonts w:hint="eastAsia"/>
        </w:rPr>
        <w:t>新区建设，_________m²；</w:t>
      </w:r>
      <w:r>
        <w:rPr>
          <w:rFonts w:hint="eastAsia"/>
          <w:lang w:val="en-GB"/>
        </w:rPr>
        <w:t>□旧区改建</w:t>
      </w:r>
      <w:r>
        <w:rPr>
          <w:rFonts w:hint="eastAsia"/>
        </w:rPr>
        <w:t>，_________m²；</w:t>
      </w:r>
    </w:p>
    <w:p>
      <w:pPr>
        <w:pStyle w:val="89"/>
      </w:pPr>
      <w:r>
        <w:rPr>
          <w:rFonts w:hint="eastAsia"/>
        </w:rPr>
        <w:t>绿化设置位置：</w:t>
      </w:r>
    </w:p>
    <w:p>
      <w:pPr>
        <w:pStyle w:val="89"/>
        <w:numPr>
          <w:ilvl w:val="0"/>
          <w:numId w:val="0"/>
        </w:numPr>
        <w:ind w:left="992"/>
      </w:pPr>
      <w:r>
        <w:rPr>
          <w:rFonts w:hint="eastAsia"/>
        </w:rPr>
        <w:t xml:space="preserve">□地面；□地下室顶板上；□屋面，屋面绿化面积：___________m²；□垂直绿化；□其他； </w:t>
      </w:r>
    </w:p>
    <w:p>
      <w:pPr>
        <w:pStyle w:val="89"/>
        <w:rPr>
          <w:lang w:val="en-GB"/>
        </w:rPr>
      </w:pPr>
      <w:r>
        <w:rPr>
          <w:rFonts w:hint="eastAsia"/>
          <w:lang w:val="en-GB"/>
        </w:rPr>
        <w:t>室外绿化设计实施要求：（1）施工图中明确要求：</w:t>
      </w:r>
      <w:r>
        <w:rPr>
          <w:rFonts w:hint="eastAsia"/>
        </w:rPr>
        <w:t>□是；□否</w:t>
      </w:r>
      <w:r>
        <w:rPr>
          <w:rFonts w:hint="eastAsia"/>
          <w:lang w:val="en-GB"/>
        </w:rPr>
        <w:t>；  （2）提供景观图：</w:t>
      </w:r>
      <w:r>
        <w:rPr>
          <w:rFonts w:hint="eastAsia"/>
        </w:rPr>
        <w:t>□是；□否</w:t>
      </w:r>
      <w:r>
        <w:rPr>
          <w:rFonts w:hint="eastAsia"/>
          <w:lang w:val="en-GB"/>
        </w:rPr>
        <w:t>；</w:t>
      </w:r>
    </w:p>
    <w:p>
      <w:pPr>
        <w:pStyle w:val="89"/>
        <w:rPr>
          <w:lang w:val="en-GB"/>
        </w:rPr>
      </w:pPr>
      <w:r>
        <w:rPr>
          <w:rFonts w:hint="eastAsia"/>
          <w:lang w:val="en-GB"/>
        </w:rPr>
        <w:t>合理选择绿化方式，植物种植适应浙江省气候和土壤，且无毒害、易维护；</w:t>
      </w:r>
      <w:r>
        <w:rPr>
          <w:rFonts w:hint="eastAsia"/>
        </w:rPr>
        <w:t>□是；□否；</w:t>
      </w:r>
    </w:p>
    <w:p>
      <w:pPr>
        <w:pStyle w:val="89"/>
        <w:rPr>
          <w:lang w:val="en-GB"/>
        </w:rPr>
      </w:pPr>
      <w:r>
        <w:rPr>
          <w:rFonts w:hint="eastAsia"/>
          <w:lang w:val="en-GB"/>
        </w:rPr>
        <w:t>种植区域覆土深度和排水能力满足植物生长需求，并采用</w:t>
      </w:r>
      <w:r>
        <w:rPr>
          <w:rFonts w:hint="eastAsia"/>
        </w:rPr>
        <w:t>乔、灌、草结合等</w:t>
      </w:r>
      <w:r>
        <w:rPr>
          <w:rFonts w:hint="eastAsia"/>
          <w:lang w:val="en-GB"/>
        </w:rPr>
        <w:t>复层绿化方式：</w:t>
      </w:r>
    </w:p>
    <w:p>
      <w:pPr>
        <w:pStyle w:val="89"/>
        <w:numPr>
          <w:ilvl w:val="0"/>
          <w:numId w:val="0"/>
        </w:numPr>
        <w:ind w:left="992"/>
      </w:pPr>
      <w:r>
        <w:rPr>
          <w:rFonts w:hint="eastAsia"/>
        </w:rPr>
        <w:t>□是；□否；</w:t>
      </w:r>
    </w:p>
    <w:p>
      <w:pPr>
        <w:pStyle w:val="89"/>
      </w:pPr>
      <w:r>
        <w:rPr>
          <w:rFonts w:hint="eastAsia"/>
        </w:rPr>
        <w:t>住宅建筑平均每100 m²绿地的乔木量不少于3株：□是；□否；</w:t>
      </w:r>
    </w:p>
    <w:p>
      <w:pPr>
        <w:pStyle w:val="89"/>
      </w:pPr>
      <w:r>
        <w:rPr>
          <w:rFonts w:hint="eastAsia" w:asciiTheme="minorEastAsia" w:hAnsiTheme="minorEastAsia" w:eastAsiaTheme="minorEastAsia"/>
          <w:lang w:val="en-GB"/>
        </w:rPr>
        <w:t>种植</w:t>
      </w:r>
      <w:r>
        <w:rPr>
          <w:rFonts w:hint="eastAsia" w:asciiTheme="minorEastAsia" w:hAnsiTheme="minorEastAsia" w:eastAsiaTheme="minorEastAsia"/>
        </w:rPr>
        <w:t>无须永久灌溉植物：□是；□否。</w:t>
      </w:r>
    </w:p>
    <w:p>
      <w:pPr>
        <w:pStyle w:val="89"/>
        <w:rPr>
          <w:lang w:val="en-GB"/>
        </w:rPr>
      </w:pPr>
      <w:r>
        <w:rPr>
          <w:rFonts w:hint="eastAsia"/>
        </w:rPr>
        <w:t>室外景观水体</w:t>
      </w:r>
      <w:r>
        <w:rPr>
          <w:rFonts w:hint="eastAsia"/>
          <w:lang w:val="en-GB"/>
        </w:rPr>
        <w:t>设计：</w:t>
      </w:r>
      <w:r>
        <w:rPr>
          <w:lang w:val="en-GB"/>
        </w:rPr>
        <w:t xml:space="preserve"> </w:t>
      </w:r>
    </w:p>
    <w:p>
      <w:pPr>
        <w:pStyle w:val="89"/>
        <w:numPr>
          <w:ilvl w:val="0"/>
          <w:numId w:val="0"/>
        </w:numPr>
        <w:ind w:left="992"/>
      </w:pPr>
      <w:r>
        <w:rPr>
          <w:rFonts w:hint="eastAsia"/>
        </w:rPr>
        <w:t>（1）利用水生动、植物保障水体水质：□是；□否；</w:t>
      </w:r>
    </w:p>
    <w:p>
      <w:pPr>
        <w:pStyle w:val="89"/>
        <w:numPr>
          <w:ilvl w:val="0"/>
          <w:numId w:val="0"/>
        </w:numPr>
        <w:ind w:left="992"/>
      </w:pPr>
      <w:r>
        <w:rPr>
          <w:rFonts w:hint="eastAsia"/>
        </w:rPr>
        <w:t>（2）利用可再生能源提供景观水体循环的动力及景观照明：□是；□否；</w:t>
      </w:r>
    </w:p>
    <w:p>
      <w:pPr>
        <w:pStyle w:val="87"/>
        <w:rPr>
          <w:b/>
          <w:bCs/>
        </w:rPr>
      </w:pPr>
      <w:r>
        <w:rPr>
          <w:rFonts w:hint="eastAsia"/>
          <w:b/>
          <w:bCs/>
        </w:rPr>
        <w:t>低影响开发的技术措施：</w:t>
      </w:r>
      <w:r>
        <w:rPr>
          <w:rFonts w:hint="eastAsia" w:asciiTheme="minorEastAsia" w:hAnsiTheme="minorEastAsia" w:eastAsiaTheme="minorEastAsia"/>
          <w:bCs/>
          <w:i/>
          <w:iCs/>
          <w:szCs w:val="24"/>
        </w:rPr>
        <w:t>（填写内容应与水专业一致）</w:t>
      </w:r>
    </w:p>
    <w:p>
      <w:pPr>
        <w:pStyle w:val="88"/>
        <w:ind w:left="840" w:hanging="420"/>
      </w:pPr>
      <w:r>
        <w:rPr>
          <w:rFonts w:hint="eastAsia"/>
        </w:rPr>
        <w:t xml:space="preserve">项目进行场地雨洪控制综合利用的评估和规划：□是；□否； </w:t>
      </w:r>
    </w:p>
    <w:p>
      <w:pPr>
        <w:pStyle w:val="88"/>
        <w:numPr>
          <w:ilvl w:val="0"/>
          <w:numId w:val="0"/>
        </w:numPr>
        <w:ind w:left="840"/>
      </w:pPr>
      <w:r>
        <w:rPr>
          <w:rFonts w:hint="eastAsia"/>
        </w:rPr>
        <w:t>场地年径流总量控制率为_____％；</w:t>
      </w:r>
    </w:p>
    <w:p>
      <w:pPr>
        <w:pStyle w:val="88"/>
        <w:numPr>
          <w:ilvl w:val="0"/>
          <w:numId w:val="0"/>
        </w:numPr>
        <w:ind w:left="840"/>
      </w:pPr>
      <w:r>
        <w:rPr>
          <w:rFonts w:hint="eastAsia"/>
        </w:rPr>
        <w:t>合理衔接和引导屋面、道路雨水进入地面生态设施，并采取相应的径流污染控制措施：□是；□否；</w:t>
      </w:r>
    </w:p>
    <w:p>
      <w:pPr>
        <w:pStyle w:val="88"/>
        <w:ind w:left="840" w:hanging="420"/>
      </w:pPr>
      <w:r>
        <w:rPr>
          <w:rFonts w:hint="eastAsia"/>
        </w:rPr>
        <w:t>采取水资源回收与利用措施：□是；□否；</w:t>
      </w:r>
    </w:p>
    <w:p>
      <w:pPr>
        <w:pStyle w:val="88"/>
        <w:numPr>
          <w:ilvl w:val="0"/>
          <w:numId w:val="0"/>
        </w:numPr>
        <w:ind w:left="840"/>
      </w:pPr>
      <w:r>
        <w:rPr>
          <w:rFonts w:hint="eastAsia"/>
        </w:rPr>
        <w:t>采用下列有调蓄雨水功能的绿地和水体：</w:t>
      </w:r>
    </w:p>
    <w:p>
      <w:pPr>
        <w:pStyle w:val="88"/>
        <w:numPr>
          <w:ilvl w:val="0"/>
          <w:numId w:val="0"/>
        </w:numPr>
        <w:ind w:left="840"/>
      </w:pPr>
      <w:r>
        <w:rPr>
          <w:rFonts w:hint="eastAsia"/>
        </w:rPr>
        <w:t>□设置下凹绿地：下凹绿地面积</w:t>
      </w:r>
      <w:r>
        <w:rPr>
          <w:rFonts w:hint="eastAsia" w:asciiTheme="minorEastAsia" w:hAnsiTheme="minorEastAsia" w:eastAsiaTheme="minorEastAsia"/>
        </w:rPr>
        <w:t>_______</w:t>
      </w:r>
      <w:r>
        <w:rPr>
          <w:rFonts w:hint="eastAsia"/>
        </w:rPr>
        <w:t>㎡，下凹绿地深度</w:t>
      </w:r>
      <w:r>
        <w:rPr>
          <w:rFonts w:hint="eastAsia" w:asciiTheme="minorEastAsia" w:hAnsiTheme="minorEastAsia" w:eastAsiaTheme="minorEastAsia"/>
        </w:rPr>
        <w:t>_______</w:t>
      </w:r>
      <w:r>
        <w:rPr>
          <w:rFonts w:hint="eastAsia"/>
        </w:rPr>
        <w:t>mm；调蓄容积为</w:t>
      </w:r>
      <w:r>
        <w:rPr>
          <w:rFonts w:hint="eastAsia" w:asciiTheme="minorEastAsia" w:hAnsiTheme="minorEastAsia" w:eastAsiaTheme="minorEastAsia"/>
        </w:rPr>
        <w:t>_______</w:t>
      </w:r>
      <w:r>
        <w:rPr>
          <w:rFonts w:hint="eastAsia"/>
        </w:rPr>
        <w:t>m</w:t>
      </w:r>
      <w:r>
        <w:rPr>
          <w:rFonts w:hint="eastAsia"/>
          <w:vertAlign w:val="superscript"/>
        </w:rPr>
        <w:t>3</w:t>
      </w:r>
      <w:r>
        <w:rPr>
          <w:rFonts w:hint="eastAsia"/>
        </w:rPr>
        <w:t>；</w:t>
      </w:r>
    </w:p>
    <w:p>
      <w:pPr>
        <w:pStyle w:val="88"/>
        <w:numPr>
          <w:ilvl w:val="0"/>
          <w:numId w:val="0"/>
        </w:numPr>
        <w:ind w:left="840"/>
      </w:pPr>
      <w:r>
        <w:rPr>
          <w:rFonts w:hint="eastAsia"/>
        </w:rPr>
        <w:t>□人工湿地；□雨水花园、花坛；□景观水池；□河道等天然水系；□其它；调蓄容积为</w:t>
      </w:r>
      <w:r>
        <w:rPr>
          <w:rFonts w:hint="eastAsia" w:asciiTheme="minorEastAsia" w:hAnsiTheme="minorEastAsia" w:eastAsiaTheme="minorEastAsia"/>
        </w:rPr>
        <w:t>_______</w:t>
      </w:r>
      <w:r>
        <w:rPr>
          <w:rFonts w:hint="eastAsia"/>
        </w:rPr>
        <w:t>m</w:t>
      </w:r>
      <w:r>
        <w:rPr>
          <w:rFonts w:hint="eastAsia"/>
          <w:vertAlign w:val="superscript"/>
        </w:rPr>
        <w:t>3</w:t>
      </w:r>
      <w:r>
        <w:rPr>
          <w:rFonts w:hint="eastAsia"/>
        </w:rPr>
        <w:t>；</w:t>
      </w:r>
    </w:p>
    <w:p>
      <w:pPr>
        <w:pStyle w:val="88"/>
        <w:numPr>
          <w:ilvl w:val="0"/>
          <w:numId w:val="0"/>
        </w:numPr>
        <w:ind w:left="840"/>
      </w:pPr>
      <w:r>
        <w:rPr>
          <w:rFonts w:hint="eastAsia"/>
        </w:rPr>
        <w:t>有调蓄水功能的绿地和水体的面积之和占绿地面积的比例达到30％：□是；□否；</w:t>
      </w:r>
    </w:p>
    <w:p>
      <w:pPr>
        <w:pStyle w:val="88"/>
        <w:ind w:left="840" w:hanging="420"/>
        <w:jc w:val="both"/>
      </w:pPr>
      <w:r>
        <w:rPr>
          <w:rFonts w:hint="eastAsia"/>
        </w:rPr>
        <w:t>场地设置透水地面：□是；□否；透水铺装面积</w:t>
      </w:r>
      <w:r>
        <w:rPr>
          <w:rFonts w:hint="eastAsia" w:asciiTheme="minorEastAsia" w:hAnsiTheme="minorEastAsia" w:eastAsiaTheme="minorEastAsia"/>
        </w:rPr>
        <w:t>_______</w:t>
      </w:r>
      <w:r>
        <w:rPr>
          <w:rFonts w:hint="eastAsia"/>
        </w:rPr>
        <w:t>㎡，硬质铺装地面中透水铺装的比例</w:t>
      </w:r>
      <w:r>
        <w:rPr>
          <w:rFonts w:hint="eastAsia" w:asciiTheme="minorEastAsia" w:hAnsiTheme="minorEastAsia" w:eastAsiaTheme="minorEastAsia"/>
        </w:rPr>
        <w:t>_______</w:t>
      </w:r>
      <w:r>
        <w:rPr>
          <w:rFonts w:hint="eastAsia"/>
        </w:rPr>
        <w:t xml:space="preserve">％； </w:t>
      </w:r>
    </w:p>
    <w:p>
      <w:pPr>
        <w:pStyle w:val="87"/>
        <w:rPr>
          <w:b/>
          <w:bCs/>
        </w:rPr>
      </w:pPr>
      <w:r>
        <w:rPr>
          <w:rFonts w:hint="eastAsia"/>
          <w:b/>
          <w:bCs/>
        </w:rPr>
        <w:t>项目</w:t>
      </w:r>
      <w:r>
        <w:rPr>
          <w:b/>
          <w:bCs/>
        </w:rPr>
        <w:t>公共服务设施</w:t>
      </w:r>
      <w:r>
        <w:rPr>
          <w:rFonts w:hint="eastAsia"/>
          <w:b/>
          <w:bCs/>
        </w:rPr>
        <w:t>：</w:t>
      </w:r>
      <w:r>
        <w:rPr>
          <w:b/>
          <w:bCs/>
        </w:rPr>
        <w:t xml:space="preserve"> </w:t>
      </w:r>
    </w:p>
    <w:p>
      <w:pPr>
        <w:pStyle w:val="88"/>
        <w:ind w:left="840" w:hanging="420"/>
        <w:rPr>
          <w:lang w:val="en-GB"/>
        </w:rPr>
      </w:pPr>
      <w:r>
        <w:rPr>
          <w:rFonts w:hint="eastAsia"/>
        </w:rPr>
        <w:t>公共服务设施按规划配建：□是；□否；</w:t>
      </w:r>
      <w:r>
        <w:t xml:space="preserve"> </w:t>
      </w:r>
      <w:r>
        <w:rPr>
          <w:rFonts w:hint="eastAsia"/>
        </w:rPr>
        <w:t>主要内容：</w:t>
      </w:r>
      <w:r>
        <w:rPr>
          <w:rFonts w:hint="eastAsia" w:asciiTheme="minorEastAsia" w:hAnsiTheme="minorEastAsia" w:eastAsiaTheme="minorEastAsia"/>
        </w:rPr>
        <w:t>______________</w:t>
      </w:r>
      <w:r>
        <w:rPr>
          <w:rFonts w:hint="eastAsia"/>
        </w:rPr>
        <w:t>；</w:t>
      </w:r>
      <w:r>
        <w:rPr>
          <w:lang w:val="en-GB"/>
        </w:rPr>
        <w:t xml:space="preserve"> </w:t>
      </w:r>
    </w:p>
    <w:p>
      <w:pPr>
        <w:pStyle w:val="88"/>
        <w:numPr>
          <w:ilvl w:val="0"/>
          <w:numId w:val="0"/>
        </w:numPr>
        <w:ind w:left="840"/>
      </w:pPr>
      <w:r>
        <w:rPr>
          <w:rFonts w:hint="eastAsia"/>
        </w:rPr>
        <w:t>□场地出入口到达幼儿园的步行距离不大于300m；</w:t>
      </w:r>
    </w:p>
    <w:p>
      <w:pPr>
        <w:pStyle w:val="88"/>
        <w:numPr>
          <w:ilvl w:val="0"/>
          <w:numId w:val="0"/>
        </w:numPr>
        <w:ind w:left="840"/>
      </w:pPr>
      <w:r>
        <w:rPr>
          <w:rFonts w:hint="eastAsia"/>
        </w:rPr>
        <w:t>□场地出入口到达小学的步行距离不大于500m；</w:t>
      </w:r>
    </w:p>
    <w:p>
      <w:pPr>
        <w:pStyle w:val="88"/>
        <w:numPr>
          <w:ilvl w:val="0"/>
          <w:numId w:val="0"/>
        </w:numPr>
        <w:ind w:left="840"/>
      </w:pPr>
      <w:r>
        <w:rPr>
          <w:rFonts w:hint="eastAsia"/>
        </w:rPr>
        <w:t>□场地出入口到达中学的步行距离不大于1000m；</w:t>
      </w:r>
    </w:p>
    <w:p>
      <w:pPr>
        <w:pStyle w:val="88"/>
        <w:numPr>
          <w:ilvl w:val="0"/>
          <w:numId w:val="0"/>
        </w:numPr>
        <w:ind w:left="840"/>
      </w:pPr>
      <w:r>
        <w:rPr>
          <w:rFonts w:hint="eastAsia"/>
        </w:rPr>
        <w:t>□场地出入口到达医院的步行距离不大于1000m；</w:t>
      </w:r>
    </w:p>
    <w:p>
      <w:pPr>
        <w:pStyle w:val="88"/>
        <w:numPr>
          <w:ilvl w:val="0"/>
          <w:numId w:val="0"/>
        </w:numPr>
        <w:ind w:left="840"/>
      </w:pPr>
      <w:r>
        <w:rPr>
          <w:rFonts w:hint="eastAsia"/>
        </w:rPr>
        <w:t>□场地出入口到达群众文化活动设施的步行距离不大于800m；</w:t>
      </w:r>
    </w:p>
    <w:p>
      <w:pPr>
        <w:pStyle w:val="88"/>
        <w:numPr>
          <w:ilvl w:val="0"/>
          <w:numId w:val="0"/>
        </w:numPr>
        <w:ind w:left="840"/>
      </w:pPr>
      <w:r>
        <w:rPr>
          <w:rFonts w:hint="eastAsia"/>
        </w:rPr>
        <w:t>□场地出入口到达老年人日间照料设施的步行距离不大于500m；</w:t>
      </w:r>
    </w:p>
    <w:p>
      <w:pPr>
        <w:pStyle w:val="88"/>
        <w:numPr>
          <w:ilvl w:val="0"/>
          <w:numId w:val="0"/>
        </w:numPr>
        <w:ind w:left="840"/>
        <w:rPr>
          <w:lang w:val="en-GB"/>
        </w:rPr>
      </w:pPr>
      <w:r>
        <w:rPr>
          <w:rFonts w:hint="eastAsia"/>
        </w:rPr>
        <w:t>□场地周边500m 范围内具有不少于3 种商业服务设施。</w:t>
      </w:r>
    </w:p>
    <w:p>
      <w:pPr>
        <w:pStyle w:val="88"/>
        <w:ind w:left="840" w:hanging="420"/>
        <w:rPr>
          <w:lang w:val="en-GB"/>
        </w:rPr>
      </w:pPr>
      <w:r>
        <w:rPr>
          <w:rFonts w:hint="eastAsia"/>
          <w:lang w:val="en-GB"/>
        </w:rPr>
        <w:t>健身场地和空间：</w:t>
      </w:r>
      <w:r>
        <w:rPr>
          <w:lang w:val="en-GB"/>
        </w:rPr>
        <w:t xml:space="preserve"> </w:t>
      </w:r>
    </w:p>
    <w:p>
      <w:pPr>
        <w:pStyle w:val="88"/>
        <w:numPr>
          <w:ilvl w:val="0"/>
          <w:numId w:val="0"/>
        </w:numPr>
        <w:ind w:left="840"/>
      </w:pPr>
      <w:r>
        <w:rPr>
          <w:rFonts w:hint="eastAsia"/>
        </w:rPr>
        <w:t>□场地出入口到达城市公园绿地、居住区公园、广场的步行距离不大于300m；</w:t>
      </w:r>
    </w:p>
    <w:p>
      <w:pPr>
        <w:pStyle w:val="88"/>
        <w:numPr>
          <w:ilvl w:val="0"/>
          <w:numId w:val="0"/>
        </w:numPr>
        <w:ind w:left="840"/>
      </w:pPr>
      <w:r>
        <w:rPr>
          <w:rFonts w:hint="eastAsia"/>
        </w:rPr>
        <w:t>□场地出入口到达中型多功能运动场地的步行距离不大于500m；</w:t>
      </w:r>
    </w:p>
    <w:p>
      <w:pPr>
        <w:pStyle w:val="88"/>
        <w:numPr>
          <w:ilvl w:val="0"/>
          <w:numId w:val="0"/>
        </w:numPr>
        <w:ind w:left="840"/>
      </w:pPr>
      <w:r>
        <w:rPr>
          <w:rFonts w:hint="eastAsia"/>
        </w:rPr>
        <w:t>□场地内室外健身场地面积不少于总用地面积的0.5％；</w:t>
      </w:r>
    </w:p>
    <w:p>
      <w:pPr>
        <w:pStyle w:val="88"/>
        <w:numPr>
          <w:ilvl w:val="0"/>
          <w:numId w:val="0"/>
        </w:numPr>
        <w:ind w:left="840"/>
        <w:rPr>
          <w:b/>
        </w:rPr>
      </w:pPr>
      <w:r>
        <w:rPr>
          <w:rFonts w:hint="eastAsia"/>
        </w:rPr>
        <w:t>□场地内设置宽度不小于1.25m的专用健身慢行道，健身慢行道长度不小于用地红线周长的1/4 且不小于100m</w:t>
      </w:r>
      <w:r>
        <w:rPr>
          <w:rFonts w:hint="eastAsia"/>
          <w:lang w:val="en-GB"/>
        </w:rPr>
        <w:t>。</w:t>
      </w:r>
    </w:p>
    <w:p>
      <w:pPr>
        <w:pStyle w:val="87"/>
        <w:rPr>
          <w:b/>
          <w:bCs/>
        </w:rPr>
      </w:pPr>
      <w:r>
        <w:rPr>
          <w:rFonts w:hint="eastAsia"/>
          <w:b/>
          <w:bCs/>
        </w:rPr>
        <w:t>出入口与公共交通设置：</w:t>
      </w:r>
    </w:p>
    <w:p>
      <w:pPr>
        <w:pStyle w:val="88"/>
      </w:pPr>
      <w:r>
        <w:t>场地与公共交通站点联系便捷</w:t>
      </w:r>
      <w:r>
        <w:rPr>
          <w:rFonts w:hint="eastAsia"/>
        </w:rPr>
        <w:t>：</w:t>
      </w:r>
      <w:r>
        <w:t xml:space="preserve"> </w:t>
      </w:r>
    </w:p>
    <w:p>
      <w:pPr>
        <w:pStyle w:val="89"/>
      </w:pPr>
      <w:r>
        <w:rPr>
          <w:rFonts w:hint="eastAsia"/>
        </w:rPr>
        <w:t>场地</w:t>
      </w:r>
      <w:r>
        <w:t>人行</w:t>
      </w:r>
      <w:r>
        <w:rPr>
          <w:rFonts w:hint="eastAsia"/>
        </w:rPr>
        <w:t>出入口设有</w:t>
      </w:r>
      <w:r>
        <w:t>公共交通站点</w:t>
      </w:r>
      <w:r>
        <w:rPr>
          <w:rFonts w:hint="eastAsia"/>
        </w:rPr>
        <w:t>：</w:t>
      </w:r>
    </w:p>
    <w:p>
      <w:pPr>
        <w:pStyle w:val="89"/>
        <w:numPr>
          <w:ilvl w:val="0"/>
          <w:numId w:val="0"/>
        </w:numPr>
        <w:ind w:left="1050"/>
      </w:pPr>
      <w:r>
        <w:rPr>
          <w:rFonts w:hint="eastAsia"/>
        </w:rPr>
        <w:t>□是，□</w:t>
      </w:r>
      <w:r>
        <w:t>步行距离</w:t>
      </w:r>
      <w:r>
        <w:rPr>
          <w:rFonts w:hint="eastAsia"/>
        </w:rPr>
        <w:t>300m内；□</w:t>
      </w:r>
      <w:r>
        <w:t>步行距离</w:t>
      </w:r>
      <w:r>
        <w:rPr>
          <w:rFonts w:hint="eastAsia"/>
        </w:rPr>
        <w:t>500m内；</w:t>
      </w:r>
    </w:p>
    <w:p>
      <w:pPr>
        <w:pStyle w:val="89"/>
        <w:numPr>
          <w:ilvl w:val="0"/>
          <w:numId w:val="0"/>
        </w:numPr>
        <w:ind w:left="1050"/>
      </w:pPr>
      <w:r>
        <w:rPr>
          <w:rFonts w:hint="eastAsia"/>
        </w:rPr>
        <w:t>□否。</w:t>
      </w:r>
    </w:p>
    <w:p>
      <w:pPr>
        <w:pStyle w:val="89"/>
      </w:pPr>
      <w:r>
        <w:rPr>
          <w:rFonts w:hint="eastAsia"/>
        </w:rPr>
        <w:t>场地</w:t>
      </w:r>
      <w:r>
        <w:t>人行</w:t>
      </w:r>
      <w:r>
        <w:rPr>
          <w:rFonts w:hint="eastAsia"/>
        </w:rPr>
        <w:t>出入口设有轨道交通站：</w:t>
      </w:r>
    </w:p>
    <w:p>
      <w:pPr>
        <w:pStyle w:val="89"/>
        <w:numPr>
          <w:ilvl w:val="0"/>
          <w:numId w:val="0"/>
        </w:numPr>
        <w:ind w:left="1050"/>
      </w:pPr>
      <w:r>
        <w:rPr>
          <w:rFonts w:hint="eastAsia"/>
        </w:rPr>
        <w:t>□是；□已建；□规划；□</w:t>
      </w:r>
      <w:r>
        <w:t>步行距离</w:t>
      </w:r>
      <w:r>
        <w:rPr>
          <w:rFonts w:hint="eastAsia"/>
        </w:rPr>
        <w:t>500m；□</w:t>
      </w:r>
      <w:r>
        <w:t>步行距离</w:t>
      </w:r>
      <w:r>
        <w:rPr>
          <w:rFonts w:hint="eastAsia"/>
        </w:rPr>
        <w:t>800m；</w:t>
      </w:r>
    </w:p>
    <w:p>
      <w:pPr>
        <w:pStyle w:val="89"/>
        <w:numPr>
          <w:ilvl w:val="0"/>
          <w:numId w:val="0"/>
        </w:numPr>
        <w:ind w:left="1050"/>
      </w:pPr>
      <w:r>
        <w:rPr>
          <w:rFonts w:hint="eastAsia"/>
        </w:rPr>
        <w:t>□否。</w:t>
      </w:r>
    </w:p>
    <w:p>
      <w:pPr>
        <w:pStyle w:val="89"/>
      </w:pPr>
      <w:r>
        <w:rPr>
          <w:rFonts w:hint="eastAsia"/>
        </w:rPr>
        <w:t>场地</w:t>
      </w:r>
      <w:r>
        <w:t>人行</w:t>
      </w:r>
      <w:r>
        <w:rPr>
          <w:rFonts w:hint="eastAsia"/>
        </w:rPr>
        <w:t>出入口</w:t>
      </w:r>
      <w:r>
        <w:t>步行距离</w:t>
      </w:r>
      <w:r>
        <w:rPr>
          <w:rFonts w:hint="eastAsia"/>
        </w:rPr>
        <w:t>800m范围内设有2条及以上线路的公共交通站点（含公交站和轨道交通站）：□是；□否。</w:t>
      </w:r>
    </w:p>
    <w:p>
      <w:pPr>
        <w:pStyle w:val="89"/>
      </w:pPr>
      <w:r>
        <w:rPr>
          <w:rFonts w:hint="eastAsia"/>
        </w:rPr>
        <w:t>场地有</w:t>
      </w:r>
      <w:r>
        <w:t>配备联系公共交通站点的专用接驳车</w:t>
      </w:r>
      <w:r>
        <w:rPr>
          <w:rFonts w:hint="eastAsia"/>
        </w:rPr>
        <w:t>：□是；□否。</w:t>
      </w:r>
    </w:p>
    <w:p>
      <w:pPr>
        <w:pStyle w:val="89"/>
      </w:pPr>
      <w:r>
        <w:rPr>
          <w:rFonts w:hint="eastAsia"/>
        </w:rPr>
        <w:t>采取人车分流措施，且步行和自行车交通系统有充足的照明</w:t>
      </w:r>
      <w:r>
        <w:rPr>
          <w:rFonts w:hint="eastAsia" w:asciiTheme="minorEastAsia" w:hAnsiTheme="minorEastAsia" w:eastAsiaTheme="minorEastAsia"/>
        </w:rPr>
        <w:t>：□是。</w:t>
      </w:r>
    </w:p>
    <w:p>
      <w:pPr>
        <w:pStyle w:val="89"/>
      </w:pPr>
      <w:r>
        <w:rPr>
          <w:rFonts w:hint="eastAsia"/>
        </w:rPr>
        <w:t>场地内各出入口位置及通道进行明显的导向标示设计：□是；□否。</w:t>
      </w:r>
    </w:p>
    <w:p>
      <w:pPr>
        <w:pStyle w:val="89"/>
      </w:pPr>
      <w:r>
        <w:rPr>
          <w:rFonts w:hint="eastAsia"/>
        </w:rPr>
        <w:t>建设项目用地面积是否大于50万㎡</w:t>
      </w:r>
      <w:r>
        <w:rPr>
          <w:rFonts w:hint="eastAsia" w:asciiTheme="minorEastAsia" w:hAnsiTheme="minorEastAsia" w:eastAsiaTheme="minorEastAsia"/>
        </w:rPr>
        <w:t>：□是；□否；设置内部公共交通系统：□是；□否；选择使用清洁能源的交通工具：□是；□否。</w:t>
      </w:r>
    </w:p>
    <w:p>
      <w:pPr>
        <w:pStyle w:val="88"/>
      </w:pPr>
      <w:r>
        <w:rPr>
          <w:rFonts w:hint="eastAsia"/>
        </w:rPr>
        <w:t>场地停车设计：</w:t>
      </w:r>
    </w:p>
    <w:p>
      <w:pPr>
        <w:pStyle w:val="89"/>
      </w:pPr>
      <w:r>
        <w:rPr>
          <w:rFonts w:hint="eastAsia"/>
        </w:rPr>
        <w:t>机动车停车方式采用：□机械式停车设施；□地下停车库；□地面停车楼等方式节约集约用地。</w:t>
      </w:r>
    </w:p>
    <w:p>
      <w:pPr>
        <w:pStyle w:val="89"/>
      </w:pPr>
      <w:r>
        <w:rPr>
          <w:rFonts w:hint="eastAsia"/>
        </w:rPr>
        <w:t>机动车停车场库设置具有电动汽车充电设施或具备充电设施的安装条件的电动汽车停车位：□是。</w:t>
      </w:r>
    </w:p>
    <w:p>
      <w:pPr>
        <w:pStyle w:val="89"/>
      </w:pPr>
      <w:r>
        <w:rPr>
          <w:rFonts w:hint="eastAsia"/>
        </w:rPr>
        <w:t>采用错时停车方式向社会开放，提高停车场（库）使用效率：□是；□否。</w:t>
      </w:r>
      <w:r>
        <w:t xml:space="preserve"> </w:t>
      </w:r>
    </w:p>
    <w:p>
      <w:pPr>
        <w:pStyle w:val="89"/>
      </w:pPr>
      <w:r>
        <w:rPr>
          <w:rFonts w:hint="eastAsia"/>
        </w:rPr>
        <w:t>自行车停车场所应位置合理、方便出入；具体位置：□室外；□室内地上；□室内地下。</w:t>
      </w:r>
    </w:p>
    <w:p>
      <w:pPr>
        <w:pStyle w:val="87"/>
        <w:rPr>
          <w:b/>
          <w:bCs/>
        </w:rPr>
      </w:pPr>
      <w:r>
        <w:rPr>
          <w:rFonts w:hint="eastAsia"/>
          <w:b/>
          <w:bCs/>
        </w:rPr>
        <w:t>无障碍与安全：</w:t>
      </w:r>
    </w:p>
    <w:p>
      <w:pPr>
        <w:pStyle w:val="88"/>
      </w:pPr>
      <w:r>
        <w:rPr>
          <w:rFonts w:hint="eastAsia"/>
        </w:rPr>
        <w:t>场地内的建筑、室外场地、公共绿地、城市道路相互之间设置连贯的无障碍步行系统：□是。</w:t>
      </w:r>
    </w:p>
    <w:p>
      <w:pPr>
        <w:pStyle w:val="88"/>
        <w:rPr>
          <w:b/>
          <w:kern w:val="0"/>
        </w:rPr>
      </w:pPr>
      <w:r>
        <w:rPr>
          <w:rFonts w:hint="eastAsia"/>
          <w:lang w:val="en-GB"/>
        </w:rPr>
        <w:t>场地内人行通道采用无障碍设计：□是；□否。</w:t>
      </w:r>
    </w:p>
    <w:p>
      <w:pPr>
        <w:pStyle w:val="88"/>
        <w:rPr>
          <w:b/>
          <w:kern w:val="0"/>
        </w:rPr>
      </w:pPr>
      <w:r>
        <w:rPr>
          <w:rFonts w:hint="eastAsia"/>
        </w:rPr>
        <w:t>机动车停车场库设置无障碍汽车停车位：□是；□否。</w:t>
      </w:r>
    </w:p>
    <w:p>
      <w:pPr>
        <w:pStyle w:val="88"/>
        <w:rPr>
          <w:b/>
          <w:kern w:val="0"/>
          <w:lang w:val="en-GB"/>
        </w:rPr>
      </w:pPr>
      <w:r>
        <w:rPr>
          <w:rFonts w:hint="eastAsia"/>
        </w:rPr>
        <w:t>室外活动场所、坡道、路面应采用防滑地面，防滑等级达到现行行业标准《建筑地面工程防滑技术规程》JGJ/T 331 规定的A</w:t>
      </w:r>
      <w:r>
        <w:rPr>
          <w:rFonts w:hint="eastAsia"/>
          <w:vertAlign w:val="subscript"/>
        </w:rPr>
        <w:t>w</w:t>
      </w:r>
      <w:r>
        <w:rPr>
          <w:rFonts w:hint="eastAsia"/>
        </w:rPr>
        <w:t>级：□是；□否。</w:t>
      </w:r>
      <w:r>
        <w:rPr>
          <w:b/>
          <w:kern w:val="0"/>
          <w:lang w:val="en-GB"/>
        </w:rPr>
        <w:t xml:space="preserve"> </w:t>
      </w:r>
    </w:p>
    <w:p>
      <w:pPr>
        <w:pStyle w:val="88"/>
        <w:rPr>
          <w:b/>
          <w:kern w:val="0"/>
          <w:lang w:val="en-GB"/>
        </w:rPr>
      </w:pPr>
      <w:r>
        <w:rPr>
          <w:rFonts w:hint="eastAsia"/>
        </w:rPr>
        <w:t>总平面设计利用场地或景观形成可降低坠物风险的缓冲区、隔离带：□是；□否。</w:t>
      </w:r>
    </w:p>
    <w:p>
      <w:pPr>
        <w:pStyle w:val="88"/>
        <w:jc w:val="both"/>
        <w:rPr>
          <w:rFonts w:asciiTheme="minorEastAsia" w:hAnsiTheme="minorEastAsia" w:eastAsiaTheme="minorEastAsia"/>
          <w:b/>
          <w:kern w:val="0"/>
          <w:lang w:val="en-GB"/>
        </w:rPr>
      </w:pPr>
      <w:r>
        <w:rPr>
          <w:rFonts w:hint="eastAsia" w:asciiTheme="minorEastAsia" w:hAnsiTheme="minorEastAsia" w:eastAsiaTheme="minorEastAsia"/>
        </w:rPr>
        <w:t>室外吸烟区设置：</w:t>
      </w:r>
      <w:r>
        <w:rPr>
          <w:rFonts w:hint="eastAsia" w:asciiTheme="minorEastAsia" w:hAnsiTheme="minorEastAsia" w:eastAsiaTheme="minorEastAsia"/>
          <w:i/>
          <w:iCs/>
        </w:rPr>
        <w:t>（内容二选一）</w:t>
      </w:r>
    </w:p>
    <w:p>
      <w:pPr>
        <w:pStyle w:val="89"/>
        <w:ind w:left="992" w:leftChars="0" w:hanging="567" w:firstLineChars="0"/>
      </w:pPr>
      <w:r>
        <w:rPr>
          <w:rFonts w:hint="eastAsia"/>
        </w:rPr>
        <w:t>本项目设置室外吸烟区：室外吸烟区与绿植结合布置，并合理配置座椅和带烟头收集的垃圾筒，从建筑主出入口至室外吸烟区的导向标识完整、定位标识醒目，吸烟区设置吸烟有害健康的警示标识：□是；□否；</w:t>
      </w:r>
      <w:r>
        <w:rPr>
          <w:rFonts w:hint="eastAsia"/>
          <w:bCs/>
          <w:kern w:val="0"/>
        </w:rPr>
        <w:t>室外吸烟区布置在建筑主出入口的主导风的下风向，</w:t>
      </w:r>
      <w:r>
        <w:rPr>
          <w:rFonts w:hint="eastAsia"/>
        </w:rPr>
        <w:t>与所有建筑出入口、新风进气口和可开启扇的距离不小于8米，且距离儿童和老年人活动场地不少于8米：□是；□否。</w:t>
      </w:r>
    </w:p>
    <w:p>
      <w:pPr>
        <w:pStyle w:val="89"/>
        <w:ind w:left="992" w:leftChars="0" w:hanging="567" w:firstLineChars="0"/>
      </w:pPr>
      <w:r>
        <w:rPr>
          <w:rFonts w:hint="eastAsia"/>
        </w:rPr>
        <w:t>本项目场地范围内禁烟，不设置室外吸烟区，场地内明显位置设置禁烟标识。□是；□否。</w:t>
      </w:r>
    </w:p>
    <w:p>
      <w:pPr>
        <w:pStyle w:val="88"/>
        <w:rPr>
          <w:b/>
          <w:kern w:val="0"/>
          <w:lang w:val="en-GB"/>
        </w:rPr>
      </w:pPr>
      <w:r>
        <w:rPr>
          <w:rFonts w:hint="eastAsia"/>
        </w:rPr>
        <w:t xml:space="preserve">场地内设计安全防护的警示和引导标识系统：□是；□否。 </w:t>
      </w:r>
    </w:p>
    <w:p>
      <w:pPr>
        <w:pStyle w:val="88"/>
        <w:rPr>
          <w:b/>
          <w:kern w:val="0"/>
        </w:rPr>
      </w:pPr>
      <w:r>
        <w:rPr>
          <w:rFonts w:hint="eastAsia"/>
        </w:rPr>
        <w:t>场地内设置便于识别和使用的标识系统：□是；□否。</w:t>
      </w:r>
      <w:r>
        <w:t xml:space="preserve"> </w:t>
      </w:r>
    </w:p>
    <w:p>
      <w:pPr>
        <w:pStyle w:val="87"/>
        <w:rPr>
          <w:b/>
          <w:bCs/>
        </w:rPr>
      </w:pPr>
      <w:r>
        <w:rPr>
          <w:rFonts w:hint="eastAsia"/>
          <w:b/>
          <w:bCs/>
        </w:rPr>
        <w:t>场地声环境：</w:t>
      </w:r>
      <w:r>
        <w:rPr>
          <w:b/>
          <w:bCs/>
        </w:rPr>
        <w:t xml:space="preserve"> </w:t>
      </w:r>
    </w:p>
    <w:p>
      <w:pPr>
        <w:pStyle w:val="88"/>
      </w:pPr>
      <w:r>
        <w:rPr>
          <w:rFonts w:hint="eastAsia"/>
        </w:rPr>
        <w:t>场地声环境设计符合现行国家标准《声环境质量标准》GB 3096 的要求。</w:t>
      </w:r>
    </w:p>
    <w:p>
      <w:pPr>
        <w:pStyle w:val="88"/>
      </w:pPr>
      <w:r>
        <w:rPr>
          <w:rFonts w:hint="eastAsia"/>
        </w:rPr>
        <w:t>场地环境噪声值不大于现行国家标准《声环境质量标准》GB 3096的</w:t>
      </w:r>
      <w:r>
        <w:rPr>
          <w:rFonts w:hint="eastAsia" w:asciiTheme="minorEastAsia" w:hAnsiTheme="minorEastAsia" w:eastAsiaTheme="minorEastAsia"/>
        </w:rPr>
        <w:t>____</w:t>
      </w:r>
      <w:r>
        <w:rPr>
          <w:rFonts w:hint="eastAsia"/>
        </w:rPr>
        <w:t>类声环境功能区标准限值。</w:t>
      </w:r>
    </w:p>
    <w:p>
      <w:pPr>
        <w:pStyle w:val="88"/>
      </w:pPr>
      <w:r>
        <w:rPr>
          <w:rFonts w:hint="eastAsia"/>
        </w:rPr>
        <w:t>场地内未设置未经有效处理的强噪声源。</w:t>
      </w:r>
    </w:p>
    <w:p>
      <w:pPr>
        <w:pStyle w:val="88"/>
      </w:pPr>
      <w:r>
        <w:rPr>
          <w:rFonts w:hint="eastAsia"/>
        </w:rPr>
        <w:t>噪声源改善措施：</w:t>
      </w:r>
    </w:p>
    <w:p>
      <w:pPr>
        <w:pStyle w:val="89"/>
      </w:pPr>
      <w:r>
        <w:rPr>
          <w:rFonts w:hint="eastAsia"/>
        </w:rPr>
        <w:t>对固定噪声源采用适当的隔声和降噪措施：□是，措施为</w:t>
      </w:r>
      <w:r>
        <w:rPr>
          <w:rFonts w:hint="eastAsia" w:asciiTheme="minorEastAsia" w:hAnsiTheme="minorEastAsia" w:eastAsiaTheme="minorEastAsia"/>
        </w:rPr>
        <w:t>______________</w:t>
      </w:r>
      <w:r>
        <w:rPr>
          <w:rFonts w:hint="eastAsia"/>
        </w:rPr>
        <w:t>；□未涉及。</w:t>
      </w:r>
    </w:p>
    <w:p>
      <w:pPr>
        <w:pStyle w:val="89"/>
      </w:pPr>
      <w:r>
        <w:rPr>
          <w:rFonts w:hint="eastAsia"/>
        </w:rPr>
        <w:t>对交通干道的噪声采取声屏障或降噪路面等措施：□是，措施为</w:t>
      </w:r>
      <w:r>
        <w:rPr>
          <w:rFonts w:hint="eastAsia" w:asciiTheme="minorEastAsia" w:hAnsiTheme="minorEastAsia" w:eastAsiaTheme="minorEastAsia"/>
        </w:rPr>
        <w:t>______________</w:t>
      </w:r>
      <w:r>
        <w:rPr>
          <w:rFonts w:hint="eastAsia"/>
        </w:rPr>
        <w:t>；□未涉及。</w:t>
      </w:r>
    </w:p>
    <w:p>
      <w:pPr>
        <w:pStyle w:val="89"/>
      </w:pPr>
      <w:r>
        <w:rPr>
          <w:rFonts w:hint="eastAsia"/>
        </w:rPr>
        <w:t>将对噪声不明感的建筑物布置在场地内临近交通干道的位置，以形成周边式的声屏障：□是；□否。</w:t>
      </w:r>
    </w:p>
    <w:p>
      <w:pPr>
        <w:pStyle w:val="89"/>
      </w:pPr>
      <w:r>
        <w:rPr>
          <w:rFonts w:hint="eastAsia"/>
        </w:rPr>
        <w:t>当建筑相邻高速公路或快速路，且临道路一侧退后道路红线距离小于15m时，或当建筑相邻城市干道，且临道路一侧退后用地红线距离小于12m时，进行噪声专项分析：□是；□否。</w:t>
      </w:r>
    </w:p>
    <w:p>
      <w:pPr>
        <w:pStyle w:val="89"/>
      </w:pPr>
      <w:r>
        <w:rPr>
          <w:rFonts w:hint="eastAsia"/>
        </w:rPr>
        <w:t>对声环境要求高的建筑，设置于主要噪声源主导风向的上风侧：□是；□否；并进行噪声专项分析：</w:t>
      </w:r>
    </w:p>
    <w:p>
      <w:pPr>
        <w:pStyle w:val="89"/>
        <w:numPr>
          <w:ilvl w:val="0"/>
          <w:numId w:val="0"/>
        </w:numPr>
        <w:ind w:left="1050"/>
      </w:pPr>
      <w:r>
        <w:rPr>
          <w:rFonts w:hint="eastAsia"/>
        </w:rPr>
        <w:t>□是；□否。</w:t>
      </w:r>
    </w:p>
    <w:p>
      <w:pPr>
        <w:pStyle w:val="87"/>
        <w:rPr>
          <w:b/>
          <w:bCs/>
        </w:rPr>
      </w:pPr>
      <w:r>
        <w:rPr>
          <w:rFonts w:hint="eastAsia"/>
          <w:b/>
          <w:bCs/>
        </w:rPr>
        <w:t>场地风环境：</w:t>
      </w:r>
      <w:r>
        <w:rPr>
          <w:b/>
          <w:bCs/>
        </w:rPr>
        <w:t xml:space="preserve"> </w:t>
      </w:r>
    </w:p>
    <w:p>
      <w:pPr>
        <w:pStyle w:val="88"/>
        <w:rPr>
          <w:lang w:val="en-GB"/>
        </w:rPr>
      </w:pPr>
      <w:r>
        <w:rPr>
          <w:rFonts w:hint="eastAsia"/>
        </w:rPr>
        <w:t>总平面设计对场地风环境进行模拟预测，优化建筑布局：□是；□否</w:t>
      </w:r>
      <w:r>
        <w:rPr>
          <w:rFonts w:hint="eastAsia"/>
          <w:lang w:val="en-GB"/>
        </w:rPr>
        <w:t>。</w:t>
      </w:r>
    </w:p>
    <w:p>
      <w:pPr>
        <w:pStyle w:val="88"/>
        <w:rPr>
          <w:lang w:val="en-GB"/>
        </w:rPr>
      </w:pPr>
      <w:r>
        <w:rPr>
          <w:rFonts w:hint="eastAsia"/>
        </w:rPr>
        <w:t>冬季典型风速和风向条件下，建筑物周围人行区1</w:t>
      </w:r>
      <w:r>
        <w:t>.5</w:t>
      </w:r>
      <w:r>
        <w:rPr>
          <w:rFonts w:hint="eastAsia"/>
        </w:rPr>
        <w:t>m处风速小于5</w:t>
      </w:r>
      <w:r>
        <w:t>m/s</w:t>
      </w:r>
      <w:r>
        <w:rPr>
          <w:rFonts w:hint="eastAsia"/>
        </w:rPr>
        <w:t>：□是；□否</w:t>
      </w:r>
      <w:r>
        <w:rPr>
          <w:rFonts w:hint="eastAsia"/>
          <w:lang w:val="en-GB"/>
        </w:rPr>
        <w:t>。</w:t>
      </w:r>
      <w:r>
        <w:rPr>
          <w:lang w:val="en-GB"/>
        </w:rPr>
        <w:t xml:space="preserve"> </w:t>
      </w:r>
    </w:p>
    <w:p>
      <w:pPr>
        <w:pStyle w:val="88"/>
        <w:rPr>
          <w:lang w:val="en-GB"/>
        </w:rPr>
      </w:pPr>
      <w:r>
        <w:rPr>
          <w:rFonts w:hint="eastAsia"/>
          <w:lang w:val="en-GB"/>
        </w:rPr>
        <w:t>户外休息区</w:t>
      </w:r>
      <w:r>
        <w:rPr>
          <w:lang w:val="en-GB"/>
        </w:rPr>
        <w:t>、儿童娱乐区风速小于</w:t>
      </w:r>
      <w:r>
        <w:rPr>
          <w:rFonts w:hint="eastAsia"/>
          <w:lang w:val="en-GB"/>
        </w:rPr>
        <w:t>5</w:t>
      </w:r>
      <w:r>
        <w:rPr>
          <w:lang w:val="en-GB"/>
        </w:rPr>
        <w:t>m/s：</w:t>
      </w:r>
      <w:r>
        <w:rPr>
          <w:rFonts w:hint="eastAsia"/>
        </w:rPr>
        <w:t>□是；□否</w:t>
      </w:r>
      <w:r>
        <w:rPr>
          <w:rFonts w:hint="eastAsia"/>
          <w:lang w:val="en-GB"/>
        </w:rPr>
        <w:t>；</w:t>
      </w:r>
      <w:r>
        <w:rPr>
          <w:rFonts w:hint="eastAsia"/>
        </w:rPr>
        <w:t>□未涉及</w:t>
      </w:r>
      <w:r>
        <w:rPr>
          <w:rFonts w:hint="eastAsia"/>
          <w:lang w:val="en-GB"/>
        </w:rPr>
        <w:t>。</w:t>
      </w:r>
    </w:p>
    <w:p>
      <w:pPr>
        <w:pStyle w:val="88"/>
      </w:pPr>
      <w:r>
        <w:rPr>
          <w:rFonts w:hint="eastAsia"/>
        </w:rPr>
        <w:t>室外风速放大系数小于2：□是；□否。</w:t>
      </w:r>
    </w:p>
    <w:p>
      <w:pPr>
        <w:pStyle w:val="88"/>
      </w:pPr>
      <w:r>
        <w:rPr>
          <w:rFonts w:hint="eastAsia"/>
        </w:rPr>
        <w:t>避开冬季主导风向，冬季除迎风面第一排建筑外，建筑表面压强绝对值的平均值不大于5</w:t>
      </w:r>
      <w:r>
        <w:t>Pa</w:t>
      </w:r>
      <w:r>
        <w:rPr>
          <w:rFonts w:hint="eastAsia"/>
        </w:rPr>
        <w:t>：</w:t>
      </w:r>
    </w:p>
    <w:p>
      <w:pPr>
        <w:pStyle w:val="89"/>
        <w:numPr>
          <w:ilvl w:val="0"/>
          <w:numId w:val="0"/>
        </w:numPr>
        <w:ind w:left="1050"/>
      </w:pPr>
      <w:r>
        <w:rPr>
          <w:rFonts w:hint="eastAsia"/>
        </w:rPr>
        <w:t>□是；□否；□仅一排</w:t>
      </w:r>
      <w:r>
        <w:t>建筑</w:t>
      </w:r>
      <w:r>
        <w:rPr>
          <w:rFonts w:hint="eastAsia"/>
          <w:lang w:val="en-GB"/>
        </w:rPr>
        <w:t>。</w:t>
      </w:r>
    </w:p>
    <w:p>
      <w:pPr>
        <w:pStyle w:val="88"/>
      </w:pPr>
      <w:r>
        <w:rPr>
          <w:rFonts w:hint="eastAsia"/>
        </w:rPr>
        <w:t>过渡季、夏季典型风速和风向条件下，场地内人活动区不出现涡旋或无风区：□是；□否。</w:t>
      </w:r>
    </w:p>
    <w:p>
      <w:pPr>
        <w:pStyle w:val="88"/>
      </w:pPr>
      <w:r>
        <w:rPr>
          <w:rFonts w:hint="eastAsia"/>
        </w:rPr>
        <w:t>空气污染</w:t>
      </w:r>
      <w:r>
        <w:t>源未设置在</w:t>
      </w:r>
      <w:r>
        <w:rPr>
          <w:rFonts w:hint="eastAsia"/>
        </w:rPr>
        <w:t>涡旋</w:t>
      </w:r>
      <w:r>
        <w:t>及无风区：</w:t>
      </w:r>
      <w:r>
        <w:rPr>
          <w:rFonts w:hint="eastAsia"/>
        </w:rPr>
        <w:t>□是；□否。</w:t>
      </w:r>
    </w:p>
    <w:p>
      <w:pPr>
        <w:pStyle w:val="88"/>
      </w:pPr>
      <w:r>
        <w:rPr>
          <w:rFonts w:hint="eastAsia"/>
        </w:rPr>
        <w:t xml:space="preserve">50％以上可开启外窗室内外表面的风压差大于0.5pa：□是；□否。 </w:t>
      </w:r>
    </w:p>
    <w:p>
      <w:pPr>
        <w:pStyle w:val="88"/>
      </w:pPr>
      <w:r>
        <w:rPr>
          <w:rFonts w:hint="eastAsia"/>
        </w:rPr>
        <w:t xml:space="preserve">场地内应合理规划设置室外吸烟区，并布置在建筑主出入口的主导风的下风向，与所有建筑出入口、新风进气口和可开启窗扇的距离不少于8m，且距离儿童和老人活动场地不少于8m：□是；□否。 </w:t>
      </w:r>
    </w:p>
    <w:p>
      <w:pPr>
        <w:pStyle w:val="87"/>
        <w:rPr>
          <w:b/>
          <w:bCs/>
        </w:rPr>
      </w:pPr>
      <w:r>
        <w:rPr>
          <w:rFonts w:hint="eastAsia"/>
          <w:b/>
          <w:bCs/>
        </w:rPr>
        <w:t>场地热环境：</w:t>
      </w:r>
      <w:r>
        <w:rPr>
          <w:b/>
          <w:bCs/>
        </w:rPr>
        <w:t xml:space="preserve"> </w:t>
      </w:r>
    </w:p>
    <w:p>
      <w:pPr>
        <w:pStyle w:val="88"/>
      </w:pPr>
      <w:r>
        <w:rPr>
          <w:rFonts w:hint="eastAsia"/>
        </w:rPr>
        <w:t>降低热岛强度：</w:t>
      </w:r>
    </w:p>
    <w:p>
      <w:pPr>
        <w:pStyle w:val="89"/>
      </w:pPr>
      <w:r>
        <w:rPr>
          <w:rFonts w:hint="eastAsia"/>
        </w:rPr>
        <w:t>场地中处于建筑阴影区外的步道、游憩场、庭院、广场等室外活动场地设有乔木、花架等遮阴措施的面积比例：_____％。</w:t>
      </w:r>
    </w:p>
    <w:p>
      <w:pPr>
        <w:pStyle w:val="89"/>
        <w:spacing w:line="400" w:lineRule="exact"/>
        <w:ind w:leftChars="0" w:firstLineChars="0"/>
      </w:pPr>
      <w:r>
        <w:rPr>
          <w:rFonts w:hint="eastAsia"/>
        </w:rPr>
        <w:t>屋顶的绿化面积、太阳能板水平投影面积、屋面设备占用面积以及太阳能辐射反射系数不小于0.4的屋面面积合计达到_____％≥75％。</w:t>
      </w:r>
    </w:p>
    <w:p>
      <w:pPr>
        <w:pStyle w:val="89"/>
      </w:pPr>
      <w:r>
        <w:rPr>
          <w:rFonts w:hint="eastAsia"/>
        </w:rPr>
        <w:t>场地中处于建筑阴影区外的机动车道，路面太阳辐射反射系数不小于0.4：□是；□否；</w:t>
      </w:r>
    </w:p>
    <w:p>
      <w:pPr>
        <w:pStyle w:val="89"/>
        <w:numPr>
          <w:ilvl w:val="0"/>
          <w:numId w:val="0"/>
        </w:numPr>
        <w:ind w:left="1050"/>
      </w:pPr>
      <w:r>
        <w:rPr>
          <w:rFonts w:hint="eastAsia"/>
        </w:rPr>
        <w:t>设有遮阴面积较大的行道树的路段长度超过70％：□是；□否。</w:t>
      </w:r>
    </w:p>
    <w:p>
      <w:pPr>
        <w:pStyle w:val="89"/>
      </w:pPr>
      <w:r>
        <w:rPr>
          <w:rFonts w:hint="eastAsia"/>
        </w:rPr>
        <w:t>住宅建筑地面停车位数量与住宅总套数的比率_____％＜10％。</w:t>
      </w:r>
    </w:p>
    <w:p>
      <w:pPr>
        <w:pStyle w:val="89"/>
      </w:pPr>
      <w:r>
        <w:rPr>
          <w:rFonts w:hint="eastAsia"/>
        </w:rPr>
        <w:t>家用和类似用途空调器的室外机与室外通道地面的距离大于2.5 米，且未占用公共人行道；建筑物内部的通道、出口等公用空间未安装空调室外机；□是。</w:t>
      </w:r>
    </w:p>
    <w:p>
      <w:pPr>
        <w:pStyle w:val="89"/>
      </w:pPr>
      <w:r>
        <w:rPr>
          <w:rFonts w:hint="eastAsia"/>
        </w:rPr>
        <w:t>根据相关规定进行场地热环境的模拟预测，分析夏季典型日的热岛强度和室外热舒适性，优化规划设计方案：□是；□否。</w:t>
      </w:r>
    </w:p>
    <w:p>
      <w:pPr>
        <w:pStyle w:val="87"/>
        <w:rPr>
          <w:b/>
          <w:bCs/>
        </w:rPr>
      </w:pPr>
      <w:r>
        <w:rPr>
          <w:rFonts w:hint="eastAsia"/>
          <w:b/>
          <w:bCs/>
        </w:rPr>
        <w:t>场地光环境：</w:t>
      </w:r>
    </w:p>
    <w:p>
      <w:pPr>
        <w:pStyle w:val="88"/>
        <w:jc w:val="both"/>
      </w:pPr>
      <w:r>
        <w:rPr>
          <w:rFonts w:hint="eastAsia"/>
        </w:rPr>
        <w:t>合理进行场地和道路照明设计，室外照明光污染应符合现行国家标准《室外照明干扰光限制规范》GB/T 35626、现行行业标准《城市夜景照明设计规范》JGJ/T 163和现行地方标准《环境照明工程设计规范》DB</w:t>
      </w:r>
      <w:r>
        <w:t xml:space="preserve"> </w:t>
      </w:r>
      <w:r>
        <w:rPr>
          <w:rFonts w:hint="eastAsia"/>
        </w:rPr>
        <w:t>33/T 1055的相关规定；□是。</w:t>
      </w:r>
    </w:p>
    <w:p>
      <w:pPr>
        <w:pStyle w:val="87"/>
        <w:rPr>
          <w:b/>
          <w:bCs/>
          <w:u w:val="single"/>
        </w:rPr>
      </w:pPr>
      <w:r>
        <w:rPr>
          <w:rFonts w:hint="eastAsia"/>
          <w:b/>
          <w:bCs/>
        </w:rPr>
        <w:t>其他绿色设计措施：</w:t>
      </w:r>
      <w:r>
        <w:rPr>
          <w:rFonts w:hint="eastAsia"/>
        </w:rPr>
        <w:t>_____________________________________________。</w:t>
      </w:r>
    </w:p>
    <w:p>
      <w:pPr>
        <w:pStyle w:val="87"/>
        <w:numPr>
          <w:ilvl w:val="0"/>
          <w:numId w:val="0"/>
        </w:numPr>
        <w:ind w:left="425"/>
      </w:pP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lang w:val="en-GB"/>
        </w:rPr>
      </w:pPr>
      <w:r>
        <w:rPr>
          <w:rFonts w:hint="eastAsia" w:hAnsi="宋体"/>
          <w:b/>
          <w:sz w:val="24"/>
          <w:lang w:val="en-GB"/>
        </w:rPr>
        <w:t>（二）</w:t>
      </w:r>
      <w:r>
        <w:rPr>
          <w:rFonts w:hAnsi="宋体"/>
          <w:b/>
          <w:sz w:val="24"/>
          <w:lang w:val="en-GB"/>
        </w:rPr>
        <w:t>建筑设计技术措施</w:t>
      </w: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rPr>
      </w:pPr>
      <w:r>
        <w:rPr>
          <w:rFonts w:hint="eastAsia" w:hAnsi="宋体"/>
          <w:b/>
          <w:sz w:val="24"/>
          <w:lang w:val="en-GB"/>
        </w:rPr>
        <w:t>控制项内容</w:t>
      </w:r>
    </w:p>
    <w:p>
      <w:pPr>
        <w:pStyle w:val="90"/>
        <w:numPr>
          <w:ilvl w:val="0"/>
          <w:numId w:val="15"/>
        </w:numPr>
      </w:pPr>
      <w:r>
        <w:rPr>
          <w:rFonts w:hint="eastAsia"/>
        </w:rPr>
        <w:t>建筑设计结合场地自然条件和建筑功能需求进行节能设计，建筑节能设计满足</w:t>
      </w:r>
      <w:r>
        <w:t>现行国家和</w:t>
      </w:r>
      <w:r>
        <w:rPr>
          <w:rFonts w:hint="eastAsia"/>
        </w:rPr>
        <w:t>浙江省</w:t>
      </w:r>
      <w:r>
        <w:t>建筑节能设计标准的要求</w:t>
      </w:r>
      <w:r>
        <w:rPr>
          <w:rFonts w:hint="eastAsia"/>
        </w:rPr>
        <w:t>。</w:t>
      </w:r>
    </w:p>
    <w:p>
      <w:pPr>
        <w:pStyle w:val="90"/>
        <w:numPr>
          <w:ilvl w:val="0"/>
          <w:numId w:val="15"/>
        </w:numPr>
      </w:pPr>
      <w:r>
        <w:rPr>
          <w:rFonts w:hint="eastAsia"/>
        </w:rPr>
        <w:t>屋顶和外墙隔热性能满足现行国家标准《民用建筑热工设计规范》</w:t>
      </w:r>
      <w:r>
        <w:t xml:space="preserve">GB 50176 </w:t>
      </w:r>
      <w:r>
        <w:rPr>
          <w:rFonts w:hint="eastAsia"/>
        </w:rPr>
        <w:t>的要求。</w:t>
      </w:r>
      <w:r>
        <w:t xml:space="preserve"> </w:t>
      </w:r>
    </w:p>
    <w:p>
      <w:pPr>
        <w:pStyle w:val="90"/>
        <w:numPr>
          <w:ilvl w:val="0"/>
          <w:numId w:val="15"/>
        </w:numPr>
        <w:rPr>
          <w:rFonts w:asciiTheme="minorEastAsia" w:hAnsiTheme="minorEastAsia" w:eastAsiaTheme="minorEastAsia"/>
        </w:rPr>
      </w:pPr>
      <w:r>
        <w:rPr>
          <w:rFonts w:hint="eastAsia" w:asciiTheme="minorEastAsia" w:hAnsiTheme="minorEastAsia" w:eastAsiaTheme="minorEastAsia"/>
        </w:rPr>
        <w:t>建筑造型要素简约，无大量装饰性构件。</w:t>
      </w:r>
    </w:p>
    <w:p>
      <w:pPr>
        <w:pStyle w:val="90"/>
        <w:numPr>
          <w:ilvl w:val="0"/>
          <w:numId w:val="15"/>
        </w:numPr>
        <w:rPr>
          <w:rFonts w:asciiTheme="minorEastAsia" w:hAnsiTheme="minorEastAsia" w:eastAsiaTheme="minorEastAsia"/>
        </w:rPr>
      </w:pPr>
      <w:r>
        <w:rPr>
          <w:rFonts w:hint="eastAsia" w:asciiTheme="minorEastAsia" w:hAnsiTheme="minorEastAsia" w:eastAsiaTheme="minorEastAsia"/>
        </w:rPr>
        <w:t>主要功能房间的室内噪声级和围护结构的隔声性能应满足现行国家标准《民用建筑隔声设计规范》GB</w:t>
      </w:r>
      <w:r>
        <w:rPr>
          <w:rFonts w:asciiTheme="minorEastAsia" w:hAnsiTheme="minorEastAsia" w:eastAsiaTheme="minorEastAsia"/>
        </w:rPr>
        <w:t xml:space="preserve"> </w:t>
      </w:r>
      <w:r>
        <w:rPr>
          <w:rFonts w:hint="eastAsia" w:asciiTheme="minorEastAsia" w:hAnsiTheme="minorEastAsia" w:eastAsiaTheme="minorEastAsia"/>
        </w:rPr>
        <w:t>50118中的低限要求。</w:t>
      </w:r>
    </w:p>
    <w:p>
      <w:pPr>
        <w:pStyle w:val="90"/>
        <w:numPr>
          <w:ilvl w:val="0"/>
          <w:numId w:val="15"/>
        </w:numPr>
        <w:rPr>
          <w:rFonts w:asciiTheme="minorEastAsia" w:hAnsiTheme="minorEastAsia" w:eastAsiaTheme="minorEastAsia"/>
        </w:rPr>
      </w:pPr>
      <w:r>
        <w:rPr>
          <w:rFonts w:hint="eastAsia" w:asciiTheme="minorEastAsia" w:hAnsiTheme="minorEastAsia" w:eastAsiaTheme="minorEastAsia"/>
        </w:rPr>
        <w:t>建筑室内设置便于识别和使用的标示系统，特别部位有安全防护的警示和引导标示系统。</w:t>
      </w:r>
    </w:p>
    <w:p>
      <w:pPr>
        <w:pStyle w:val="90"/>
        <w:numPr>
          <w:ilvl w:val="0"/>
          <w:numId w:val="15"/>
        </w:numPr>
        <w:rPr>
          <w:rFonts w:asciiTheme="minorEastAsia" w:hAnsiTheme="minorEastAsia" w:eastAsiaTheme="minorEastAsia"/>
        </w:rPr>
      </w:pPr>
      <w:r>
        <w:rPr>
          <w:rFonts w:hint="eastAsia" w:asciiTheme="minorEastAsia" w:hAnsiTheme="minorEastAsia" w:eastAsiaTheme="minorEastAsia"/>
        </w:rPr>
        <w:t>走廊、疏散通道等通行空间满足紧急疏散、应急救护等要求，且保持畅通。</w:t>
      </w:r>
    </w:p>
    <w:p>
      <w:pPr>
        <w:pStyle w:val="90"/>
        <w:numPr>
          <w:ilvl w:val="0"/>
          <w:numId w:val="15"/>
        </w:numPr>
        <w:rPr>
          <w:rFonts w:asciiTheme="minorEastAsia" w:hAnsiTheme="minorEastAsia" w:eastAsiaTheme="minorEastAsia"/>
        </w:rPr>
      </w:pPr>
      <w:r>
        <w:rPr>
          <w:rFonts w:hint="eastAsia" w:asciiTheme="minorEastAsia" w:hAnsiTheme="minorEastAsia" w:eastAsiaTheme="minorEastAsia"/>
        </w:rPr>
        <w:t>控制建筑工程中建筑材料和装修材料产生的室内环境污染，严禁使用苯、工业苯、石油苯、重质苯及混苯作为稀释剂和溶剂；室内空气中的氨、甲醛、苯、甲苯、二甲苯、总挥发性有机物、氡等污染物浓度满足现行国家标准《民用建筑工程室内环境污染控制标准》GB</w:t>
      </w:r>
      <w:r>
        <w:rPr>
          <w:rFonts w:asciiTheme="minorEastAsia" w:hAnsiTheme="minorEastAsia" w:eastAsiaTheme="minorEastAsia"/>
        </w:rPr>
        <w:t xml:space="preserve"> </w:t>
      </w:r>
      <w:r>
        <w:rPr>
          <w:rFonts w:hint="eastAsia" w:asciiTheme="minorEastAsia" w:hAnsiTheme="minorEastAsia" w:eastAsiaTheme="minorEastAsia"/>
        </w:rPr>
        <w:t>50325和是《室内空气质量标准》GB/T</w:t>
      </w:r>
      <w:r>
        <w:rPr>
          <w:rFonts w:asciiTheme="minorEastAsia" w:hAnsiTheme="minorEastAsia" w:eastAsiaTheme="minorEastAsia"/>
        </w:rPr>
        <w:t xml:space="preserve"> </w:t>
      </w:r>
      <w:r>
        <w:rPr>
          <w:rFonts w:hint="eastAsia" w:asciiTheme="minorEastAsia" w:hAnsiTheme="minorEastAsia" w:eastAsiaTheme="minorEastAsia"/>
        </w:rPr>
        <w:t>18883的有关规定。建筑室内和建筑主要出入口的醒目位置设置禁烟标志。</w:t>
      </w:r>
    </w:p>
    <w:p>
      <w:pPr>
        <w:pStyle w:val="90"/>
        <w:ind w:left="420" w:hanging="420"/>
      </w:pP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lang w:val="en-GB"/>
        </w:rPr>
      </w:pPr>
      <w:r>
        <w:rPr>
          <w:rFonts w:hint="eastAsia" w:hAnsi="宋体"/>
          <w:b/>
          <w:sz w:val="24"/>
          <w:lang w:val="en-GB"/>
        </w:rPr>
        <w:t>一般项内容</w:t>
      </w:r>
    </w:p>
    <w:p>
      <w:pPr>
        <w:pStyle w:val="87"/>
        <w:numPr>
          <w:ilvl w:val="0"/>
          <w:numId w:val="16"/>
        </w:numPr>
        <w:rPr>
          <w:b/>
          <w:bCs/>
        </w:rPr>
      </w:pPr>
      <w:r>
        <w:rPr>
          <w:rFonts w:hint="eastAsia"/>
          <w:b/>
          <w:bCs/>
        </w:rPr>
        <w:t>建筑的空间布局和使用功能：</w:t>
      </w:r>
    </w:p>
    <w:p>
      <w:pPr>
        <w:pStyle w:val="88"/>
      </w:pPr>
      <w:r>
        <w:rPr>
          <w:rFonts w:hint="eastAsia"/>
        </w:rPr>
        <w:t>建筑空间布局合理，充分考虑建筑使用功能、使用人数和使用方式等变化的预期需求，选择适宜的空间尺度：□是；□否。</w:t>
      </w:r>
    </w:p>
    <w:p>
      <w:pPr>
        <w:pStyle w:val="88"/>
      </w:pPr>
      <w:r>
        <w:rPr>
          <w:rFonts w:hint="eastAsia"/>
        </w:rPr>
        <w:t>在建筑入口附近设置过渡空间：</w:t>
      </w:r>
      <w:r>
        <w:t xml:space="preserve"> </w:t>
      </w:r>
      <w:r>
        <w:rPr>
          <w:rFonts w:hint="eastAsia"/>
        </w:rPr>
        <w:t>□是，空间类型和位置：_______________________；□否。</w:t>
      </w:r>
    </w:p>
    <w:p>
      <w:pPr>
        <w:pStyle w:val="88"/>
        <w:jc w:val="both"/>
        <w:rPr>
          <w:rFonts w:asciiTheme="minorEastAsia" w:hAnsiTheme="minorEastAsia" w:eastAsiaTheme="minorEastAsia"/>
        </w:rPr>
      </w:pPr>
      <w:r>
        <w:rPr>
          <w:rFonts w:hint="eastAsia" w:asciiTheme="minorEastAsia" w:hAnsiTheme="minorEastAsia" w:eastAsiaTheme="minorEastAsia"/>
        </w:rPr>
        <w:t>建筑的主出入口、门厅附近（距离主出入口15m以内）设置便于日常使用的楼梯，楼梯间具有天然采光和良好的视野：□是；□否。</w:t>
      </w:r>
    </w:p>
    <w:p>
      <w:pPr>
        <w:pStyle w:val="88"/>
        <w:jc w:val="both"/>
        <w:rPr>
          <w:rFonts w:asciiTheme="minorEastAsia" w:hAnsiTheme="minorEastAsia" w:eastAsiaTheme="minorEastAsia"/>
        </w:rPr>
      </w:pPr>
      <w:r>
        <w:rPr>
          <w:rFonts w:hint="eastAsia" w:asciiTheme="minorEastAsia" w:hAnsiTheme="minorEastAsia" w:eastAsiaTheme="minorEastAsia"/>
        </w:rPr>
        <w:t>室内健身空间面积不少于地上建筑面积的0.3％且不少于60m²：□是；□未涉及。</w:t>
      </w:r>
    </w:p>
    <w:p>
      <w:pPr>
        <w:pStyle w:val="88"/>
      </w:pPr>
      <w:r>
        <w:rPr>
          <w:rFonts w:hint="eastAsia"/>
        </w:rPr>
        <w:t>有噪声、振动、电磁辐射和空气污染的房间远离有安静要求、人员长期居住或工作的房间及场所：</w:t>
      </w:r>
    </w:p>
    <w:p>
      <w:pPr>
        <w:pStyle w:val="89"/>
        <w:numPr>
          <w:ilvl w:val="0"/>
          <w:numId w:val="0"/>
        </w:numPr>
        <w:ind w:left="1050"/>
      </w:pPr>
      <w:r>
        <w:rPr>
          <w:rFonts w:hint="eastAsia"/>
        </w:rPr>
        <w:t>□是；□否，受条件限制而相邻设置时，采取的防护措施：_____________________________。</w:t>
      </w:r>
    </w:p>
    <w:p>
      <w:pPr>
        <w:pStyle w:val="87"/>
        <w:rPr>
          <w:b/>
          <w:bCs/>
        </w:rPr>
      </w:pPr>
      <w:r>
        <w:rPr>
          <w:rFonts w:hint="eastAsia"/>
          <w:b/>
          <w:bCs/>
        </w:rPr>
        <w:t>建筑节能：</w:t>
      </w:r>
    </w:p>
    <w:p>
      <w:pPr>
        <w:pStyle w:val="88"/>
        <w:spacing w:line="360" w:lineRule="exact"/>
        <w:ind w:left="840" w:hanging="420"/>
        <w:rPr>
          <w:b/>
        </w:rPr>
      </w:pPr>
      <w:r>
        <w:rPr>
          <w:rFonts w:hint="eastAsia"/>
          <w:b/>
        </w:rPr>
        <w:t>建筑朝向与体形系数：</w:t>
      </w:r>
    </w:p>
    <w:p>
      <w:pPr>
        <w:pStyle w:val="89"/>
      </w:pPr>
      <w:r>
        <w:rPr>
          <w:rFonts w:hint="eastAsia"/>
        </w:rPr>
        <w:t>主体</w:t>
      </w:r>
      <w:r>
        <w:t>建筑朝向</w:t>
      </w:r>
      <w:r>
        <w:rPr>
          <w:rFonts w:hint="eastAsia"/>
        </w:rPr>
        <w:t>：</w:t>
      </w:r>
      <w:r>
        <w:rPr>
          <w:rFonts w:hint="eastAsia" w:asciiTheme="minorEastAsia" w:hAnsiTheme="minorEastAsia" w:eastAsiaTheme="minorEastAsia"/>
        </w:rPr>
        <w:t>_________________</w:t>
      </w:r>
      <w:r>
        <w:rPr>
          <w:rFonts w:hint="eastAsia"/>
        </w:rPr>
        <w:t>；</w:t>
      </w:r>
      <w:r>
        <w:t>在南偏东30°至南偏西15°范围</w:t>
      </w:r>
      <w:r>
        <w:rPr>
          <w:rFonts w:hint="eastAsia"/>
        </w:rPr>
        <w:t>内：□是； □否。</w:t>
      </w:r>
    </w:p>
    <w:p>
      <w:pPr>
        <w:pStyle w:val="89"/>
      </w:pPr>
      <w:r>
        <w:rPr>
          <w:rFonts w:hint="eastAsia"/>
        </w:rPr>
        <w:t>不利朝向采取的补偿措施：</w:t>
      </w:r>
    </w:p>
    <w:p>
      <w:pPr>
        <w:pStyle w:val="89"/>
        <w:numPr>
          <w:ilvl w:val="0"/>
          <w:numId w:val="0"/>
        </w:numPr>
        <w:ind w:left="1050"/>
      </w:pPr>
      <w:r>
        <w:rPr>
          <w:rFonts w:hint="eastAsia"/>
        </w:rPr>
        <w:t>□将次要房间放在西面或北面，减少北向房间的进深；</w:t>
      </w:r>
    </w:p>
    <w:p>
      <w:pPr>
        <w:rPr>
          <w:rFonts w:hAnsi="宋体"/>
        </w:rPr>
      </w:pPr>
      <w:r>
        <w:rPr>
          <w:rFonts w:hint="eastAsia" w:hAnsi="宋体"/>
        </w:rPr>
        <w:t xml:space="preserve">    </w:t>
      </w:r>
      <w:r>
        <w:rPr>
          <w:rFonts w:hAnsi="宋体"/>
        </w:rPr>
        <w:t xml:space="preserve">      </w:t>
      </w:r>
      <w:r>
        <w:rPr>
          <w:rFonts w:hint="eastAsia" w:hAnsi="宋体"/>
          <w:szCs w:val="21"/>
        </w:rPr>
        <w:t xml:space="preserve">□尽量控制玻璃面积，减小窗墙比； </w:t>
      </w:r>
      <w:r>
        <w:rPr>
          <w:rFonts w:hAnsi="宋体"/>
          <w:szCs w:val="21"/>
        </w:rPr>
        <w:t xml:space="preserve"> </w:t>
      </w:r>
    </w:p>
    <w:p>
      <w:pPr>
        <w:pStyle w:val="89"/>
        <w:numPr>
          <w:ilvl w:val="0"/>
          <w:numId w:val="0"/>
        </w:numPr>
        <w:ind w:left="1050"/>
      </w:pPr>
      <w:r>
        <w:rPr>
          <w:rFonts w:hint="eastAsia"/>
        </w:rPr>
        <w:t>□其它措施：</w:t>
      </w:r>
      <w:r>
        <w:rPr>
          <w:rFonts w:hint="eastAsia" w:asciiTheme="minorEastAsia" w:hAnsiTheme="minorEastAsia" w:eastAsiaTheme="minorEastAsia"/>
        </w:rPr>
        <w:t>_____________________</w:t>
      </w:r>
      <w:r>
        <w:rPr>
          <w:rFonts w:hint="eastAsia"/>
        </w:rPr>
        <w:t>。</w:t>
      </w:r>
    </w:p>
    <w:p>
      <w:pPr>
        <w:pStyle w:val="89"/>
      </w:pPr>
      <w:r>
        <w:rPr>
          <w:rFonts w:hint="eastAsia"/>
        </w:rPr>
        <w:t>建筑</w:t>
      </w:r>
      <w:r>
        <w:t>体形</w:t>
      </w:r>
      <w:r>
        <w:rPr>
          <w:rFonts w:hint="eastAsia"/>
        </w:rPr>
        <w:t>系数：</w:t>
      </w:r>
      <w:r>
        <w:rPr>
          <w:rFonts w:hint="eastAsia" w:asciiTheme="minorEastAsia" w:hAnsiTheme="minorEastAsia" w:eastAsiaTheme="minorEastAsia"/>
        </w:rPr>
        <w:t>_____________________</w:t>
      </w:r>
      <w:r>
        <w:rPr>
          <w:rFonts w:hint="eastAsia"/>
        </w:rPr>
        <w:t>。</w:t>
      </w:r>
      <w:r>
        <w:rPr>
          <w:rFonts w:hint="eastAsia" w:asciiTheme="minorEastAsia" w:hAnsiTheme="minorEastAsia" w:eastAsiaTheme="minorEastAsia"/>
          <w:i/>
        </w:rPr>
        <w:t>（群组建筑填写范围）</w:t>
      </w:r>
    </w:p>
    <w:p>
      <w:pPr>
        <w:pStyle w:val="88"/>
        <w:spacing w:line="360" w:lineRule="exact"/>
        <w:ind w:left="840" w:hanging="420"/>
        <w:rPr>
          <w:b/>
        </w:rPr>
      </w:pPr>
      <w:r>
        <w:rPr>
          <w:rFonts w:hint="eastAsia"/>
          <w:b/>
        </w:rPr>
        <w:t>围护结构设计：</w:t>
      </w:r>
      <w:r>
        <w:rPr>
          <w:b/>
        </w:rPr>
        <w:t xml:space="preserve"> </w:t>
      </w:r>
    </w:p>
    <w:p>
      <w:pPr>
        <w:pStyle w:val="89"/>
      </w:pPr>
      <w:r>
        <w:rPr>
          <w:rFonts w:hint="eastAsia"/>
        </w:rPr>
        <w:t>围护结构热工性能提高方式：</w:t>
      </w:r>
      <w:r>
        <w:rPr>
          <w:rFonts w:hint="eastAsia"/>
          <w:i/>
          <w:iCs/>
        </w:rPr>
        <w:t>（二选一）</w:t>
      </w:r>
    </w:p>
    <w:p>
      <w:pPr>
        <w:pStyle w:val="89"/>
        <w:numPr>
          <w:ilvl w:val="0"/>
          <w:numId w:val="0"/>
        </w:numPr>
        <w:ind w:left="1890" w:leftChars="600"/>
      </w:pPr>
      <w:r>
        <w:t>□</w:t>
      </w:r>
      <w:r>
        <w:rPr>
          <w:rFonts w:hint="eastAsia"/>
        </w:rPr>
        <w:t>采用围护结构热工性能提高，比例达到：</w:t>
      </w:r>
      <w:r>
        <w:t>□</w:t>
      </w:r>
      <w:r>
        <w:rPr>
          <w:rFonts w:hint="eastAsia"/>
        </w:rPr>
        <w:t>5%；</w:t>
      </w:r>
      <w:r>
        <w:t>□</w:t>
      </w:r>
      <w:r>
        <w:rPr>
          <w:rFonts w:hint="eastAsia"/>
        </w:rPr>
        <w:t>10%；</w:t>
      </w:r>
      <w:r>
        <w:t>□</w:t>
      </w:r>
      <w:r>
        <w:rPr>
          <w:rFonts w:hint="eastAsia"/>
        </w:rPr>
        <w:t>20%；</w:t>
      </w:r>
    </w:p>
    <w:p>
      <w:pPr>
        <w:pStyle w:val="89"/>
        <w:numPr>
          <w:ilvl w:val="0"/>
          <w:numId w:val="0"/>
        </w:numPr>
        <w:ind w:left="1890" w:leftChars="600"/>
      </w:pPr>
      <w:r>
        <w:t>□</w:t>
      </w:r>
      <w:r>
        <w:rPr>
          <w:rFonts w:hint="eastAsia"/>
        </w:rPr>
        <w:t>采用降低建筑供暖空调负荷，比例达到：</w:t>
      </w:r>
      <w:r>
        <w:t>□</w:t>
      </w:r>
      <w:r>
        <w:rPr>
          <w:rFonts w:hint="eastAsia"/>
        </w:rPr>
        <w:t>5%；</w:t>
      </w:r>
      <w:r>
        <w:t>□</w:t>
      </w:r>
      <w:r>
        <w:rPr>
          <w:rFonts w:hint="eastAsia"/>
        </w:rPr>
        <w:t>10%；</w:t>
      </w:r>
      <w:r>
        <w:t>□</w:t>
      </w:r>
      <w:r>
        <w:rPr>
          <w:rFonts w:hint="eastAsia"/>
        </w:rPr>
        <w:t>15%。</w:t>
      </w:r>
    </w:p>
    <w:p>
      <w:pPr>
        <w:pStyle w:val="89"/>
      </w:pPr>
      <w:r>
        <w:rPr>
          <w:rFonts w:hint="eastAsia"/>
        </w:rPr>
        <w:t>住宅采用凸窗：□是；□否；</w:t>
      </w:r>
    </w:p>
    <w:p>
      <w:pPr>
        <w:pStyle w:val="89"/>
        <w:numPr>
          <w:ilvl w:val="0"/>
          <w:numId w:val="0"/>
        </w:numPr>
        <w:ind w:left="1050"/>
      </w:pPr>
      <w:r>
        <w:rPr>
          <w:rFonts w:hint="eastAsia"/>
        </w:rPr>
        <w:t>居住空间北向未设置凸窗：□是；□否； 其他朝向未设置凸窗：□是；□否；</w:t>
      </w:r>
    </w:p>
    <w:p>
      <w:pPr>
        <w:spacing w:line="400" w:lineRule="exact"/>
        <w:ind w:firstLine="1050" w:firstLineChars="500"/>
      </w:pPr>
      <w:r>
        <w:rPr>
          <w:rFonts w:hint="eastAsia"/>
        </w:rPr>
        <w:t>凸窗的上下及侧向非透明部分作</w:t>
      </w:r>
      <w:r>
        <w:t>保温处理</w:t>
      </w:r>
      <w:r>
        <w:rPr>
          <w:rFonts w:hint="eastAsia"/>
        </w:rPr>
        <w:t>：□是；□否。</w:t>
      </w:r>
    </w:p>
    <w:p>
      <w:pPr>
        <w:pStyle w:val="89"/>
        <w:rPr>
          <w:rFonts w:asciiTheme="minorEastAsia" w:hAnsiTheme="minorEastAsia" w:eastAsiaTheme="minorEastAsia"/>
        </w:rPr>
      </w:pPr>
      <w:r>
        <w:rPr>
          <w:rFonts w:hint="eastAsia"/>
        </w:rPr>
        <w:t>外窗（包括透光幕墙）玻璃采用：□中空玻璃；□双腔中空玻璃（三玻两腔）；□LOW-E玻璃。</w:t>
      </w:r>
    </w:p>
    <w:p>
      <w:pPr>
        <w:pStyle w:val="89"/>
      </w:pPr>
      <w:r>
        <w:rPr>
          <w:rFonts w:hint="eastAsia" w:asciiTheme="minorEastAsia" w:hAnsiTheme="minorEastAsia" w:eastAsiaTheme="minorEastAsia"/>
        </w:rPr>
        <w:t>建筑外门窗</w:t>
      </w:r>
      <w:r>
        <w:rPr>
          <w:rFonts w:hint="eastAsia"/>
        </w:rPr>
        <w:t>及敞开式阳台门，</w:t>
      </w:r>
      <w:r>
        <w:rPr>
          <w:rFonts w:hint="eastAsia" w:asciiTheme="minorEastAsia" w:hAnsiTheme="minorEastAsia" w:eastAsiaTheme="minorEastAsia"/>
        </w:rPr>
        <w:t>安装牢固，其气密性、水密性和抗风压性能</w:t>
      </w:r>
      <w:r>
        <w:rPr>
          <w:rFonts w:hint="eastAsia"/>
        </w:rPr>
        <w:t>符合</w:t>
      </w:r>
      <w:r>
        <w:rPr>
          <w:rFonts w:hint="eastAsia" w:asciiTheme="minorEastAsia" w:hAnsiTheme="minorEastAsia" w:eastAsiaTheme="minorEastAsia"/>
        </w:rPr>
        <w:t>国家现行有关标准的规定。建筑外门窗的气密性分级符合现行国家标准《建筑幕墙、门窗通用技术条件》GB/T 31433、《建筑外窗气密、水密、抗风压性能检测方法》 GB/T 7106中的相关规定。</w:t>
      </w:r>
      <w:r>
        <w:rPr>
          <w:rFonts w:hint="eastAsia"/>
        </w:rPr>
        <w:t>建筑外窗的气密性等级设计描述：_____________________。建筑外窗水密性和抗风压性能要求：_____________________。</w:t>
      </w:r>
    </w:p>
    <w:p>
      <w:pPr>
        <w:pStyle w:val="89"/>
        <w:spacing w:line="400" w:lineRule="exact"/>
        <w:ind w:leftChars="0" w:firstLineChars="0"/>
      </w:pPr>
      <w:r>
        <w:rPr>
          <w:rFonts w:hint="eastAsia"/>
        </w:rPr>
        <w:t>外窗框与外墙之间缝隙采用高效保温材料填充，并用密封材料嵌缝。填充材料为：____________________；密封材料为：_________________。</w:t>
      </w:r>
    </w:p>
    <w:p>
      <w:pPr>
        <w:pStyle w:val="89"/>
      </w:pPr>
      <w:r>
        <w:rPr>
          <w:rFonts w:hint="eastAsia"/>
        </w:rPr>
        <w:t>金属窗框和明框幕墙型材采用隔断热桥措施：</w:t>
      </w:r>
    </w:p>
    <w:p>
      <w:pPr>
        <w:pStyle w:val="89"/>
        <w:numPr>
          <w:ilvl w:val="0"/>
          <w:numId w:val="0"/>
        </w:numPr>
        <w:ind w:left="1050"/>
      </w:pPr>
      <w:r>
        <w:rPr>
          <w:rFonts w:hint="eastAsia"/>
        </w:rPr>
        <w:t>□是；□否。</w:t>
      </w:r>
    </w:p>
    <w:p>
      <w:pPr>
        <w:pStyle w:val="89"/>
      </w:pPr>
      <w:r>
        <w:rPr>
          <w:rFonts w:hint="eastAsia"/>
        </w:rPr>
        <w:t>外窗选用取得“建筑门窗节能性能标识”认证的产品，且外窗使用地区与标识推荐的适宜地区一致：</w:t>
      </w:r>
    </w:p>
    <w:p>
      <w:pPr>
        <w:pStyle w:val="89"/>
        <w:numPr>
          <w:ilvl w:val="0"/>
          <w:numId w:val="0"/>
        </w:numPr>
        <w:ind w:left="1050"/>
      </w:pPr>
      <w:r>
        <w:rPr>
          <w:rFonts w:hint="eastAsia"/>
        </w:rPr>
        <w:t>□是；□否。</w:t>
      </w:r>
    </w:p>
    <w:p>
      <w:pPr>
        <w:pStyle w:val="89"/>
      </w:pPr>
      <w:r>
        <w:rPr>
          <w:rFonts w:hint="eastAsia"/>
        </w:rPr>
        <w:t>除常规保温隔热设计措施外，本项目屋面和东西向外墙采取以下强化隔热设计措施：</w:t>
      </w:r>
    </w:p>
    <w:p>
      <w:pPr>
        <w:pStyle w:val="89"/>
        <w:numPr>
          <w:ilvl w:val="0"/>
          <w:numId w:val="0"/>
        </w:numPr>
        <w:ind w:left="1050"/>
      </w:pPr>
      <w:r>
        <w:rPr>
          <w:rFonts w:hint="eastAsia"/>
        </w:rPr>
        <w:t>□屋顶保温隔热构造采取适宜地域性的技术措施；□建筑节能和结构一体化技术；</w:t>
      </w:r>
    </w:p>
    <w:p>
      <w:pPr>
        <w:pStyle w:val="89"/>
        <w:numPr>
          <w:ilvl w:val="0"/>
          <w:numId w:val="0"/>
        </w:numPr>
        <w:ind w:left="1050"/>
      </w:pPr>
      <w:r>
        <w:rPr>
          <w:rFonts w:hint="eastAsia"/>
        </w:rPr>
        <w:t xml:space="preserve">□种植屋面； </w:t>
      </w:r>
      <w:r>
        <w:t xml:space="preserve">   </w:t>
      </w:r>
      <w:r>
        <w:rPr>
          <w:rFonts w:hint="eastAsia"/>
        </w:rPr>
        <w:t>□蓄水屋面； □通风屋面； □屋面遮阳措施；</w:t>
      </w:r>
      <w:r>
        <w:t xml:space="preserve"> </w:t>
      </w:r>
    </w:p>
    <w:p>
      <w:pPr>
        <w:pStyle w:val="89"/>
        <w:numPr>
          <w:ilvl w:val="0"/>
          <w:numId w:val="0"/>
        </w:numPr>
        <w:ind w:left="1050"/>
      </w:pPr>
      <w:r>
        <w:rPr>
          <w:rFonts w:hint="eastAsia"/>
        </w:rPr>
        <w:t>□外墙遮阳措施；□垂直绿化； □通风间层；</w:t>
      </w:r>
    </w:p>
    <w:p>
      <w:pPr>
        <w:pStyle w:val="89"/>
        <w:numPr>
          <w:ilvl w:val="0"/>
          <w:numId w:val="0"/>
        </w:numPr>
        <w:ind w:left="1050"/>
      </w:pPr>
      <w:r>
        <w:rPr>
          <w:rFonts w:hint="eastAsia"/>
        </w:rPr>
        <w:t xml:space="preserve">□反射隔热涂料：□屋面，□墙体； </w:t>
      </w:r>
    </w:p>
    <w:p>
      <w:pPr>
        <w:pStyle w:val="89"/>
        <w:numPr>
          <w:ilvl w:val="0"/>
          <w:numId w:val="0"/>
        </w:numPr>
        <w:ind w:left="1050"/>
      </w:pPr>
      <w:r>
        <w:rPr>
          <w:rFonts w:hint="eastAsia"/>
        </w:rPr>
        <w:t xml:space="preserve">□浅色饰面材料：□屋面，□墙体； </w:t>
      </w:r>
    </w:p>
    <w:p>
      <w:pPr>
        <w:pStyle w:val="89"/>
        <w:numPr>
          <w:ilvl w:val="0"/>
          <w:numId w:val="0"/>
        </w:numPr>
        <w:ind w:left="1050"/>
      </w:pPr>
      <w:r>
        <w:rPr>
          <w:rFonts w:hint="eastAsia"/>
        </w:rPr>
        <w:t>□其它：</w:t>
      </w:r>
      <w:r>
        <w:rPr>
          <w:rFonts w:hint="eastAsia" w:asciiTheme="minorEastAsia" w:hAnsiTheme="minorEastAsia" w:eastAsiaTheme="minorEastAsia"/>
        </w:rPr>
        <w:t>______________</w:t>
      </w:r>
      <w:r>
        <w:rPr>
          <w:rFonts w:hint="eastAsia"/>
        </w:rPr>
        <w:t>。</w:t>
      </w:r>
    </w:p>
    <w:p>
      <w:pPr>
        <w:pStyle w:val="89"/>
      </w:pPr>
      <w:r>
        <w:rPr>
          <w:rFonts w:hint="eastAsia"/>
        </w:rPr>
        <w:t>屋顶绿化面积、太阳能板水平投影面积、屋面设备占用面积以及采用太阳辐射反射系数不小于0.4的屋面面积，合计达到</w:t>
      </w:r>
      <w:r>
        <w:rPr>
          <w:rFonts w:hint="eastAsia" w:asciiTheme="minorEastAsia" w:hAnsiTheme="minorEastAsia" w:eastAsiaTheme="minorEastAsia"/>
        </w:rPr>
        <w:t>_______</w:t>
      </w:r>
      <w:r>
        <w:rPr>
          <w:rFonts w:hint="eastAsia"/>
        </w:rPr>
        <w:t>％。</w:t>
      </w:r>
    </w:p>
    <w:p>
      <w:pPr>
        <w:pStyle w:val="88"/>
        <w:spacing w:line="360" w:lineRule="exact"/>
        <w:ind w:left="842" w:hanging="422"/>
        <w:rPr>
          <w:b/>
        </w:rPr>
      </w:pPr>
      <w:r>
        <w:rPr>
          <w:rFonts w:hint="eastAsia"/>
          <w:b/>
        </w:rPr>
        <w:t>遮阳设计：</w:t>
      </w:r>
      <w:r>
        <w:rPr>
          <w:b/>
        </w:rPr>
        <w:t xml:space="preserve"> </w:t>
      </w:r>
    </w:p>
    <w:p>
      <w:pPr>
        <w:pStyle w:val="89"/>
      </w:pPr>
      <w:r>
        <w:rPr>
          <w:rFonts w:hint="eastAsia"/>
        </w:rPr>
        <w:t>在保障安全性能的前提下，结合建筑的使用功能和造型风格进行合理的遮阳设计；利用计算机软件进行遮阳形式和效果的模拟分析：□是；□否。</w:t>
      </w:r>
    </w:p>
    <w:p>
      <w:pPr>
        <w:pStyle w:val="89"/>
      </w:pPr>
      <w:r>
        <w:t>主要功能房间</w:t>
      </w:r>
      <w:r>
        <w:rPr>
          <w:rFonts w:hint="eastAsia"/>
        </w:rPr>
        <w:t>的</w:t>
      </w:r>
      <w:r>
        <w:t>外窗</w:t>
      </w:r>
      <w:r>
        <w:rPr>
          <w:rFonts w:hint="eastAsia"/>
        </w:rPr>
        <w:t>（</w:t>
      </w:r>
      <w:r>
        <w:t>包括透光幕墙</w:t>
      </w:r>
      <w:r>
        <w:rPr>
          <w:rFonts w:hint="eastAsia"/>
        </w:rPr>
        <w:t>）除北向外，</w:t>
      </w:r>
      <w:r>
        <w:t>均采取遮阳措施</w:t>
      </w:r>
      <w:r>
        <w:rPr>
          <w:rFonts w:hint="eastAsia"/>
        </w:rPr>
        <w:t>：</w:t>
      </w:r>
    </w:p>
    <w:p>
      <w:pPr>
        <w:pStyle w:val="89"/>
        <w:numPr>
          <w:ilvl w:val="0"/>
          <w:numId w:val="0"/>
        </w:numPr>
        <w:ind w:left="1050"/>
      </w:pPr>
      <w:r>
        <w:rPr>
          <w:rFonts w:hint="eastAsia"/>
        </w:rPr>
        <w:t>□是：</w:t>
      </w:r>
      <w:r>
        <w:rPr>
          <w:rFonts w:hint="eastAsia" w:asciiTheme="minorEastAsia" w:hAnsiTheme="minorEastAsia" w:eastAsiaTheme="minorEastAsia"/>
        </w:rPr>
        <w:t>_____________________</w:t>
      </w:r>
      <w:r>
        <w:rPr>
          <w:rFonts w:hint="eastAsia"/>
        </w:rPr>
        <w:t>；□否。</w:t>
      </w:r>
    </w:p>
    <w:p>
      <w:pPr>
        <w:pStyle w:val="89"/>
      </w:pPr>
      <w:r>
        <w:rPr>
          <w:rFonts w:hint="eastAsia"/>
        </w:rPr>
        <w:t>对建筑主要使用空间的夏季遮阳和冬季阳光利用进行综合分析，并根据具体情况对外窗（包括透光幕墙）选用以下措施：</w:t>
      </w:r>
    </w:p>
    <w:p>
      <w:pPr>
        <w:pStyle w:val="89"/>
        <w:numPr>
          <w:ilvl w:val="0"/>
          <w:numId w:val="0"/>
        </w:numPr>
        <w:ind w:left="1050"/>
      </w:pPr>
      <w:r>
        <w:rPr>
          <w:rFonts w:hint="eastAsia"/>
        </w:rPr>
        <w:t>（1）东、西向设置：□中置遮阳；□可调节外遮阳；□固定外遮阳；</w:t>
      </w:r>
    </w:p>
    <w:p>
      <w:pPr>
        <w:pStyle w:val="89"/>
        <w:numPr>
          <w:ilvl w:val="0"/>
          <w:numId w:val="0"/>
        </w:numPr>
        <w:ind w:left="1050"/>
      </w:pPr>
      <w:r>
        <w:rPr>
          <w:rFonts w:hint="eastAsia"/>
        </w:rPr>
        <w:t>（</w:t>
      </w:r>
      <w:r>
        <w:t>2</w:t>
      </w:r>
      <w:r>
        <w:rPr>
          <w:rFonts w:hint="eastAsia"/>
        </w:rPr>
        <w:t>）南向设置：□水平外遮阳；□中置遮阳；□可调节外遮阳；</w:t>
      </w:r>
    </w:p>
    <w:p>
      <w:pPr>
        <w:pStyle w:val="89"/>
        <w:numPr>
          <w:ilvl w:val="0"/>
          <w:numId w:val="0"/>
        </w:numPr>
        <w:ind w:left="1050"/>
      </w:pPr>
      <w:r>
        <w:rPr>
          <w:rFonts w:hint="eastAsia"/>
        </w:rPr>
        <w:t>（3）设置可调节遮阳设施的面积比例：</w:t>
      </w:r>
      <w:r>
        <w:rPr>
          <w:rFonts w:hint="eastAsia" w:asciiTheme="minorEastAsia" w:hAnsiTheme="minorEastAsia" w:eastAsiaTheme="minorEastAsia"/>
        </w:rPr>
        <w:t>_______</w:t>
      </w:r>
      <w:r>
        <w:rPr>
          <w:rFonts w:hint="eastAsia"/>
        </w:rPr>
        <w:t>％；</w:t>
      </w:r>
    </w:p>
    <w:p>
      <w:pPr>
        <w:pStyle w:val="89"/>
        <w:numPr>
          <w:ilvl w:val="0"/>
          <w:numId w:val="0"/>
        </w:numPr>
        <w:ind w:left="1050"/>
      </w:pPr>
      <w:r>
        <w:rPr>
          <w:rFonts w:hint="eastAsia"/>
        </w:rPr>
        <w:t>□＜25％； □≥25％； □≥</w:t>
      </w:r>
      <w:r>
        <w:t>3</w:t>
      </w:r>
      <w:r>
        <w:rPr>
          <w:rFonts w:hint="eastAsia"/>
        </w:rPr>
        <w:t>5％；</w:t>
      </w:r>
      <w:r>
        <w:t xml:space="preserve"> </w:t>
      </w:r>
      <w:r>
        <w:rPr>
          <w:rFonts w:hint="eastAsia"/>
        </w:rPr>
        <w:t>□≥</w:t>
      </w:r>
      <w:r>
        <w:t>4</w:t>
      </w:r>
      <w:r>
        <w:rPr>
          <w:rFonts w:hint="eastAsia"/>
        </w:rPr>
        <w:t>5％； □≥</w:t>
      </w:r>
      <w:r>
        <w:t>5</w:t>
      </w:r>
      <w:r>
        <w:rPr>
          <w:rFonts w:hint="eastAsia"/>
        </w:rPr>
        <w:t>5％。</w:t>
      </w:r>
    </w:p>
    <w:p>
      <w:pPr>
        <w:pStyle w:val="89"/>
      </w:pPr>
      <w:r>
        <w:rPr>
          <w:rFonts w:hint="eastAsia"/>
        </w:rPr>
        <w:t>本项目设置天窗：□是，屋顶透光面积占屋面总面积比例：</w:t>
      </w:r>
      <w:r>
        <w:rPr>
          <w:rFonts w:hint="eastAsia" w:asciiTheme="minorEastAsia" w:hAnsiTheme="minorEastAsia" w:eastAsiaTheme="minorEastAsia"/>
        </w:rPr>
        <w:t>_______</w:t>
      </w:r>
      <w:r>
        <w:rPr>
          <w:rFonts w:hint="eastAsia"/>
        </w:rPr>
        <w:t>；□否。</w:t>
      </w:r>
    </w:p>
    <w:p>
      <w:pPr>
        <w:pStyle w:val="89"/>
        <w:numPr>
          <w:ilvl w:val="0"/>
          <w:numId w:val="0"/>
        </w:numPr>
        <w:ind w:left="1050"/>
      </w:pPr>
      <w:r>
        <w:rPr>
          <w:rFonts w:hint="eastAsia"/>
        </w:rPr>
        <w:t>天窗可调节遮阳设施的形式：□可调节外遮阳；□可调节内遮阳；□其他可调节遮阳：</w:t>
      </w:r>
      <w:r>
        <w:rPr>
          <w:rFonts w:hint="eastAsia" w:asciiTheme="minorEastAsia" w:hAnsiTheme="minorEastAsia" w:eastAsiaTheme="minorEastAsia"/>
        </w:rPr>
        <w:t>______________</w:t>
      </w:r>
      <w:r>
        <w:rPr>
          <w:rFonts w:hint="eastAsia"/>
        </w:rPr>
        <w:t>。</w:t>
      </w:r>
    </w:p>
    <w:p>
      <w:pPr>
        <w:pStyle w:val="87"/>
        <w:jc w:val="both"/>
        <w:rPr>
          <w:b/>
          <w:bCs/>
        </w:rPr>
      </w:pPr>
      <w:r>
        <w:rPr>
          <w:rFonts w:hint="eastAsia"/>
          <w:b/>
          <w:bCs/>
        </w:rPr>
        <w:t>空调与可再生能源：</w:t>
      </w:r>
    </w:p>
    <w:p>
      <w:pPr>
        <w:pStyle w:val="88"/>
        <w:spacing w:line="360" w:lineRule="exact"/>
        <w:ind w:left="840" w:hanging="420"/>
        <w:jc w:val="both"/>
      </w:pPr>
      <w:r>
        <w:rPr>
          <w:rFonts w:hint="eastAsia"/>
        </w:rPr>
        <w:t>空调形式：</w:t>
      </w:r>
    </w:p>
    <w:p>
      <w:pPr>
        <w:pStyle w:val="92"/>
        <w:ind w:left="1050" w:hanging="210"/>
      </w:pPr>
      <w:r>
        <w:rPr>
          <w:rFonts w:hint="eastAsia"/>
        </w:rPr>
        <w:t>□全部设置集中空调；□全部设置分体空调；</w:t>
      </w:r>
    </w:p>
    <w:p>
      <w:pPr>
        <w:pStyle w:val="92"/>
        <w:ind w:left="1050" w:hanging="210"/>
      </w:pPr>
      <w:r>
        <w:rPr>
          <w:rFonts w:hint="eastAsia"/>
        </w:rPr>
        <w:t>□部分设置集中空调；□部分设置分体空调。</w:t>
      </w:r>
    </w:p>
    <w:p>
      <w:pPr>
        <w:pStyle w:val="88"/>
        <w:spacing w:line="360" w:lineRule="exact"/>
        <w:ind w:left="840" w:hanging="420"/>
        <w:jc w:val="both"/>
      </w:pPr>
      <w:r>
        <w:rPr>
          <w:rFonts w:hint="eastAsia"/>
        </w:rPr>
        <w:t>空调外机设置安装距离满足《绿色建筑设计标准》DB</w:t>
      </w:r>
      <w:r>
        <w:t xml:space="preserve"> </w:t>
      </w:r>
      <w:r>
        <w:rPr>
          <w:rFonts w:hint="eastAsia"/>
        </w:rPr>
        <w:t>33/1092-</w:t>
      </w:r>
      <w:r>
        <w:t>2021</w:t>
      </w:r>
      <w:r>
        <w:rPr>
          <w:rFonts w:hint="eastAsia"/>
        </w:rPr>
        <w:t xml:space="preserve"> 表B.0.1</w:t>
      </w:r>
      <w:r>
        <w:t>-1</w:t>
      </w:r>
      <w:r>
        <w:rPr>
          <w:rFonts w:hint="eastAsia"/>
        </w:rPr>
        <w:t>中的要求：</w:t>
      </w:r>
    </w:p>
    <w:p>
      <w:pPr>
        <w:pStyle w:val="92"/>
        <w:ind w:left="1050" w:hanging="210"/>
      </w:pPr>
      <w:r>
        <w:rPr>
          <w:rFonts w:hint="eastAsia"/>
        </w:rPr>
        <w:t>□是；□否。</w:t>
      </w:r>
    </w:p>
    <w:p>
      <w:pPr>
        <w:pStyle w:val="88"/>
        <w:spacing w:line="360" w:lineRule="exact"/>
        <w:ind w:left="840" w:hanging="420"/>
        <w:jc w:val="both"/>
      </w:pPr>
      <w:r>
        <w:rPr>
          <w:rFonts w:hint="eastAsia"/>
        </w:rPr>
        <w:t>可再生能源设施与建筑一体化设计：</w:t>
      </w:r>
      <w:r>
        <w:t xml:space="preserve"> </w:t>
      </w:r>
    </w:p>
    <w:p>
      <w:pPr>
        <w:pStyle w:val="92"/>
        <w:ind w:left="1050" w:hanging="210"/>
      </w:pPr>
      <w:r>
        <w:rPr>
          <w:rFonts w:hint="eastAsia"/>
        </w:rPr>
        <w:t>□太阳能光热系统；设置位置：____________；土建设置要求：_______________；面积：________；</w:t>
      </w:r>
    </w:p>
    <w:p>
      <w:pPr>
        <w:pStyle w:val="92"/>
        <w:ind w:left="1050" w:hanging="210"/>
      </w:pPr>
      <w:r>
        <w:rPr>
          <w:rFonts w:hint="eastAsia"/>
        </w:rPr>
        <w:t>□太阳能光电系统；设置位置：____________；土建设置要求：_______________；面积：________；</w:t>
      </w:r>
    </w:p>
    <w:p>
      <w:pPr>
        <w:pStyle w:val="92"/>
        <w:ind w:left="1050" w:hanging="210"/>
      </w:pPr>
      <w:r>
        <w:rPr>
          <w:rFonts w:hint="eastAsia"/>
        </w:rPr>
        <w:t>□空气能热泵热水系统；设置位置：________；土建设置要求：_______________；面积：________；</w:t>
      </w:r>
    </w:p>
    <w:p>
      <w:pPr>
        <w:pStyle w:val="92"/>
        <w:ind w:left="1050" w:hanging="210"/>
      </w:pPr>
      <w:r>
        <w:rPr>
          <w:rFonts w:hint="eastAsia"/>
        </w:rPr>
        <w:t>□其他：__________________；</w:t>
      </w:r>
    </w:p>
    <w:p>
      <w:pPr>
        <w:pStyle w:val="92"/>
        <w:ind w:left="1050" w:hanging="210"/>
      </w:pPr>
      <w:r>
        <w:rPr>
          <w:rFonts w:hint="eastAsia"/>
        </w:rPr>
        <w:t>□未涉及, 说明原因：__________________。</w:t>
      </w:r>
    </w:p>
    <w:p>
      <w:pPr>
        <w:pStyle w:val="87"/>
      </w:pPr>
      <w:r>
        <w:rPr>
          <w:rFonts w:hint="eastAsia"/>
          <w:b/>
          <w:bCs/>
        </w:rPr>
        <w:t>建筑光环境设计：</w:t>
      </w:r>
      <w:r>
        <w:t xml:space="preserve"> </w:t>
      </w:r>
    </w:p>
    <w:p>
      <w:pPr>
        <w:pStyle w:val="88"/>
        <w:spacing w:line="360" w:lineRule="exact"/>
        <w:ind w:left="840" w:hanging="420"/>
      </w:pPr>
      <w:r>
        <w:rPr>
          <w:rFonts w:hint="eastAsia"/>
        </w:rPr>
        <w:t>住宅建筑外门窗设置遮阳措施时应满足日照和采光标准的要求：□是。</w:t>
      </w:r>
    </w:p>
    <w:p>
      <w:pPr>
        <w:pStyle w:val="88"/>
        <w:spacing w:line="360" w:lineRule="exact"/>
        <w:ind w:left="840" w:hanging="420"/>
      </w:pPr>
      <w:r>
        <w:rPr>
          <w:rFonts w:hint="eastAsia"/>
        </w:rPr>
        <w:t>当住宅户型有4个及4个以上居住空间时，至少有2个居住空间满足日照标准的要求：□是；□否。</w:t>
      </w:r>
    </w:p>
    <w:p>
      <w:pPr>
        <w:pStyle w:val="88"/>
        <w:spacing w:line="360" w:lineRule="exact"/>
        <w:ind w:left="840" w:hanging="420"/>
      </w:pPr>
      <w:r>
        <w:rPr>
          <w:rFonts w:hint="eastAsia"/>
        </w:rPr>
        <w:t>居住建筑卧室、起居室（厅）、厨房应有直接天然采光：□是；□否。</w:t>
      </w:r>
    </w:p>
    <w:p>
      <w:pPr>
        <w:pStyle w:val="88"/>
        <w:spacing w:line="360" w:lineRule="exact"/>
        <w:ind w:left="840" w:hanging="420"/>
      </w:pPr>
      <w:r>
        <w:rPr>
          <w:rFonts w:hint="eastAsia"/>
        </w:rPr>
        <w:t>卧室、起居室窗地面积比</w:t>
      </w:r>
      <w:r>
        <w:t>不小于</w:t>
      </w:r>
      <w:r>
        <w:rPr>
          <w:rFonts w:hint="eastAsia"/>
        </w:rPr>
        <w:t>1/6</w:t>
      </w:r>
      <w:r>
        <w:t>：</w:t>
      </w:r>
      <w:r>
        <w:rPr>
          <w:rFonts w:hint="eastAsia"/>
        </w:rPr>
        <w:t>□是；□否。</w:t>
      </w:r>
      <w:r>
        <w:t xml:space="preserve"> </w:t>
      </w:r>
    </w:p>
    <w:p>
      <w:pPr>
        <w:pStyle w:val="88"/>
        <w:spacing w:line="360" w:lineRule="exact"/>
        <w:ind w:left="840" w:hanging="420"/>
      </w:pPr>
      <w:r>
        <w:rPr>
          <w:rFonts w:hint="eastAsia"/>
        </w:rPr>
        <w:t>主要功能房间有合理的控制眩光措施：□是：</w:t>
      </w:r>
      <w:r>
        <w:rPr>
          <w:rFonts w:hint="eastAsia" w:asciiTheme="minorEastAsia" w:hAnsiTheme="minorEastAsia" w:eastAsiaTheme="minorEastAsia"/>
        </w:rPr>
        <w:t>______________</w:t>
      </w:r>
      <w:r>
        <w:rPr>
          <w:rFonts w:hint="eastAsia"/>
        </w:rPr>
        <w:t>；□否。</w:t>
      </w:r>
      <w:r>
        <w:t xml:space="preserve"> </w:t>
      </w:r>
      <w:r>
        <w:rPr>
          <w:rFonts w:hint="eastAsia"/>
        </w:rPr>
        <w:t xml:space="preserve"> </w:t>
      </w:r>
    </w:p>
    <w:p>
      <w:pPr>
        <w:pStyle w:val="88"/>
        <w:spacing w:line="360" w:lineRule="exact"/>
        <w:ind w:left="840" w:hanging="420"/>
      </w:pPr>
      <w:r>
        <w:rPr>
          <w:rFonts w:hint="eastAsia"/>
        </w:rPr>
        <w:t>建筑外立面设计及选材未对周围环境产生光照污染未对周围环境产生光照污染，采用的外立面材料为：</w:t>
      </w:r>
    </w:p>
    <w:p>
      <w:pPr>
        <w:pStyle w:val="88"/>
        <w:numPr>
          <w:ilvl w:val="0"/>
          <w:numId w:val="0"/>
        </w:numPr>
        <w:ind w:left="1050"/>
        <w:jc w:val="both"/>
      </w:pPr>
      <w:r>
        <w:rPr>
          <w:rFonts w:hint="eastAsia"/>
        </w:rPr>
        <w:t>□涂料；□面砖；□石材幕墙；□漫反射金属材料金属幕墙；□反射比不大于</w:t>
      </w:r>
      <w:r>
        <w:t>0.2</w:t>
      </w:r>
      <w:r>
        <w:rPr>
          <w:rFonts w:hint="eastAsia"/>
        </w:rPr>
        <w:t>的透光幕墙；□其他：________________。</w:t>
      </w:r>
    </w:p>
    <w:p>
      <w:pPr>
        <w:pStyle w:val="89"/>
      </w:pPr>
      <w:r>
        <w:rPr>
          <w:rFonts w:hint="eastAsia"/>
        </w:rPr>
        <w:t>当设计玻璃幕墙时，住宅建筑的玻璃幕墙仅设置在一层：□是；□未涉及。</w:t>
      </w:r>
    </w:p>
    <w:p>
      <w:pPr>
        <w:pStyle w:val="88"/>
        <w:spacing w:line="360" w:lineRule="exact"/>
        <w:ind w:left="840" w:hanging="420"/>
      </w:pPr>
      <w:r>
        <w:rPr>
          <w:rFonts w:hint="eastAsia"/>
        </w:rPr>
        <w:t>本项目居住建筑外窗玻璃的可见光投射比为______，不小于0</w:t>
      </w:r>
      <w:r>
        <w:t>.40</w:t>
      </w:r>
      <w:r>
        <w:rPr>
          <w:rFonts w:hint="eastAsia"/>
        </w:rPr>
        <w:t>。</w:t>
      </w:r>
      <w:r>
        <w:rPr>
          <w:rFonts w:hint="eastAsia" w:asciiTheme="minorEastAsia" w:hAnsiTheme="minorEastAsia" w:eastAsiaTheme="minorEastAsia"/>
          <w:i/>
        </w:rPr>
        <w:t>（群组建筑填写范围）</w:t>
      </w:r>
    </w:p>
    <w:p>
      <w:pPr>
        <w:pStyle w:val="88"/>
        <w:spacing w:line="360" w:lineRule="exact"/>
        <w:ind w:left="840" w:hanging="420"/>
      </w:pPr>
      <w:r>
        <w:rPr>
          <w:rFonts w:hint="eastAsia"/>
        </w:rPr>
        <w:t>主要功能房间具有良好的户外视野，居住建筑与其相邻建筑的直接间距超过18m：□是；□否。</w:t>
      </w:r>
    </w:p>
    <w:p>
      <w:pPr>
        <w:pStyle w:val="88"/>
        <w:spacing w:line="360" w:lineRule="exact"/>
        <w:ind w:left="840" w:hanging="420"/>
      </w:pPr>
      <w:r>
        <w:rPr>
          <w:rFonts w:hint="eastAsia"/>
        </w:rPr>
        <w:t>房间内区采光系数满足采光要求的面积比例达到60％：□是；□否；□无内区，</w:t>
      </w:r>
      <w:r>
        <w:t>未涉及</w:t>
      </w:r>
      <w:r>
        <w:rPr>
          <w:rFonts w:hint="eastAsia"/>
        </w:rPr>
        <w:t>。</w:t>
      </w:r>
    </w:p>
    <w:p>
      <w:pPr>
        <w:pStyle w:val="88"/>
        <w:spacing w:line="360" w:lineRule="exact"/>
        <w:ind w:left="840" w:hanging="420"/>
      </w:pPr>
      <w:r>
        <w:rPr>
          <w:rFonts w:hint="eastAsia"/>
        </w:rPr>
        <w:t xml:space="preserve"> 居住建筑的公共空间采光系数标准值</w:t>
      </w:r>
      <w:r>
        <w:t xml:space="preserve"> </w:t>
      </w:r>
      <w:r>
        <w:rPr>
          <w:rFonts w:hint="eastAsia" w:asciiTheme="minorEastAsia" w:hAnsiTheme="minorEastAsia" w:eastAsiaTheme="minorEastAsia"/>
        </w:rPr>
        <w:t>_______</w:t>
      </w:r>
      <w:r>
        <w:rPr>
          <w:rFonts w:hint="eastAsia"/>
        </w:rPr>
        <w:t>％≥0.5％。</w:t>
      </w:r>
    </w:p>
    <w:p>
      <w:pPr>
        <w:pStyle w:val="88"/>
        <w:spacing w:line="360" w:lineRule="exact"/>
        <w:ind w:left="840" w:hanging="420"/>
      </w:pPr>
      <w:r>
        <w:rPr>
          <w:rFonts w:hint="eastAsia"/>
        </w:rPr>
        <w:t xml:space="preserve"> 地下空间设置天然采光：□是；□否；□无地下室，未涉及。</w:t>
      </w:r>
      <w:r>
        <w:t xml:space="preserve"> </w:t>
      </w:r>
    </w:p>
    <w:p>
      <w:pPr>
        <w:pStyle w:val="89"/>
      </w:pPr>
      <w:r>
        <w:rPr>
          <w:rFonts w:hint="eastAsia"/>
        </w:rPr>
        <w:t xml:space="preserve"> 具体采光措施：</w:t>
      </w:r>
    </w:p>
    <w:p>
      <w:pPr>
        <w:pStyle w:val="89"/>
        <w:numPr>
          <w:ilvl w:val="0"/>
          <w:numId w:val="0"/>
        </w:numPr>
        <w:ind w:left="1050" w:firstLine="84" w:firstLineChars="40"/>
      </w:pPr>
      <w:r>
        <w:rPr>
          <w:rFonts w:hint="eastAsia"/>
        </w:rPr>
        <w:t>□采光井；□采光天窗；□下沉广场；□半地下室；□反光板、散光板；□集光导光设备。</w:t>
      </w:r>
    </w:p>
    <w:p>
      <w:pPr>
        <w:pStyle w:val="87"/>
        <w:rPr>
          <w:b/>
          <w:bCs/>
        </w:rPr>
      </w:pPr>
      <w:r>
        <w:rPr>
          <w:rFonts w:hint="eastAsia"/>
          <w:b/>
          <w:bCs/>
        </w:rPr>
        <w:t>建筑风环境设计：</w:t>
      </w:r>
    </w:p>
    <w:p>
      <w:pPr>
        <w:pStyle w:val="88"/>
        <w:spacing w:line="360" w:lineRule="exact"/>
        <w:ind w:left="840" w:hanging="420"/>
      </w:pPr>
      <w:r>
        <w:rPr>
          <w:rFonts w:hint="eastAsia"/>
        </w:rPr>
        <w:t>设计进</w:t>
      </w:r>
      <w:r>
        <w:t>行</w:t>
      </w:r>
      <w:r>
        <w:rPr>
          <w:rFonts w:hint="eastAsia"/>
        </w:rPr>
        <w:t>风环</w:t>
      </w:r>
      <w:r>
        <w:t>境模</w:t>
      </w:r>
      <w:r>
        <w:rPr>
          <w:rFonts w:hint="eastAsia"/>
        </w:rPr>
        <w:t>拟</w:t>
      </w:r>
      <w:r>
        <w:t>分析，指</w:t>
      </w:r>
      <w:r>
        <w:rPr>
          <w:rFonts w:hint="eastAsia"/>
        </w:rPr>
        <w:t>导</w:t>
      </w:r>
      <w:r>
        <w:t>并</w:t>
      </w:r>
      <w:r>
        <w:rPr>
          <w:rFonts w:hint="eastAsia"/>
        </w:rPr>
        <w:t>优</w:t>
      </w:r>
      <w:r>
        <w:t>化自然通</w:t>
      </w:r>
      <w:r>
        <w:rPr>
          <w:rFonts w:hint="eastAsia"/>
        </w:rPr>
        <w:t>风设计：□是；□否。</w:t>
      </w:r>
      <w:r>
        <w:t xml:space="preserve"> </w:t>
      </w:r>
    </w:p>
    <w:p>
      <w:pPr>
        <w:pStyle w:val="88"/>
        <w:spacing w:line="360" w:lineRule="exact"/>
        <w:ind w:left="840" w:hanging="420"/>
      </w:pPr>
      <w:r>
        <w:rPr>
          <w:rFonts w:hint="eastAsia"/>
        </w:rPr>
        <w:t>主要用房均以自然通风为主，卧室、起居室（厅）、厨房有自然通风：□是；□否。</w:t>
      </w:r>
    </w:p>
    <w:p>
      <w:pPr>
        <w:pStyle w:val="88"/>
        <w:spacing w:line="360" w:lineRule="exact"/>
        <w:ind w:left="840" w:hanging="420"/>
        <w:jc w:val="both"/>
      </w:pPr>
      <w:r>
        <w:rPr>
          <w:rFonts w:hint="eastAsia"/>
        </w:rPr>
        <w:t>地下空间自然通风的加强措施：</w:t>
      </w:r>
      <w:r>
        <w:t xml:space="preserve"> </w:t>
      </w:r>
    </w:p>
    <w:p>
      <w:pPr>
        <w:pStyle w:val="92"/>
        <w:ind w:left="1050" w:hanging="210"/>
      </w:pPr>
      <w:r>
        <w:rPr>
          <w:rFonts w:hint="eastAsia"/>
        </w:rPr>
        <w:t xml:space="preserve">□设置可直接通风的半地下室； </w:t>
      </w:r>
      <w:r>
        <w:t xml:space="preserve">  </w:t>
      </w:r>
      <w:r>
        <w:rPr>
          <w:rFonts w:hint="eastAsia"/>
        </w:rPr>
        <w:t>□设置可直接通风的下沉庭院（广场）；</w:t>
      </w:r>
    </w:p>
    <w:p>
      <w:pPr>
        <w:pStyle w:val="92"/>
        <w:ind w:left="1050" w:hanging="210"/>
      </w:pPr>
      <w:r>
        <w:rPr>
          <w:rFonts w:hint="eastAsia"/>
        </w:rPr>
        <w:t xml:space="preserve">□设置通风井、窗井； </w:t>
      </w:r>
      <w:r>
        <w:t xml:space="preserve">          </w:t>
      </w:r>
      <w:r>
        <w:rPr>
          <w:rFonts w:hint="eastAsia"/>
        </w:rPr>
        <w:t>□无地下室。</w:t>
      </w:r>
    </w:p>
    <w:p>
      <w:pPr>
        <w:pStyle w:val="88"/>
        <w:spacing w:line="360" w:lineRule="exact"/>
        <w:ind w:left="840" w:hanging="420"/>
      </w:pPr>
      <w:r>
        <w:rPr>
          <w:rFonts w:hint="eastAsia"/>
        </w:rPr>
        <w:t>建筑具有良好的通风换气性能：</w:t>
      </w:r>
      <w:r>
        <w:t xml:space="preserve"> </w:t>
      </w:r>
    </w:p>
    <w:p>
      <w:pPr>
        <w:pStyle w:val="89"/>
      </w:pPr>
      <w:r>
        <w:rPr>
          <w:rFonts w:hint="eastAsia"/>
        </w:rPr>
        <w:t>每套住宅的外窗（包括阳台门）通风开口面积不应小于房间地面面积的比例：□5%：□8%或外窗面积的45%；厨房的直接自然通风开口面积不小于该房间地面面积的10％，并不小于0.60</w:t>
      </w:r>
      <w:r>
        <w:t>m²</w:t>
      </w:r>
      <w:r>
        <w:rPr>
          <w:rFonts w:hint="eastAsia"/>
        </w:rPr>
        <w:t>：□是；□否。</w:t>
      </w:r>
    </w:p>
    <w:p>
      <w:pPr>
        <w:pStyle w:val="89"/>
      </w:pPr>
      <w:r>
        <w:rPr>
          <w:rFonts w:hint="eastAsia"/>
        </w:rPr>
        <w:t>厨房和卫生间设置辅助排气设施：□是；□否。</w:t>
      </w:r>
    </w:p>
    <w:p>
      <w:pPr>
        <w:pStyle w:val="89"/>
      </w:pPr>
      <w:r>
        <w:rPr>
          <w:rFonts w:hint="eastAsia"/>
        </w:rPr>
        <w:t>建筑预留有组织通风换气装置的安装条件：□是；□否。</w:t>
      </w:r>
    </w:p>
    <w:p>
      <w:pPr>
        <w:pStyle w:val="89"/>
      </w:pPr>
      <w:r>
        <w:rPr>
          <w:rFonts w:hint="eastAsia"/>
        </w:rPr>
        <w:t>单朝向住宅采取改善自然通风的措施：□是；□否；措施为：</w:t>
      </w:r>
      <w:r>
        <w:rPr>
          <w:rFonts w:hint="eastAsia" w:asciiTheme="minorEastAsia" w:hAnsiTheme="minorEastAsia" w:eastAsiaTheme="minorEastAsia"/>
        </w:rPr>
        <w:t>______________</w:t>
      </w:r>
      <w:r>
        <w:rPr>
          <w:rFonts w:hint="eastAsia"/>
        </w:rPr>
        <w:t>。</w:t>
      </w:r>
    </w:p>
    <w:p>
      <w:pPr>
        <w:pStyle w:val="87"/>
        <w:rPr>
          <w:b/>
          <w:bCs/>
        </w:rPr>
      </w:pPr>
      <w:r>
        <w:rPr>
          <w:rFonts w:hint="eastAsia"/>
          <w:b/>
          <w:bCs/>
        </w:rPr>
        <w:t>室内声环境设计：</w:t>
      </w:r>
    </w:p>
    <w:p>
      <w:pPr>
        <w:pStyle w:val="88"/>
        <w:spacing w:line="360" w:lineRule="exact"/>
        <w:ind w:left="840" w:hanging="420"/>
      </w:pPr>
      <w:r>
        <w:rPr>
          <w:rFonts w:hint="eastAsia"/>
        </w:rPr>
        <w:t>声环境标准：</w:t>
      </w:r>
    </w:p>
    <w:p>
      <w:pPr>
        <w:pStyle w:val="89"/>
      </w:pPr>
      <w:r>
        <w:rPr>
          <w:rFonts w:hint="eastAsia"/>
        </w:rPr>
        <w:t>主要功能房间室内噪声级达到现行国家标准《民用建筑隔声设计规范》GB</w:t>
      </w:r>
      <w:r>
        <w:t xml:space="preserve"> </w:t>
      </w:r>
      <w:r>
        <w:rPr>
          <w:rFonts w:hint="eastAsia"/>
        </w:rPr>
        <w:t>50118中的：</w:t>
      </w:r>
    </w:p>
    <w:p>
      <w:pPr>
        <w:pStyle w:val="88"/>
        <w:numPr>
          <w:ilvl w:val="0"/>
          <w:numId w:val="0"/>
        </w:numPr>
        <w:ind w:left="840" w:firstLine="210" w:firstLineChars="100"/>
      </w:pPr>
      <w:r>
        <w:rPr>
          <w:rFonts w:hint="eastAsia"/>
        </w:rPr>
        <w:t>□低限标准限值；□低限标准限值和高要求标准限值的平均值；□高要求标准限值。</w:t>
      </w:r>
      <w:r>
        <w:t xml:space="preserve"> </w:t>
      </w:r>
    </w:p>
    <w:p>
      <w:pPr>
        <w:pStyle w:val="89"/>
      </w:pPr>
      <w:r>
        <w:rPr>
          <w:rFonts w:hint="eastAsia"/>
        </w:rPr>
        <w:t>主要功能房间的隔声性能：</w:t>
      </w:r>
      <w:r>
        <w:t xml:space="preserve"> </w:t>
      </w:r>
    </w:p>
    <w:p>
      <w:pPr>
        <w:pStyle w:val="88"/>
        <w:numPr>
          <w:ilvl w:val="0"/>
          <w:numId w:val="0"/>
        </w:numPr>
        <w:ind w:left="210" w:leftChars="100" w:firstLine="630" w:firstLineChars="300"/>
      </w:pPr>
      <w:r>
        <w:rPr>
          <w:rFonts w:hint="eastAsia"/>
        </w:rPr>
        <w:t>（1）构件及相邻房间之间的空气声隔声性能达到现行国家标准《民用建筑隔声设计规范》GB</w:t>
      </w:r>
      <w:r>
        <w:t xml:space="preserve"> </w:t>
      </w:r>
      <w:r>
        <w:rPr>
          <w:rFonts w:hint="eastAsia"/>
        </w:rPr>
        <w:t>50118中的：</w:t>
      </w:r>
    </w:p>
    <w:p>
      <w:pPr>
        <w:pStyle w:val="88"/>
        <w:numPr>
          <w:ilvl w:val="0"/>
          <w:numId w:val="0"/>
        </w:numPr>
        <w:ind w:left="840"/>
      </w:pPr>
      <w:r>
        <w:rPr>
          <w:rFonts w:hint="eastAsia"/>
        </w:rPr>
        <w:t xml:space="preserve">     □低限标准限值；□低限标准限值和高要求标准限值的平均值；□高要求标准限值；</w:t>
      </w:r>
    </w:p>
    <w:p>
      <w:pPr>
        <w:pStyle w:val="88"/>
        <w:numPr>
          <w:ilvl w:val="0"/>
          <w:numId w:val="0"/>
        </w:numPr>
        <w:ind w:left="840"/>
      </w:pPr>
      <w:r>
        <w:rPr>
          <w:rFonts w:hint="eastAsia"/>
        </w:rPr>
        <w:t>（2）楼板的撞击声隔声性能达到现行国家标准《民用建筑隔声设计规范》GB</w:t>
      </w:r>
      <w:r>
        <w:t xml:space="preserve"> </w:t>
      </w:r>
      <w:r>
        <w:rPr>
          <w:rFonts w:hint="eastAsia"/>
        </w:rPr>
        <w:t>50118中的：</w:t>
      </w:r>
    </w:p>
    <w:p>
      <w:pPr>
        <w:pStyle w:val="88"/>
        <w:numPr>
          <w:ilvl w:val="0"/>
          <w:numId w:val="0"/>
        </w:numPr>
        <w:ind w:left="840"/>
      </w:pPr>
      <w:r>
        <w:rPr>
          <w:rFonts w:hint="eastAsia"/>
        </w:rPr>
        <w:t xml:space="preserve">     □低限标准限值；□低限标准限值和高要求标准限值的平均值；□高要求标准限值。</w:t>
      </w:r>
    </w:p>
    <w:p>
      <w:pPr>
        <w:pStyle w:val="88"/>
        <w:spacing w:line="360" w:lineRule="exact"/>
        <w:rPr>
          <w:b/>
          <w:bCs/>
        </w:rPr>
      </w:pPr>
      <w:r>
        <w:rPr>
          <w:rFonts w:hint="eastAsia"/>
          <w:b/>
          <w:bCs/>
        </w:rPr>
        <w:t>空间布局与技术措施：</w:t>
      </w:r>
    </w:p>
    <w:p>
      <w:pPr>
        <w:pStyle w:val="89"/>
      </w:pPr>
      <w:r>
        <w:rPr>
          <w:rFonts w:hint="eastAsia"/>
        </w:rPr>
        <w:t>毗邻城市交通干道的建筑，加强外墙、外窗、外门隔声性能：□是；□否；</w:t>
      </w:r>
    </w:p>
    <w:p>
      <w:pPr>
        <w:pStyle w:val="88"/>
        <w:numPr>
          <w:ilvl w:val="0"/>
          <w:numId w:val="0"/>
        </w:numPr>
        <w:ind w:left="840" w:firstLine="210" w:firstLineChars="100"/>
        <w:jc w:val="both"/>
      </w:pPr>
      <w:r>
        <w:rPr>
          <w:rFonts w:hint="eastAsia"/>
        </w:rPr>
        <w:t>利用设计手段阻隔交通噪声：□是；□否；□未涉及；</w:t>
      </w:r>
      <w:r>
        <w:t xml:space="preserve"> </w:t>
      </w:r>
    </w:p>
    <w:p>
      <w:pPr>
        <w:pStyle w:val="88"/>
        <w:numPr>
          <w:ilvl w:val="0"/>
          <w:numId w:val="0"/>
        </w:numPr>
        <w:ind w:left="840" w:firstLine="210" w:firstLineChars="100"/>
        <w:jc w:val="both"/>
      </w:pPr>
      <w:r>
        <w:rPr>
          <w:rFonts w:hint="eastAsia"/>
        </w:rPr>
        <w:t>具体措施：□采用墙体隔声和吸声构造；□采用高隔声性能的门窗；□其他：_______________。</w:t>
      </w:r>
    </w:p>
    <w:p>
      <w:pPr>
        <w:pStyle w:val="89"/>
      </w:pPr>
      <w:r>
        <w:rPr>
          <w:rFonts w:hint="eastAsia"/>
        </w:rPr>
        <w:t>建筑平面、空间布局合理，没有明显的噪声干扰：□是；□否。</w:t>
      </w:r>
      <w:r>
        <w:t xml:space="preserve"> </w:t>
      </w:r>
    </w:p>
    <w:p>
      <w:pPr>
        <w:pStyle w:val="89"/>
      </w:pPr>
      <w:r>
        <w:rPr>
          <w:rFonts w:hint="eastAsia"/>
        </w:rPr>
        <w:t>产生较大噪声的设备机房等噪声源空间集中布置，并远离工作、休息等对声环境要求高的房间：</w:t>
      </w:r>
    </w:p>
    <w:p>
      <w:pPr>
        <w:pStyle w:val="92"/>
        <w:ind w:left="1050" w:leftChars="500" w:firstLine="0" w:firstLineChars="0"/>
      </w:pPr>
      <w:r>
        <w:rPr>
          <w:rFonts w:hint="eastAsia"/>
        </w:rPr>
        <w:t>□是；□否；受条件限制而紧邻布置时，采用有效的隔声和减振措施：_______________。</w:t>
      </w:r>
      <w:r>
        <w:t xml:space="preserve"> </w:t>
      </w:r>
    </w:p>
    <w:p>
      <w:pPr>
        <w:pStyle w:val="89"/>
      </w:pPr>
      <w:r>
        <w:rPr>
          <w:rFonts w:hint="eastAsia"/>
        </w:rPr>
        <w:t>噪声源的位置布局：</w:t>
      </w:r>
      <w:r>
        <w:t xml:space="preserve"> </w:t>
      </w:r>
    </w:p>
    <w:p>
      <w:pPr>
        <w:pStyle w:val="88"/>
        <w:numPr>
          <w:ilvl w:val="0"/>
          <w:numId w:val="0"/>
        </w:numPr>
        <w:ind w:left="992"/>
      </w:pPr>
      <w:r>
        <w:rPr>
          <w:rFonts w:hint="eastAsia"/>
        </w:rPr>
        <w:t>□将噪声源设置在地下；</w:t>
      </w:r>
    </w:p>
    <w:p>
      <w:pPr>
        <w:pStyle w:val="88"/>
        <w:numPr>
          <w:ilvl w:val="0"/>
          <w:numId w:val="0"/>
        </w:numPr>
        <w:ind w:left="992"/>
      </w:pPr>
      <w:r>
        <w:rPr>
          <w:rFonts w:hint="eastAsia"/>
        </w:rPr>
        <w:t>□平面布置中，不将有噪声和振动的设备用房设在主要用房或有安静要求房间的直接上层或贴邻布置，当其设在同一楼层时，分区布置；</w:t>
      </w:r>
    </w:p>
    <w:p>
      <w:pPr>
        <w:pStyle w:val="88"/>
        <w:numPr>
          <w:ilvl w:val="0"/>
          <w:numId w:val="0"/>
        </w:numPr>
        <w:ind w:left="992"/>
      </w:pPr>
      <w:r>
        <w:rPr>
          <w:rFonts w:hint="eastAsia"/>
        </w:rPr>
        <w:t>□产生噪声的洗手间等辅助用房集中布置，上下层对齐。</w:t>
      </w:r>
    </w:p>
    <w:p>
      <w:pPr>
        <w:pStyle w:val="89"/>
      </w:pPr>
      <w:r>
        <w:rPr>
          <w:rFonts w:hint="eastAsia"/>
        </w:rPr>
        <w:t>电梯布置：</w:t>
      </w:r>
    </w:p>
    <w:p>
      <w:pPr>
        <w:pStyle w:val="88"/>
        <w:numPr>
          <w:ilvl w:val="0"/>
          <w:numId w:val="0"/>
        </w:numPr>
        <w:ind w:left="992"/>
      </w:pPr>
      <w:r>
        <w:rPr>
          <w:rFonts w:hint="eastAsia"/>
        </w:rPr>
        <w:t>□不紧邻卧室布置；</w:t>
      </w:r>
    </w:p>
    <w:p>
      <w:pPr>
        <w:pStyle w:val="88"/>
        <w:numPr>
          <w:ilvl w:val="0"/>
          <w:numId w:val="0"/>
        </w:numPr>
        <w:ind w:left="992"/>
      </w:pPr>
      <w:r>
        <w:rPr>
          <w:rFonts w:hint="eastAsia"/>
        </w:rPr>
        <w:t>□不紧邻起居室</w:t>
      </w:r>
      <w:r>
        <w:t>(</w:t>
      </w:r>
      <w:r>
        <w:rPr>
          <w:rFonts w:hint="eastAsia"/>
        </w:rPr>
        <w:t>厅</w:t>
      </w:r>
      <w:r>
        <w:t xml:space="preserve">) </w:t>
      </w:r>
      <w:r>
        <w:rPr>
          <w:rFonts w:hint="eastAsia"/>
        </w:rPr>
        <w:t>布置；</w:t>
      </w:r>
    </w:p>
    <w:p>
      <w:pPr>
        <w:pStyle w:val="88"/>
        <w:numPr>
          <w:ilvl w:val="0"/>
          <w:numId w:val="0"/>
        </w:numPr>
        <w:ind w:left="992"/>
      </w:pPr>
      <w:r>
        <w:rPr>
          <w:rFonts w:hint="eastAsia"/>
        </w:rPr>
        <w:t>□受条件限制需要紧邻起居室</w:t>
      </w:r>
      <w:r>
        <w:t>(</w:t>
      </w:r>
      <w:r>
        <w:rPr>
          <w:rFonts w:hint="eastAsia"/>
        </w:rPr>
        <w:t>厅</w:t>
      </w:r>
      <w:r>
        <w:t xml:space="preserve">) </w:t>
      </w:r>
      <w:r>
        <w:rPr>
          <w:rFonts w:hint="eastAsia"/>
        </w:rPr>
        <w:t>布置时，采取有效的隔声和减振措施，具体措施：____________；</w:t>
      </w:r>
    </w:p>
    <w:p>
      <w:pPr>
        <w:pStyle w:val="88"/>
        <w:numPr>
          <w:ilvl w:val="0"/>
          <w:numId w:val="0"/>
        </w:numPr>
        <w:ind w:left="992"/>
      </w:pPr>
      <w:r>
        <w:rPr>
          <w:rFonts w:hint="eastAsia"/>
        </w:rPr>
        <w:t>□未涉及。</w:t>
      </w:r>
    </w:p>
    <w:p>
      <w:pPr>
        <w:pStyle w:val="89"/>
      </w:pPr>
      <w:r>
        <w:rPr>
          <w:rFonts w:hint="eastAsia"/>
        </w:rPr>
        <w:t>产生较大噪声的设备机房、管井等噪声源空间的设计：</w:t>
      </w:r>
      <w:r>
        <w:t xml:space="preserve"> </w:t>
      </w:r>
    </w:p>
    <w:p>
      <w:pPr>
        <w:pStyle w:val="88"/>
        <w:numPr>
          <w:ilvl w:val="0"/>
          <w:numId w:val="0"/>
        </w:numPr>
        <w:ind w:left="992"/>
      </w:pPr>
      <w:r>
        <w:rPr>
          <w:rFonts w:hint="eastAsia"/>
        </w:rPr>
        <w:t>□噪声源空间的门不直接开向有安静要求的使用空间；</w:t>
      </w:r>
    </w:p>
    <w:p>
      <w:pPr>
        <w:pStyle w:val="88"/>
        <w:numPr>
          <w:ilvl w:val="0"/>
          <w:numId w:val="0"/>
        </w:numPr>
        <w:ind w:left="992"/>
      </w:pPr>
      <w:r>
        <w:rPr>
          <w:rFonts w:hint="eastAsia"/>
        </w:rPr>
        <w:t>□噪声源空间与有安静要求的空间之间的墙体和楼板，做隔声处理，门窗选用隔声门窗；</w:t>
      </w:r>
    </w:p>
    <w:p>
      <w:pPr>
        <w:pStyle w:val="88"/>
        <w:numPr>
          <w:ilvl w:val="0"/>
          <w:numId w:val="0"/>
        </w:numPr>
        <w:ind w:left="992"/>
      </w:pPr>
      <w:r>
        <w:rPr>
          <w:rFonts w:hint="eastAsia"/>
        </w:rPr>
        <w:t>□噪声源空间的墙面及顶棚做吸声和隔声处理；</w:t>
      </w:r>
      <w:r>
        <w:t xml:space="preserve"> </w:t>
      </w:r>
    </w:p>
    <w:p>
      <w:pPr>
        <w:pStyle w:val="88"/>
        <w:numPr>
          <w:ilvl w:val="0"/>
          <w:numId w:val="0"/>
        </w:numPr>
        <w:ind w:left="992"/>
      </w:pPr>
      <w:r>
        <w:rPr>
          <w:rFonts w:hint="eastAsia"/>
        </w:rPr>
        <w:t>□未涉及。</w:t>
      </w:r>
    </w:p>
    <w:p>
      <w:pPr>
        <w:pStyle w:val="89"/>
      </w:pPr>
      <w:r>
        <w:rPr>
          <w:rFonts w:hint="eastAsia"/>
        </w:rPr>
        <w:t>空调机房、通风机房、发电机房、水泵房、电梯机房等产生噪声的设备用房及电梯井道、设备管道，采取下列减振降噪措施：</w:t>
      </w:r>
      <w:r>
        <w:t xml:space="preserve"> </w:t>
      </w:r>
    </w:p>
    <w:p>
      <w:pPr>
        <w:pStyle w:val="88"/>
        <w:numPr>
          <w:ilvl w:val="0"/>
          <w:numId w:val="0"/>
        </w:numPr>
        <w:ind w:left="992"/>
      </w:pPr>
      <w:r>
        <w:rPr>
          <w:rFonts w:hint="eastAsia"/>
        </w:rPr>
        <w:t>□选用低噪声设备，设备、管道采用有效的减振、隔振、消声措施。对产生振动的设备基础采取隔振措施；</w:t>
      </w:r>
    </w:p>
    <w:p>
      <w:pPr>
        <w:pStyle w:val="88"/>
        <w:numPr>
          <w:ilvl w:val="0"/>
          <w:numId w:val="0"/>
        </w:numPr>
        <w:ind w:left="992"/>
      </w:pPr>
      <w:r>
        <w:rPr>
          <w:rFonts w:hint="eastAsia"/>
        </w:rPr>
        <w:t>□电梯、发电机组、空调机组等设备采用减振降噪措施；</w:t>
      </w:r>
    </w:p>
    <w:p>
      <w:pPr>
        <w:pStyle w:val="88"/>
        <w:numPr>
          <w:ilvl w:val="0"/>
          <w:numId w:val="0"/>
        </w:numPr>
        <w:ind w:left="992"/>
      </w:pPr>
      <w:r>
        <w:rPr>
          <w:rFonts w:hint="eastAsia"/>
        </w:rPr>
        <w:t>□冷水机组和水泵等设备基础建成浮筑式声阻断基础，或采用隔振支架、隔振橡胶垫等隔振措施；</w:t>
      </w:r>
    </w:p>
    <w:p>
      <w:pPr>
        <w:pStyle w:val="88"/>
        <w:numPr>
          <w:ilvl w:val="0"/>
          <w:numId w:val="0"/>
        </w:numPr>
        <w:ind w:left="992"/>
      </w:pPr>
      <w:r>
        <w:rPr>
          <w:rFonts w:hint="eastAsia"/>
        </w:rPr>
        <w:t>□冷却塔采用隔振支撑，出风口安装消声器，并采用遮蔽措施；</w:t>
      </w:r>
    </w:p>
    <w:p>
      <w:pPr>
        <w:pStyle w:val="88"/>
        <w:numPr>
          <w:ilvl w:val="0"/>
          <w:numId w:val="0"/>
        </w:numPr>
        <w:ind w:left="992"/>
      </w:pPr>
      <w:r>
        <w:rPr>
          <w:rFonts w:hint="eastAsia"/>
        </w:rPr>
        <w:t>□风机和吊顶风柜的送、回风口安装消声器；</w:t>
      </w:r>
    </w:p>
    <w:p>
      <w:pPr>
        <w:pStyle w:val="88"/>
        <w:numPr>
          <w:ilvl w:val="0"/>
          <w:numId w:val="0"/>
        </w:numPr>
        <w:ind w:left="992"/>
      </w:pPr>
      <w:r>
        <w:rPr>
          <w:rFonts w:hint="eastAsia"/>
        </w:rPr>
        <w:t>□风道与水管采用消声风道、消声弯头、消声器、消声软管等方式控制透射噪声，采用隔振吊架、隔振支撑、软接头等进行连接部位的连接）；</w:t>
      </w:r>
    </w:p>
    <w:p>
      <w:pPr>
        <w:pStyle w:val="88"/>
        <w:numPr>
          <w:ilvl w:val="0"/>
          <w:numId w:val="0"/>
        </w:numPr>
        <w:ind w:left="992"/>
      </w:pPr>
      <w:r>
        <w:rPr>
          <w:rFonts w:hint="eastAsia"/>
        </w:rPr>
        <w:t>□电梯设备采取减振措施；具体措施：____________；</w:t>
      </w:r>
    </w:p>
    <w:p>
      <w:pPr>
        <w:pStyle w:val="88"/>
        <w:numPr>
          <w:ilvl w:val="0"/>
          <w:numId w:val="0"/>
        </w:numPr>
        <w:ind w:left="992"/>
      </w:pPr>
      <w:r>
        <w:rPr>
          <w:rFonts w:hint="eastAsia"/>
        </w:rPr>
        <w:t>□未涉及。</w:t>
      </w:r>
    </w:p>
    <w:p>
      <w:pPr>
        <w:pStyle w:val="89"/>
      </w:pPr>
      <w:r>
        <w:rPr>
          <w:rFonts w:hint="eastAsia"/>
        </w:rPr>
        <w:t>建筑采用轻型屋盖时，屋面采用铺设阻尼材料、设置吊顶等措施防止雨噪声：□是；□否。</w:t>
      </w:r>
      <w:r>
        <w:t xml:space="preserve"> </w:t>
      </w:r>
    </w:p>
    <w:p>
      <w:pPr>
        <w:pStyle w:val="87"/>
      </w:pPr>
      <w:r>
        <w:rPr>
          <w:b/>
          <w:bCs/>
        </w:rPr>
        <w:t>室内空气质量</w:t>
      </w:r>
      <w:r>
        <w:rPr>
          <w:rFonts w:hint="eastAsia"/>
          <w:b/>
          <w:bCs/>
        </w:rPr>
        <w:t>主要控制措施</w:t>
      </w:r>
      <w:r>
        <w:rPr>
          <w:rFonts w:hint="eastAsia"/>
        </w:rPr>
        <w:t>：</w:t>
      </w:r>
    </w:p>
    <w:p>
      <w:pPr>
        <w:pStyle w:val="88"/>
        <w:spacing w:line="360" w:lineRule="exact"/>
        <w:ind w:left="840" w:hanging="420"/>
      </w:pPr>
      <w:r>
        <w:rPr>
          <w:rFonts w:hint="eastAsia"/>
        </w:rPr>
        <w:t>建筑室内公共部位和主要出入口在醒目位置设置禁烟标志：□是，位置：________________；□否。</w:t>
      </w:r>
    </w:p>
    <w:p>
      <w:pPr>
        <w:pStyle w:val="88"/>
        <w:spacing w:line="360" w:lineRule="exact"/>
        <w:ind w:left="840" w:hanging="420"/>
      </w:pPr>
      <w:r>
        <w:t>室内装饰装修材料</w:t>
      </w:r>
      <w:r>
        <w:rPr>
          <w:rFonts w:hint="eastAsia"/>
        </w:rPr>
        <w:t>及</w:t>
      </w:r>
      <w:r>
        <w:t>材料中</w:t>
      </w:r>
      <w:r>
        <w:rPr>
          <w:rFonts w:hint="eastAsia"/>
        </w:rPr>
        <w:t>氨、甲醛、苯、甲苯、二甲苯、VOC、氡</w:t>
      </w:r>
      <w:r>
        <w:t>等有害物质限量符合现行国家标准室内装饰装修材料有害物质限量</w:t>
      </w:r>
      <w:r>
        <w:rPr>
          <w:rFonts w:hint="eastAsia"/>
        </w:rPr>
        <w:t>系列</w:t>
      </w:r>
      <w:r>
        <w:t>标准GB 18580～GB 18588、《建筑材料放射性核素限量》GB 6566和《民用建筑工程室内环境污染控制</w:t>
      </w:r>
      <w:r>
        <w:rPr>
          <w:rFonts w:hint="eastAsia"/>
        </w:rPr>
        <w:t>标准</w:t>
      </w:r>
      <w:r>
        <w:t>》GB 50325等标准的规定</w:t>
      </w:r>
      <w:r>
        <w:rPr>
          <w:rFonts w:hint="eastAsia"/>
        </w:rPr>
        <w:t>：□是；</w:t>
      </w:r>
      <w:r>
        <w:rPr>
          <w:rFonts w:hint="eastAsia" w:asciiTheme="minorEastAsia" w:hAnsiTheme="minorEastAsia" w:eastAsiaTheme="minorEastAsia"/>
        </w:rPr>
        <w:t>室内主要空气污染物浓度比现行国家标准《室内空气质量标准》GB/T</w:t>
      </w:r>
      <w:r>
        <w:rPr>
          <w:rFonts w:asciiTheme="minorEastAsia" w:hAnsiTheme="minorEastAsia" w:eastAsiaTheme="minorEastAsia"/>
        </w:rPr>
        <w:t xml:space="preserve"> </w:t>
      </w:r>
      <w:r>
        <w:rPr>
          <w:rFonts w:hint="eastAsia" w:asciiTheme="minorEastAsia" w:hAnsiTheme="minorEastAsia" w:eastAsiaTheme="minorEastAsia"/>
        </w:rPr>
        <w:t>18883规定的限值降低：□10%；□20%。</w:t>
      </w:r>
    </w:p>
    <w:p>
      <w:pPr>
        <w:pStyle w:val="88"/>
        <w:ind w:left="840" w:hanging="420"/>
      </w:pPr>
      <w:r>
        <w:rPr>
          <w:rFonts w:hint="eastAsia"/>
        </w:rPr>
        <w:t>设计选用</w:t>
      </w:r>
      <w:r>
        <w:t>满足</w:t>
      </w:r>
      <w:r>
        <w:rPr>
          <w:rFonts w:hint="eastAsia"/>
        </w:rPr>
        <w:t>国家</w:t>
      </w:r>
      <w:r>
        <w:t>现行绿色产品评价标准中对有害物质限量要求的装饰装修材料</w:t>
      </w:r>
      <w:r>
        <w:rPr>
          <w:rFonts w:hint="eastAsia"/>
        </w:rPr>
        <w:t>的种类为____类；类别描述：________________________。</w:t>
      </w:r>
    </w:p>
    <w:p>
      <w:pPr>
        <w:pStyle w:val="88"/>
        <w:ind w:left="840" w:hanging="420"/>
      </w:pPr>
      <w:r>
        <w:rPr>
          <w:rFonts w:hint="eastAsia"/>
        </w:rPr>
        <w:t>卫生间设有明卫：□是；□否。</w:t>
      </w:r>
    </w:p>
    <w:p>
      <w:pPr>
        <w:pStyle w:val="87"/>
        <w:jc w:val="both"/>
        <w:rPr>
          <w:b/>
          <w:bCs/>
        </w:rPr>
      </w:pPr>
      <w:r>
        <w:rPr>
          <w:b/>
          <w:bCs/>
        </w:rPr>
        <w:t>建筑</w:t>
      </w:r>
      <w:r>
        <w:rPr>
          <w:rFonts w:hint="eastAsia"/>
          <w:b/>
          <w:bCs/>
        </w:rPr>
        <w:t>标准化与</w:t>
      </w:r>
      <w:r>
        <w:rPr>
          <w:b/>
          <w:bCs/>
        </w:rPr>
        <w:t>工业化：</w:t>
      </w:r>
    </w:p>
    <w:p>
      <w:pPr>
        <w:pStyle w:val="88"/>
        <w:spacing w:line="360" w:lineRule="exact"/>
        <w:ind w:left="840" w:hanging="420"/>
        <w:jc w:val="both"/>
      </w:pPr>
      <w:r>
        <w:rPr>
          <w:rFonts w:hint="eastAsia"/>
        </w:rPr>
        <w:t>标准化设计：</w:t>
      </w:r>
      <w:r>
        <w:t xml:space="preserve"> </w:t>
      </w:r>
    </w:p>
    <w:p>
      <w:pPr>
        <w:pStyle w:val="92"/>
        <w:ind w:left="1050" w:hanging="210"/>
      </w:pPr>
      <w:r>
        <w:rPr>
          <w:rFonts w:hint="eastAsia"/>
        </w:rPr>
        <w:t>□遵循模数协调统一的设计原则，客房、办公单元等进行标准化设计；</w:t>
      </w:r>
    </w:p>
    <w:p>
      <w:pPr>
        <w:pStyle w:val="92"/>
        <w:ind w:left="1050" w:hanging="210"/>
      </w:pPr>
      <w:r>
        <w:rPr>
          <w:rFonts w:hint="eastAsia"/>
        </w:rPr>
        <w:t>□标准化设计部位：□平面空间；□建筑构件；□建筑部品；</w:t>
      </w:r>
    </w:p>
    <w:p>
      <w:pPr>
        <w:pStyle w:val="92"/>
        <w:ind w:left="1050" w:hanging="210"/>
      </w:pPr>
      <w:r>
        <w:rPr>
          <w:rFonts w:hint="eastAsia"/>
        </w:rPr>
        <w:t>□未涉及。</w:t>
      </w:r>
    </w:p>
    <w:p>
      <w:pPr>
        <w:pStyle w:val="88"/>
        <w:spacing w:line="360" w:lineRule="exact"/>
        <w:ind w:left="840" w:hanging="420"/>
        <w:jc w:val="both"/>
      </w:pPr>
      <w:r>
        <w:rPr>
          <w:rFonts w:hint="eastAsia"/>
        </w:rPr>
        <w:t>建筑设计采用：□装配式建筑； □装配化装修。</w:t>
      </w:r>
      <w:r>
        <w:t xml:space="preserve"> </w:t>
      </w:r>
    </w:p>
    <w:p>
      <w:pPr>
        <w:pStyle w:val="88"/>
        <w:spacing w:line="360" w:lineRule="exact"/>
        <w:ind w:left="840" w:hanging="420"/>
        <w:jc w:val="both"/>
      </w:pPr>
      <w:r>
        <w:rPr>
          <w:rFonts w:hint="eastAsia"/>
        </w:rPr>
        <w:t>本项目装修设计选用</w:t>
      </w:r>
      <w:r>
        <w:rPr>
          <w:rFonts w:hint="eastAsia"/>
          <w:u w:val="single"/>
        </w:rPr>
        <w:t xml:space="preserve"> </w:t>
      </w:r>
      <w:r>
        <w:rPr>
          <w:u w:val="single"/>
        </w:rPr>
        <w:t xml:space="preserve">   </w:t>
      </w:r>
      <w:r>
        <w:rPr>
          <w:rFonts w:hint="eastAsia"/>
        </w:rPr>
        <w:t>种新型建筑工业化内装部品，其占同类部品用量比例达到5</w:t>
      </w:r>
      <w:r>
        <w:t>0</w:t>
      </w:r>
      <w:r>
        <w:rPr>
          <w:rFonts w:hint="eastAsia"/>
        </w:rPr>
        <w:t>％。</w:t>
      </w:r>
    </w:p>
    <w:p>
      <w:pPr>
        <w:pStyle w:val="88"/>
        <w:spacing w:line="360" w:lineRule="exact"/>
        <w:ind w:left="840" w:hanging="420"/>
        <w:jc w:val="both"/>
      </w:pPr>
      <w:r>
        <w:rPr>
          <w:rFonts w:hint="eastAsia"/>
        </w:rPr>
        <w:t>本项目选用下列新型工业化构件或部品：</w:t>
      </w:r>
    </w:p>
    <w:p>
      <w:pPr>
        <w:pStyle w:val="92"/>
        <w:ind w:left="1050" w:hanging="210"/>
      </w:pPr>
      <w:r>
        <w:rPr>
          <w:rFonts w:hint="eastAsia"/>
        </w:rPr>
        <w:t>□预制混凝土构件、钢结构构件、复合木结构等工业化生产程度较高的构件；</w:t>
      </w:r>
    </w:p>
    <w:p>
      <w:pPr>
        <w:pStyle w:val="92"/>
        <w:ind w:left="1050" w:hanging="210"/>
      </w:pPr>
      <w:r>
        <w:rPr>
          <w:rFonts w:hint="eastAsia"/>
        </w:rPr>
        <w:t>□单元式幕墙；□复合外墙；□成品雨篷；□成品栏杆；</w:t>
      </w:r>
      <w:r>
        <w:t xml:space="preserve"> </w:t>
      </w:r>
    </w:p>
    <w:p>
      <w:pPr>
        <w:pStyle w:val="92"/>
        <w:ind w:left="1050" w:hanging="210"/>
      </w:pPr>
      <w:r>
        <w:rPr>
          <w:rFonts w:hint="eastAsia"/>
        </w:rPr>
        <w:t>□装配式内墙；□装配式吊顶；□集成厨房；□集成卫生间；</w:t>
      </w:r>
    </w:p>
    <w:p>
      <w:pPr>
        <w:pStyle w:val="92"/>
        <w:ind w:left="1050" w:hanging="210"/>
      </w:pPr>
      <w:r>
        <w:rPr>
          <w:rFonts w:hint="eastAsia"/>
        </w:rPr>
        <w:t>□干式工法楼（地）面；□管线分离；</w:t>
      </w:r>
    </w:p>
    <w:p>
      <w:pPr>
        <w:pStyle w:val="92"/>
        <w:ind w:left="1050" w:hanging="210"/>
      </w:pPr>
      <w:r>
        <w:rPr>
          <w:rFonts w:hint="eastAsia"/>
        </w:rPr>
        <w:t>□其他建筑部品。</w:t>
      </w:r>
    </w:p>
    <w:p>
      <w:pPr>
        <w:pStyle w:val="87"/>
        <w:jc w:val="both"/>
      </w:pPr>
      <w:r>
        <w:rPr>
          <w:rFonts w:hint="eastAsia"/>
          <w:b/>
          <w:bCs/>
        </w:rPr>
        <w:t>本项目采用土建工程与装修工程一体化设计：</w:t>
      </w:r>
      <w:r>
        <w:rPr>
          <w:rFonts w:hint="eastAsia"/>
        </w:rPr>
        <w:t>□是；□否。</w:t>
      </w:r>
    </w:p>
    <w:p>
      <w:pPr>
        <w:pStyle w:val="88"/>
        <w:spacing w:line="360" w:lineRule="exact"/>
        <w:ind w:left="840" w:hanging="420"/>
      </w:pPr>
      <w:r>
        <w:rPr>
          <w:rFonts w:hint="eastAsia"/>
        </w:rPr>
        <w:t>□公共部位土建与装修一体化设计；</w:t>
      </w:r>
    </w:p>
    <w:p>
      <w:pPr>
        <w:pStyle w:val="88"/>
        <w:numPr>
          <w:ilvl w:val="0"/>
          <w:numId w:val="0"/>
        </w:numPr>
        <w:spacing w:line="360" w:lineRule="exact"/>
        <w:ind w:left="840"/>
      </w:pPr>
      <w:r>
        <w:rPr>
          <w:rFonts w:hint="eastAsia"/>
        </w:rPr>
        <w:t>□所有部位土建与装修一体化设计。</w:t>
      </w:r>
    </w:p>
    <w:p>
      <w:pPr>
        <w:pStyle w:val="88"/>
        <w:spacing w:line="360" w:lineRule="exact"/>
        <w:ind w:left="497" w:leftChars="190" w:hanging="98" w:hangingChars="47"/>
      </w:pPr>
      <w:r>
        <w:rPr>
          <w:rFonts w:hint="eastAsia"/>
        </w:rPr>
        <w:t>根据地方的相关规定进行全装修设计：□是；□否。</w:t>
      </w:r>
    </w:p>
    <w:p>
      <w:pPr>
        <w:pStyle w:val="87"/>
        <w:jc w:val="both"/>
        <w:rPr>
          <w:b/>
          <w:bCs/>
        </w:rPr>
      </w:pPr>
      <w:r>
        <w:rPr>
          <w:rFonts w:hint="eastAsia"/>
          <w:b/>
          <w:bCs/>
        </w:rPr>
        <w:t>建筑室内设置便于识别和使用的标识系统：</w:t>
      </w:r>
      <w:r>
        <w:rPr>
          <w:b/>
          <w:bCs/>
        </w:rPr>
        <w:t xml:space="preserve"> </w:t>
      </w:r>
    </w:p>
    <w:p>
      <w:pPr>
        <w:pStyle w:val="92"/>
        <w:ind w:left="1050" w:hanging="210"/>
      </w:pPr>
      <w:r>
        <w:rPr>
          <w:rFonts w:hint="eastAsia"/>
        </w:rPr>
        <w:t>□易于老年人识别的标识；□满足儿童使用需求与身高匹配的标识；</w:t>
      </w:r>
    </w:p>
    <w:p>
      <w:pPr>
        <w:pStyle w:val="92"/>
        <w:ind w:left="1050" w:hanging="210"/>
      </w:pPr>
      <w:r>
        <w:rPr>
          <w:rFonts w:hint="eastAsia"/>
        </w:rPr>
        <w:t>□无障碍标识；□健身楼梯间导向标识；□公共卫生间导向标识；□公共服务导向标识；</w:t>
      </w:r>
    </w:p>
    <w:p>
      <w:pPr>
        <w:pStyle w:val="92"/>
        <w:ind w:left="1050" w:hanging="210"/>
      </w:pPr>
      <w:r>
        <w:rPr>
          <w:rFonts w:hint="eastAsia"/>
        </w:rPr>
        <w:t>□其他标识：________________。</w:t>
      </w:r>
    </w:p>
    <w:p>
      <w:pPr>
        <w:pStyle w:val="87"/>
        <w:jc w:val="both"/>
        <w:rPr>
          <w:b/>
          <w:bCs/>
        </w:rPr>
      </w:pPr>
      <w:r>
        <w:rPr>
          <w:rFonts w:hint="eastAsia"/>
          <w:b/>
          <w:bCs/>
        </w:rPr>
        <w:t>无障碍设计结合建筑功能特性，</w:t>
      </w:r>
      <w:r>
        <w:rPr>
          <w:rFonts w:hint="eastAsia"/>
          <w:b/>
        </w:rPr>
        <w:t>并符合现行国家标准《建筑与市政工程无障碍通用规范》GB</w:t>
      </w:r>
      <w:r>
        <w:rPr>
          <w:b/>
        </w:rPr>
        <w:t xml:space="preserve"> </w:t>
      </w:r>
      <w:r>
        <w:rPr>
          <w:rFonts w:hint="eastAsia"/>
          <w:b/>
        </w:rPr>
        <w:t>55019和《无障碍设计规范》GB</w:t>
      </w:r>
      <w:r>
        <w:rPr>
          <w:b/>
        </w:rPr>
        <w:t xml:space="preserve"> </w:t>
      </w:r>
      <w:r>
        <w:rPr>
          <w:rFonts w:hint="eastAsia"/>
          <w:b/>
        </w:rPr>
        <w:t>50763的规定：</w:t>
      </w:r>
      <w:r>
        <w:rPr>
          <w:rFonts w:hint="eastAsia" w:asciiTheme="minorEastAsia" w:hAnsiTheme="minorEastAsia" w:eastAsiaTheme="minorEastAsia"/>
        </w:rPr>
        <w:t>□</w:t>
      </w:r>
      <w:r>
        <w:rPr>
          <w:rFonts w:hint="eastAsia"/>
          <w:b/>
        </w:rPr>
        <w:t>是</w:t>
      </w:r>
      <w:r>
        <w:rPr>
          <w:rFonts w:hint="eastAsia"/>
          <w:b/>
          <w:bCs/>
        </w:rPr>
        <w:t>。</w:t>
      </w:r>
    </w:p>
    <w:p>
      <w:pPr>
        <w:pStyle w:val="87"/>
        <w:jc w:val="both"/>
        <w:rPr>
          <w:b/>
          <w:bCs/>
        </w:rPr>
      </w:pPr>
      <w:r>
        <w:rPr>
          <w:rFonts w:hint="eastAsia"/>
          <w:b/>
          <w:bCs/>
        </w:rPr>
        <w:t>安全性与耐久性：</w:t>
      </w:r>
    </w:p>
    <w:p>
      <w:pPr>
        <w:pStyle w:val="88"/>
        <w:spacing w:line="360" w:lineRule="exact"/>
        <w:ind w:left="851" w:hanging="431"/>
        <w:jc w:val="both"/>
      </w:pPr>
      <w:r>
        <w:rPr>
          <w:rFonts w:hint="eastAsia"/>
        </w:rPr>
        <w:t>外遮阳、可再生能源利用设施、空调室外机位、外墙花池等外部设施与建筑主体结构进行统一设计，并具备安装、检修与维护条件：□是。</w:t>
      </w:r>
    </w:p>
    <w:p>
      <w:pPr>
        <w:pStyle w:val="88"/>
        <w:spacing w:line="360" w:lineRule="exact"/>
        <w:ind w:left="840" w:hanging="420"/>
        <w:jc w:val="both"/>
      </w:pPr>
      <w:r>
        <w:rPr>
          <w:rFonts w:hint="eastAsia"/>
        </w:rPr>
        <w:t>建筑内部的非结构构件、设备及附属设施等连接牢固：□是。</w:t>
      </w:r>
    </w:p>
    <w:p>
      <w:pPr>
        <w:pStyle w:val="88"/>
        <w:spacing w:line="360" w:lineRule="exact"/>
        <w:ind w:left="840" w:hanging="420"/>
        <w:jc w:val="both"/>
      </w:pPr>
      <w:r>
        <w:rPr>
          <w:rFonts w:hint="eastAsia"/>
        </w:rPr>
        <w:t>卫生间、浴室的楼、地面设置防水层，墙面、顶棚设置防潮层：□是；□未涉及。</w:t>
      </w:r>
    </w:p>
    <w:p>
      <w:pPr>
        <w:pStyle w:val="88"/>
        <w:spacing w:line="360" w:lineRule="exact"/>
        <w:ind w:left="840" w:hanging="420"/>
        <w:jc w:val="both"/>
      </w:pPr>
      <w:r>
        <w:rPr>
          <w:rFonts w:hint="eastAsia"/>
        </w:rPr>
        <w:t>建筑室内公共区域考虑全龄化设计要求：</w:t>
      </w:r>
      <w:r>
        <w:t xml:space="preserve"> </w:t>
      </w:r>
    </w:p>
    <w:p>
      <w:pPr>
        <w:pStyle w:val="92"/>
        <w:ind w:left="399" w:leftChars="190" w:firstLine="420" w:firstLineChars="200"/>
      </w:pPr>
      <w:r>
        <w:rPr>
          <w:rFonts w:hint="eastAsia"/>
        </w:rPr>
        <w:t>□建筑室内公共区域的墙、柱等处的阳角均为圆角，并设有安全抓杆或扶手；</w:t>
      </w:r>
    </w:p>
    <w:p>
      <w:pPr>
        <w:pStyle w:val="92"/>
        <w:ind w:left="399" w:leftChars="190" w:firstLine="420" w:firstLineChars="200"/>
      </w:pPr>
      <w:r>
        <w:rPr>
          <w:rFonts w:hint="eastAsia"/>
        </w:rPr>
        <w:t>□设有可容纳担架的无障碍电梯；</w:t>
      </w:r>
    </w:p>
    <w:p>
      <w:pPr>
        <w:pStyle w:val="92"/>
        <w:ind w:left="399" w:leftChars="190" w:firstLine="420" w:firstLineChars="200"/>
      </w:pPr>
      <w:r>
        <w:rPr>
          <w:rFonts w:hint="eastAsia"/>
        </w:rPr>
        <w:t>□其他：____________________。</w:t>
      </w:r>
    </w:p>
    <w:p>
      <w:pPr>
        <w:pStyle w:val="88"/>
        <w:spacing w:line="360" w:lineRule="exact"/>
        <w:ind w:left="840" w:hanging="420"/>
        <w:jc w:val="both"/>
      </w:pPr>
      <w:r>
        <w:rPr>
          <w:rFonts w:hint="eastAsia"/>
        </w:rPr>
        <w:t>采取措施提高阳台、外窗、窗台、防护栏杆等安全防护水平：</w:t>
      </w:r>
    </w:p>
    <w:p>
      <w:pPr>
        <w:pStyle w:val="88"/>
        <w:numPr>
          <w:ilvl w:val="0"/>
          <w:numId w:val="0"/>
        </w:numPr>
        <w:spacing w:line="360" w:lineRule="exact"/>
        <w:ind w:left="840"/>
        <w:jc w:val="both"/>
      </w:pPr>
      <w:r>
        <w:rPr>
          <w:rFonts w:hint="eastAsia"/>
        </w:rPr>
        <w:t>□是，措施为：______________；□否。</w:t>
      </w:r>
    </w:p>
    <w:p>
      <w:pPr>
        <w:pStyle w:val="88"/>
        <w:spacing w:line="360" w:lineRule="exact"/>
        <w:ind w:left="840" w:hanging="420"/>
        <w:jc w:val="both"/>
      </w:pPr>
      <w:r>
        <w:rPr>
          <w:rFonts w:hint="eastAsia"/>
        </w:rPr>
        <w:t>建筑物主要出入口均设外墙饰面、门窗玻璃意外脱落的防护措施：</w:t>
      </w:r>
    </w:p>
    <w:p>
      <w:pPr>
        <w:pStyle w:val="88"/>
        <w:numPr>
          <w:ilvl w:val="0"/>
          <w:numId w:val="0"/>
        </w:numPr>
        <w:spacing w:line="360" w:lineRule="exact"/>
        <w:ind w:left="840"/>
        <w:jc w:val="both"/>
      </w:pPr>
      <w:r>
        <w:rPr>
          <w:rFonts w:hint="eastAsia"/>
        </w:rPr>
        <w:t>□是，措施为：______________；□否。</w:t>
      </w:r>
    </w:p>
    <w:p>
      <w:pPr>
        <w:pStyle w:val="88"/>
        <w:spacing w:line="360" w:lineRule="exact"/>
        <w:ind w:left="840" w:hanging="420"/>
        <w:jc w:val="both"/>
      </w:pPr>
      <w:r>
        <w:rPr>
          <w:rFonts w:hint="eastAsia"/>
        </w:rPr>
        <w:t>建筑设计采用具有安全防护功能的产品或配件：</w:t>
      </w:r>
    </w:p>
    <w:p>
      <w:pPr>
        <w:pStyle w:val="92"/>
        <w:ind w:left="1050" w:hanging="210"/>
      </w:pPr>
      <w:r>
        <w:rPr>
          <w:rFonts w:hint="eastAsia"/>
        </w:rPr>
        <w:t>□采用具有安全防护功能的玻璃；</w:t>
      </w:r>
    </w:p>
    <w:p>
      <w:pPr>
        <w:pStyle w:val="92"/>
        <w:ind w:left="1050" w:hanging="210"/>
      </w:pPr>
      <w:r>
        <w:rPr>
          <w:rFonts w:hint="eastAsia"/>
        </w:rPr>
        <w:t>□采用具备防夹功能的门窗。</w:t>
      </w:r>
    </w:p>
    <w:p>
      <w:pPr>
        <w:pStyle w:val="88"/>
        <w:spacing w:line="360" w:lineRule="exact"/>
        <w:ind w:left="840" w:hanging="420"/>
        <w:jc w:val="both"/>
      </w:pPr>
      <w:r>
        <w:rPr>
          <w:rFonts w:hint="eastAsia" w:asciiTheme="minorEastAsia" w:hAnsiTheme="minorEastAsia" w:eastAsiaTheme="minorEastAsia"/>
        </w:rPr>
        <w:t>室内场所楼地面设置防滑措施的部位有：</w:t>
      </w:r>
      <w:r>
        <w:rPr>
          <w:rFonts w:hint="eastAsia" w:asciiTheme="minorEastAsia" w:hAnsiTheme="minorEastAsia" w:eastAsiaTheme="minorEastAsia"/>
          <w:i/>
        </w:rPr>
        <w:t>（防滑措施和防滑等级应在施工图工程做法中对应明确）</w:t>
      </w:r>
    </w:p>
    <w:p>
      <w:pPr>
        <w:pStyle w:val="92"/>
        <w:ind w:left="1050" w:hanging="210"/>
      </w:pPr>
      <w:r>
        <w:rPr>
          <w:rFonts w:hint="eastAsia"/>
        </w:rPr>
        <w:t>□建</w:t>
      </w:r>
      <w:r>
        <w:t>筑出入口及平台</w:t>
      </w:r>
      <w:r>
        <w:rPr>
          <w:rFonts w:hint="eastAsia"/>
        </w:rPr>
        <w:t>； □公共门厅/公共走廊； □电梯门厅； □厨房；□</w:t>
      </w:r>
      <w:r>
        <w:t>浴室</w:t>
      </w:r>
      <w:r>
        <w:rPr>
          <w:rFonts w:hint="eastAsia"/>
        </w:rPr>
        <w:t>；□</w:t>
      </w:r>
      <w:r>
        <w:t>卫生间；</w:t>
      </w:r>
    </w:p>
    <w:p>
      <w:pPr>
        <w:pStyle w:val="92"/>
        <w:ind w:left="1050" w:hanging="210"/>
      </w:pPr>
      <w:r>
        <w:rPr>
          <w:rFonts w:hint="eastAsia"/>
        </w:rPr>
        <w:t>□</w:t>
      </w:r>
      <w:r>
        <w:t>室</w:t>
      </w:r>
      <w:r>
        <w:rPr>
          <w:rFonts w:hint="eastAsia"/>
        </w:rPr>
        <w:t>内活动场所；</w:t>
      </w:r>
    </w:p>
    <w:p>
      <w:pPr>
        <w:pStyle w:val="92"/>
        <w:ind w:left="1050" w:hanging="210"/>
      </w:pPr>
      <w:r>
        <w:rPr>
          <w:rFonts w:hint="eastAsia"/>
        </w:rPr>
        <w:t>□建筑坡道； □无障碍</w:t>
      </w:r>
      <w:r>
        <w:rPr>
          <w:rFonts w:hint="eastAsia" w:asciiTheme="minorEastAsia" w:hAnsiTheme="minorEastAsia" w:eastAsiaTheme="minorEastAsia"/>
        </w:rPr>
        <w:t>通</w:t>
      </w:r>
      <w:r>
        <w:rPr>
          <w:rFonts w:hint="eastAsia"/>
        </w:rPr>
        <w:t>道； □楼梯踏步；</w:t>
      </w:r>
    </w:p>
    <w:p>
      <w:pPr>
        <w:pStyle w:val="92"/>
        <w:ind w:left="1050" w:hanging="210"/>
        <w:rPr>
          <w:rFonts w:asciiTheme="minorEastAsia" w:hAnsiTheme="minorEastAsia" w:eastAsiaTheme="minorEastAsia"/>
        </w:rPr>
      </w:pPr>
      <w:r>
        <w:rPr>
          <w:rFonts w:hint="eastAsia" w:asciiTheme="minorEastAsia" w:hAnsiTheme="minorEastAsia" w:eastAsiaTheme="minorEastAsia"/>
        </w:rPr>
        <w:t>防滑措施和防滑等级说明：____________________。</w:t>
      </w:r>
    </w:p>
    <w:p>
      <w:pPr>
        <w:pStyle w:val="88"/>
        <w:spacing w:line="360" w:lineRule="exact"/>
        <w:ind w:left="840" w:hanging="420"/>
      </w:pPr>
      <w:r>
        <w:rPr>
          <w:rFonts w:hint="eastAsia"/>
        </w:rPr>
        <w:t xml:space="preserve">建筑内特定部位具有安全防护的警示标识和安全引导标识系统，设置情况：________________________________________________； </w:t>
      </w:r>
    </w:p>
    <w:p>
      <w:pPr>
        <w:pStyle w:val="88"/>
        <w:spacing w:line="360" w:lineRule="exact"/>
        <w:ind w:left="840" w:hanging="420"/>
        <w:jc w:val="both"/>
      </w:pPr>
      <w:r>
        <w:rPr>
          <w:rFonts w:hint="eastAsia"/>
        </w:rPr>
        <w:t>建筑中频繁使用的活动配件应选用长寿命产品：□是，选用描述_____________________；□否。</w:t>
      </w:r>
    </w:p>
    <w:p>
      <w:pPr>
        <w:pStyle w:val="88"/>
        <w:spacing w:line="360" w:lineRule="exact"/>
        <w:ind w:left="840" w:hanging="420"/>
        <w:jc w:val="both"/>
      </w:pPr>
      <w:r>
        <w:rPr>
          <w:rFonts w:hint="eastAsia"/>
        </w:rPr>
        <w:t>本项目装饰装修建筑材料：</w:t>
      </w:r>
    </w:p>
    <w:p>
      <w:pPr>
        <w:pStyle w:val="92"/>
        <w:ind w:left="1050" w:hanging="210"/>
      </w:pPr>
      <w:r>
        <w:rPr>
          <w:rFonts w:hint="eastAsia"/>
        </w:rPr>
        <w:t>□采用耐久性好的外饰面材料；</w:t>
      </w:r>
      <w:r>
        <w:rPr>
          <w:rFonts w:hint="eastAsia" w:asciiTheme="minorEastAsia" w:hAnsiTheme="minorEastAsia" w:eastAsiaTheme="minorEastAsia"/>
        </w:rPr>
        <w:t>选用描述：____________________；</w:t>
      </w:r>
    </w:p>
    <w:p>
      <w:pPr>
        <w:pStyle w:val="92"/>
        <w:ind w:left="1050" w:hanging="210"/>
      </w:pPr>
      <w:r>
        <w:rPr>
          <w:rFonts w:hint="eastAsia"/>
        </w:rPr>
        <w:t>□采用耐久性好防水和密封材料；</w:t>
      </w:r>
      <w:r>
        <w:rPr>
          <w:rFonts w:hint="eastAsia" w:asciiTheme="minorEastAsia" w:hAnsiTheme="minorEastAsia" w:eastAsiaTheme="minorEastAsia"/>
        </w:rPr>
        <w:t>选用描述：____________________；</w:t>
      </w:r>
    </w:p>
    <w:p>
      <w:pPr>
        <w:pStyle w:val="92"/>
        <w:ind w:left="1050" w:hanging="210"/>
      </w:pPr>
      <w:r>
        <w:rPr>
          <w:rFonts w:hint="eastAsia"/>
        </w:rPr>
        <w:t>□采用耐久性好、易维护的室内装饰装修材料；</w:t>
      </w:r>
      <w:r>
        <w:rPr>
          <w:rFonts w:hint="eastAsia" w:asciiTheme="minorEastAsia" w:hAnsiTheme="minorEastAsia" w:eastAsiaTheme="minorEastAsia"/>
        </w:rPr>
        <w:t>选用描述：____________________。</w:t>
      </w:r>
    </w:p>
    <w:p>
      <w:pPr>
        <w:pStyle w:val="87"/>
      </w:pPr>
      <w:r>
        <w:rPr>
          <w:rFonts w:hint="eastAsia"/>
          <w:b/>
          <w:bCs/>
        </w:rPr>
        <w:t>应用建筑信息模型（BIM）技术：</w:t>
      </w:r>
      <w:r>
        <w:rPr>
          <w:rFonts w:hint="eastAsia"/>
        </w:rPr>
        <w:t>□是；□否；应用的阶段：□规划设计；□施工建造；□项目建设全过程。</w:t>
      </w:r>
    </w:p>
    <w:p>
      <w:pPr>
        <w:pStyle w:val="87"/>
        <w:jc w:val="both"/>
        <w:rPr>
          <w:b/>
          <w:bCs/>
        </w:rPr>
      </w:pPr>
      <w:r>
        <w:rPr>
          <w:rFonts w:hint="eastAsia"/>
          <w:b/>
          <w:bCs/>
        </w:rPr>
        <w:t>其他需要说明的内容</w:t>
      </w:r>
      <w:r>
        <w:rPr>
          <w:rFonts w:hint="eastAsia" w:asciiTheme="minorEastAsia" w:hAnsiTheme="minorEastAsia" w:eastAsiaTheme="minorEastAsia"/>
          <w:b/>
          <w:bCs/>
        </w:rPr>
        <w:t>（包含其他绿色建筑提高与创新内容）</w:t>
      </w:r>
      <w:r>
        <w:rPr>
          <w:rFonts w:hint="eastAsia"/>
          <w:b/>
          <w:bCs/>
        </w:rPr>
        <w:t>：</w:t>
      </w:r>
    </w:p>
    <w:p>
      <w:pPr>
        <w:pStyle w:val="87"/>
        <w:numPr>
          <w:ilvl w:val="0"/>
          <w:numId w:val="0"/>
        </w:numPr>
        <w:ind w:left="425"/>
        <w:jc w:val="both"/>
        <w:rPr>
          <w:b/>
          <w:bCs/>
        </w:rPr>
      </w:pPr>
      <w:r>
        <w:rPr>
          <w:rFonts w:hint="eastAsia"/>
        </w:rPr>
        <w:t>_____________________________________________。</w:t>
      </w:r>
    </w:p>
    <w:p>
      <w:pPr>
        <w:pStyle w:val="87"/>
        <w:numPr>
          <w:ilvl w:val="0"/>
          <w:numId w:val="0"/>
        </w:numPr>
        <w:ind w:left="425"/>
        <w:jc w:val="both"/>
      </w:pPr>
    </w:p>
    <w:p>
      <w:pPr>
        <w:pBdr>
          <w:top w:val="single" w:color="auto" w:sz="4" w:space="1"/>
          <w:left w:val="single" w:color="auto" w:sz="4" w:space="4"/>
          <w:bottom w:val="single" w:color="auto" w:sz="4" w:space="5"/>
          <w:right w:val="single" w:color="auto" w:sz="4" w:space="0"/>
          <w:between w:val="single" w:color="auto" w:sz="4" w:space="1"/>
        </w:pBdr>
        <w:spacing w:line="360" w:lineRule="auto"/>
        <w:jc w:val="center"/>
        <w:rPr>
          <w:rFonts w:hAnsi="宋体"/>
          <w:b/>
          <w:sz w:val="24"/>
          <w:lang w:val="en-GB"/>
        </w:rPr>
      </w:pPr>
      <w:r>
        <w:rPr>
          <w:rFonts w:hint="eastAsia" w:hAnsi="宋体"/>
          <w:b/>
          <w:sz w:val="24"/>
          <w:lang w:val="en-GB"/>
        </w:rPr>
        <w:t>（三）围护结构构造</w:t>
      </w:r>
      <w:r>
        <w:rPr>
          <w:rFonts w:hAnsi="宋体"/>
          <w:b/>
          <w:sz w:val="24"/>
          <w:lang w:val="en-GB"/>
        </w:rPr>
        <w:t>措施</w:t>
      </w:r>
    </w:p>
    <w:p>
      <w:pPr>
        <w:pStyle w:val="87"/>
        <w:numPr>
          <w:ilvl w:val="0"/>
          <w:numId w:val="17"/>
        </w:numPr>
        <w:rPr>
          <w:lang w:val="en-GB"/>
        </w:rPr>
      </w:pPr>
      <w:r>
        <w:rPr>
          <w:rFonts w:hint="eastAsia"/>
          <w:lang w:val="en-GB"/>
        </w:rPr>
        <w:t>居住建筑围护结构节能设计表</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11"/>
        <w:gridCol w:w="1348"/>
        <w:gridCol w:w="1221"/>
        <w:gridCol w:w="1717"/>
        <w:gridCol w:w="1080"/>
        <w:gridCol w:w="1124"/>
        <w:gridCol w:w="1367"/>
        <w:gridCol w:w="708"/>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1079" w:type="pct"/>
            <w:gridSpan w:val="2"/>
            <w:vAlign w:val="center"/>
          </w:tcPr>
          <w:p>
            <w:pPr>
              <w:pStyle w:val="86"/>
              <w:jc w:val="center"/>
              <w:rPr>
                <w:sz w:val="18"/>
                <w:szCs w:val="18"/>
              </w:rPr>
            </w:pPr>
            <w:r>
              <w:rPr>
                <w:sz w:val="18"/>
                <w:szCs w:val="18"/>
              </w:rPr>
              <w:t>工程名称</w:t>
            </w:r>
          </w:p>
        </w:tc>
        <w:tc>
          <w:tcPr>
            <w:tcW w:w="1919" w:type="pct"/>
            <w:gridSpan w:val="3"/>
            <w:vAlign w:val="center"/>
          </w:tcPr>
          <w:p>
            <w:pPr>
              <w:pStyle w:val="86"/>
              <w:jc w:val="center"/>
              <w:rPr>
                <w:rFonts w:ascii="Times New Roman"/>
                <w:sz w:val="18"/>
                <w:szCs w:val="18"/>
              </w:rPr>
            </w:pPr>
          </w:p>
        </w:tc>
        <w:tc>
          <w:tcPr>
            <w:tcW w:w="537" w:type="pct"/>
            <w:vAlign w:val="center"/>
          </w:tcPr>
          <w:p>
            <w:pPr>
              <w:pStyle w:val="86"/>
              <w:jc w:val="center"/>
              <w:rPr>
                <w:sz w:val="18"/>
                <w:szCs w:val="18"/>
              </w:rPr>
            </w:pPr>
            <w:r>
              <w:rPr>
                <w:sz w:val="18"/>
                <w:szCs w:val="18"/>
              </w:rPr>
              <w:t>工程号</w:t>
            </w:r>
          </w:p>
        </w:tc>
        <w:tc>
          <w:tcPr>
            <w:tcW w:w="1465" w:type="pct"/>
            <w:gridSpan w:val="3"/>
            <w:vAlign w:val="center"/>
          </w:tcPr>
          <w:p>
            <w:pPr>
              <w:pStyle w:val="86"/>
              <w:jc w:val="both"/>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1" w:hRule="atLeast"/>
        </w:trPr>
        <w:tc>
          <w:tcPr>
            <w:tcW w:w="1079" w:type="pct"/>
            <w:gridSpan w:val="2"/>
            <w:vAlign w:val="center"/>
          </w:tcPr>
          <w:p>
            <w:pPr>
              <w:pStyle w:val="86"/>
              <w:jc w:val="center"/>
              <w:rPr>
                <w:sz w:val="18"/>
                <w:szCs w:val="18"/>
              </w:rPr>
            </w:pPr>
            <w:r>
              <w:rPr>
                <w:sz w:val="18"/>
                <w:szCs w:val="18"/>
              </w:rPr>
              <w:t>建筑类型</w:t>
            </w:r>
          </w:p>
        </w:tc>
        <w:tc>
          <w:tcPr>
            <w:tcW w:w="1919" w:type="pct"/>
            <w:gridSpan w:val="3"/>
            <w:vAlign w:val="center"/>
          </w:tcPr>
          <w:p>
            <w:pPr>
              <w:pStyle w:val="86"/>
              <w:jc w:val="center"/>
              <w:rPr>
                <w:sz w:val="18"/>
                <w:szCs w:val="18"/>
              </w:rPr>
            </w:pPr>
            <w:r>
              <w:rPr>
                <w:rFonts w:hint="eastAsia"/>
                <w:sz w:val="18"/>
                <w:szCs w:val="18"/>
              </w:rPr>
              <w:t>□</w:t>
            </w:r>
            <w:r>
              <w:rPr>
                <w:rFonts w:hint="eastAsia"/>
                <w:spacing w:val="-2"/>
                <w:sz w:val="18"/>
                <w:szCs w:val="18"/>
              </w:rPr>
              <w:t>住宅</w:t>
            </w:r>
            <w:r>
              <w:rPr>
                <w:spacing w:val="-2"/>
                <w:sz w:val="18"/>
                <w:szCs w:val="18"/>
              </w:rPr>
              <w:t>；</w:t>
            </w:r>
          </w:p>
          <w:p>
            <w:pPr>
              <w:pStyle w:val="86"/>
              <w:jc w:val="center"/>
              <w:rPr>
                <w:sz w:val="18"/>
                <w:szCs w:val="18"/>
              </w:rPr>
            </w:pPr>
            <w:r>
              <w:rPr>
                <w:rFonts w:hint="eastAsia"/>
                <w:sz w:val="18"/>
                <w:szCs w:val="18"/>
              </w:rPr>
              <w:t>□</w:t>
            </w:r>
            <w:r>
              <w:rPr>
                <w:rFonts w:hint="eastAsia"/>
                <w:spacing w:val="-2"/>
                <w:sz w:val="18"/>
                <w:szCs w:val="18"/>
              </w:rPr>
              <w:t>非住宅类居住建筑</w:t>
            </w:r>
            <w:r>
              <w:rPr>
                <w:spacing w:val="-2"/>
                <w:sz w:val="18"/>
                <w:szCs w:val="18"/>
              </w:rPr>
              <w:t>；</w:t>
            </w:r>
          </w:p>
        </w:tc>
        <w:tc>
          <w:tcPr>
            <w:tcW w:w="1190" w:type="pct"/>
            <w:gridSpan w:val="2"/>
            <w:vAlign w:val="center"/>
          </w:tcPr>
          <w:p>
            <w:pPr>
              <w:pStyle w:val="86"/>
              <w:jc w:val="center"/>
              <w:rPr>
                <w:sz w:val="18"/>
                <w:szCs w:val="18"/>
              </w:rPr>
            </w:pPr>
            <w:r>
              <w:rPr>
                <w:rFonts w:hint="eastAsia"/>
                <w:sz w:val="18"/>
                <w:szCs w:val="18"/>
              </w:rPr>
              <w:t>朝向</w:t>
            </w:r>
          </w:p>
        </w:tc>
        <w:tc>
          <w:tcPr>
            <w:tcW w:w="812" w:type="pct"/>
            <w:gridSpan w:val="2"/>
            <w:vAlign w:val="center"/>
          </w:tcPr>
          <w:p>
            <w:pPr>
              <w:pStyle w:val="86"/>
              <w:jc w:val="both"/>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2" w:hRule="atLeast"/>
        </w:trPr>
        <w:tc>
          <w:tcPr>
            <w:tcW w:w="1079" w:type="pct"/>
            <w:gridSpan w:val="2"/>
            <w:vAlign w:val="center"/>
          </w:tcPr>
          <w:p>
            <w:pPr>
              <w:pStyle w:val="86"/>
              <w:jc w:val="center"/>
              <w:rPr>
                <w:sz w:val="18"/>
                <w:szCs w:val="18"/>
              </w:rPr>
            </w:pPr>
            <w:r>
              <w:rPr>
                <w:sz w:val="18"/>
                <w:szCs w:val="18"/>
              </w:rPr>
              <w:t>建筑面积</w:t>
            </w:r>
          </w:p>
        </w:tc>
        <w:tc>
          <w:tcPr>
            <w:tcW w:w="1919" w:type="pct"/>
            <w:gridSpan w:val="3"/>
            <w:vAlign w:val="center"/>
          </w:tcPr>
          <w:p>
            <w:pPr>
              <w:pStyle w:val="86"/>
              <w:jc w:val="center"/>
              <w:rPr>
                <w:sz w:val="18"/>
                <w:szCs w:val="18"/>
              </w:rPr>
            </w:pPr>
          </w:p>
        </w:tc>
        <w:tc>
          <w:tcPr>
            <w:tcW w:w="537" w:type="pct"/>
            <w:vAlign w:val="center"/>
          </w:tcPr>
          <w:p>
            <w:pPr>
              <w:pStyle w:val="86"/>
              <w:jc w:val="center"/>
              <w:rPr>
                <w:rFonts w:ascii="Times New Roman"/>
                <w:sz w:val="18"/>
                <w:szCs w:val="18"/>
              </w:rPr>
            </w:pPr>
            <w:r>
              <w:rPr>
                <w:sz w:val="18"/>
                <w:szCs w:val="18"/>
              </w:rPr>
              <w:t>建筑朝向</w:t>
            </w:r>
          </w:p>
        </w:tc>
        <w:tc>
          <w:tcPr>
            <w:tcW w:w="1465" w:type="pct"/>
            <w:gridSpan w:val="3"/>
            <w:vAlign w:val="center"/>
          </w:tcPr>
          <w:p>
            <w:pPr>
              <w:pStyle w:val="86"/>
              <w:jc w:val="both"/>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079" w:type="pct"/>
            <w:gridSpan w:val="2"/>
            <w:vMerge w:val="restart"/>
            <w:vAlign w:val="center"/>
          </w:tcPr>
          <w:p>
            <w:pPr>
              <w:pStyle w:val="86"/>
              <w:jc w:val="center"/>
              <w:rPr>
                <w:sz w:val="18"/>
                <w:szCs w:val="18"/>
              </w:rPr>
            </w:pPr>
            <w:r>
              <w:rPr>
                <w:rFonts w:hint="eastAsia"/>
                <w:sz w:val="18"/>
                <w:szCs w:val="18"/>
              </w:rPr>
              <w:t>体型系数</w:t>
            </w:r>
          </w:p>
        </w:tc>
        <w:tc>
          <w:tcPr>
            <w:tcW w:w="583" w:type="pct"/>
            <w:vAlign w:val="center"/>
          </w:tcPr>
          <w:p>
            <w:pPr>
              <w:pStyle w:val="86"/>
              <w:jc w:val="center"/>
              <w:rPr>
                <w:sz w:val="18"/>
                <w:szCs w:val="18"/>
              </w:rPr>
            </w:pPr>
            <w:r>
              <w:rPr>
                <w:rFonts w:hint="eastAsia"/>
                <w:sz w:val="18"/>
                <w:szCs w:val="18"/>
              </w:rPr>
              <w:t>地上建筑层数</w:t>
            </w:r>
          </w:p>
        </w:tc>
        <w:tc>
          <w:tcPr>
            <w:tcW w:w="820" w:type="pct"/>
            <w:vAlign w:val="center"/>
          </w:tcPr>
          <w:p>
            <w:pPr>
              <w:pStyle w:val="86"/>
              <w:jc w:val="center"/>
              <w:rPr>
                <w:rFonts w:ascii="Times New Roman"/>
                <w:sz w:val="18"/>
                <w:szCs w:val="18"/>
              </w:rPr>
            </w:pPr>
            <w:r>
              <w:rPr>
                <w:rFonts w:hint="eastAsia" w:ascii="Times New Roman"/>
                <w:sz w:val="18"/>
                <w:szCs w:val="18"/>
              </w:rPr>
              <w:t>基本要求</w:t>
            </w:r>
          </w:p>
        </w:tc>
        <w:tc>
          <w:tcPr>
            <w:tcW w:w="516" w:type="pct"/>
            <w:vAlign w:val="center"/>
          </w:tcPr>
          <w:p>
            <w:pPr>
              <w:pStyle w:val="86"/>
              <w:jc w:val="center"/>
              <w:rPr>
                <w:sz w:val="18"/>
                <w:szCs w:val="18"/>
              </w:rPr>
            </w:pPr>
            <w:r>
              <w:rPr>
                <w:rFonts w:hint="eastAsia"/>
                <w:sz w:val="18"/>
                <w:szCs w:val="18"/>
              </w:rPr>
              <w:t>限值</w:t>
            </w:r>
          </w:p>
        </w:tc>
        <w:tc>
          <w:tcPr>
            <w:tcW w:w="2002" w:type="pct"/>
            <w:gridSpan w:val="4"/>
            <w:vAlign w:val="center"/>
          </w:tcPr>
          <w:p>
            <w:pPr>
              <w:pStyle w:val="86"/>
              <w:jc w:val="center"/>
              <w:rPr>
                <w:sz w:val="18"/>
                <w:szCs w:val="18"/>
              </w:rPr>
            </w:pPr>
            <w:r>
              <w:rPr>
                <w:rFonts w:hint="eastAsia"/>
                <w:sz w:val="18"/>
                <w:szCs w:val="18"/>
              </w:rPr>
              <w:t>体型系数设计值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65" w:hRule="atLeast"/>
        </w:trPr>
        <w:tc>
          <w:tcPr>
            <w:tcW w:w="1079" w:type="pct"/>
            <w:gridSpan w:val="2"/>
            <w:vMerge w:val="continue"/>
            <w:vAlign w:val="center"/>
          </w:tcPr>
          <w:p>
            <w:pPr>
              <w:pStyle w:val="86"/>
              <w:jc w:val="center"/>
              <w:rPr>
                <w:sz w:val="18"/>
                <w:szCs w:val="18"/>
              </w:rPr>
            </w:pPr>
          </w:p>
        </w:tc>
        <w:tc>
          <w:tcPr>
            <w:tcW w:w="583" w:type="pct"/>
            <w:vAlign w:val="center"/>
          </w:tcPr>
          <w:p>
            <w:pPr>
              <w:pStyle w:val="86"/>
              <w:jc w:val="center"/>
              <w:rPr>
                <w:rFonts w:hAnsi="宋体"/>
                <w:sz w:val="18"/>
                <w:szCs w:val="18"/>
              </w:rPr>
            </w:pPr>
            <w:r>
              <w:rPr>
                <w:rFonts w:hint="eastAsia" w:hAnsi="宋体"/>
                <w:sz w:val="18"/>
                <w:szCs w:val="18"/>
              </w:rPr>
              <w:t>1层～3层</w:t>
            </w:r>
          </w:p>
        </w:tc>
        <w:tc>
          <w:tcPr>
            <w:tcW w:w="820" w:type="pct"/>
            <w:vAlign w:val="center"/>
          </w:tcPr>
          <w:p>
            <w:pPr>
              <w:pStyle w:val="86"/>
              <w:jc w:val="center"/>
              <w:rPr>
                <w:rFonts w:hAnsi="宋体"/>
                <w:sz w:val="18"/>
                <w:szCs w:val="18"/>
              </w:rPr>
            </w:pPr>
            <w:r>
              <w:rPr>
                <w:rFonts w:hint="eastAsia" w:hAnsi="宋体"/>
                <w:sz w:val="18"/>
                <w:szCs w:val="18"/>
              </w:rPr>
              <w:t>0.75</w:t>
            </w:r>
          </w:p>
        </w:tc>
        <w:tc>
          <w:tcPr>
            <w:tcW w:w="516" w:type="pct"/>
            <w:vAlign w:val="center"/>
          </w:tcPr>
          <w:p>
            <w:pPr>
              <w:pStyle w:val="86"/>
              <w:jc w:val="center"/>
              <w:rPr>
                <w:rFonts w:hAnsi="宋体"/>
                <w:sz w:val="18"/>
                <w:szCs w:val="18"/>
              </w:rPr>
            </w:pPr>
            <w:r>
              <w:rPr>
                <w:rFonts w:hint="eastAsia" w:hAnsi="宋体"/>
                <w:sz w:val="18"/>
                <w:szCs w:val="18"/>
              </w:rPr>
              <w:t>0.60</w:t>
            </w:r>
          </w:p>
        </w:tc>
        <w:tc>
          <w:tcPr>
            <w:tcW w:w="2002" w:type="pct"/>
            <w:gridSpan w:val="4"/>
            <w:vAlign w:val="center"/>
          </w:tcPr>
          <w:p>
            <w:pPr>
              <w:pStyle w:val="86"/>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0" w:hRule="atLeast"/>
        </w:trPr>
        <w:tc>
          <w:tcPr>
            <w:tcW w:w="1079" w:type="pct"/>
            <w:gridSpan w:val="2"/>
            <w:vMerge w:val="continue"/>
            <w:vAlign w:val="center"/>
          </w:tcPr>
          <w:p>
            <w:pPr>
              <w:pStyle w:val="86"/>
              <w:jc w:val="center"/>
              <w:rPr>
                <w:sz w:val="18"/>
                <w:szCs w:val="18"/>
              </w:rPr>
            </w:pPr>
          </w:p>
        </w:tc>
        <w:tc>
          <w:tcPr>
            <w:tcW w:w="583" w:type="pct"/>
            <w:vAlign w:val="center"/>
          </w:tcPr>
          <w:p>
            <w:pPr>
              <w:pStyle w:val="86"/>
              <w:jc w:val="center"/>
              <w:rPr>
                <w:rFonts w:hAnsi="宋体"/>
                <w:sz w:val="18"/>
                <w:szCs w:val="18"/>
              </w:rPr>
            </w:pPr>
            <w:r>
              <w:rPr>
                <w:rFonts w:hint="eastAsia" w:hAnsi="宋体"/>
                <w:sz w:val="18"/>
                <w:szCs w:val="18"/>
              </w:rPr>
              <w:t>4层～9层</w:t>
            </w:r>
          </w:p>
        </w:tc>
        <w:tc>
          <w:tcPr>
            <w:tcW w:w="820" w:type="pct"/>
            <w:vAlign w:val="center"/>
          </w:tcPr>
          <w:p>
            <w:pPr>
              <w:pStyle w:val="86"/>
              <w:jc w:val="center"/>
              <w:rPr>
                <w:rFonts w:hAnsi="宋体"/>
                <w:sz w:val="18"/>
                <w:szCs w:val="18"/>
              </w:rPr>
            </w:pPr>
            <w:r>
              <w:rPr>
                <w:rFonts w:hint="eastAsia" w:hAnsi="宋体"/>
                <w:sz w:val="18"/>
                <w:szCs w:val="18"/>
              </w:rPr>
              <w:t>0.55</w:t>
            </w:r>
          </w:p>
        </w:tc>
        <w:tc>
          <w:tcPr>
            <w:tcW w:w="516" w:type="pct"/>
            <w:vAlign w:val="center"/>
          </w:tcPr>
          <w:p>
            <w:pPr>
              <w:pStyle w:val="86"/>
              <w:jc w:val="center"/>
              <w:rPr>
                <w:rFonts w:hAnsi="宋体"/>
                <w:sz w:val="18"/>
                <w:szCs w:val="18"/>
              </w:rPr>
            </w:pPr>
            <w:r>
              <w:rPr>
                <w:rFonts w:hint="eastAsia" w:hAnsi="宋体"/>
                <w:sz w:val="18"/>
                <w:szCs w:val="18"/>
              </w:rPr>
              <w:t>0.40</w:t>
            </w:r>
          </w:p>
        </w:tc>
        <w:tc>
          <w:tcPr>
            <w:tcW w:w="2002" w:type="pct"/>
            <w:gridSpan w:val="4"/>
            <w:vAlign w:val="center"/>
          </w:tcPr>
          <w:p>
            <w:pPr>
              <w:pStyle w:val="86"/>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6" w:hRule="atLeast"/>
        </w:trPr>
        <w:tc>
          <w:tcPr>
            <w:tcW w:w="1079" w:type="pct"/>
            <w:gridSpan w:val="2"/>
            <w:vMerge w:val="continue"/>
            <w:vAlign w:val="center"/>
          </w:tcPr>
          <w:p>
            <w:pPr>
              <w:pStyle w:val="86"/>
              <w:jc w:val="center"/>
              <w:rPr>
                <w:sz w:val="18"/>
                <w:szCs w:val="18"/>
              </w:rPr>
            </w:pPr>
          </w:p>
        </w:tc>
        <w:tc>
          <w:tcPr>
            <w:tcW w:w="583" w:type="pct"/>
            <w:vAlign w:val="center"/>
          </w:tcPr>
          <w:p>
            <w:pPr>
              <w:pStyle w:val="86"/>
              <w:jc w:val="center"/>
              <w:rPr>
                <w:rFonts w:hAnsi="宋体"/>
                <w:sz w:val="18"/>
                <w:szCs w:val="18"/>
              </w:rPr>
            </w:pPr>
            <w:r>
              <w:rPr>
                <w:rFonts w:hint="eastAsia" w:hAnsi="宋体"/>
                <w:sz w:val="18"/>
                <w:szCs w:val="18"/>
              </w:rPr>
              <w:t>≥10层</w:t>
            </w:r>
          </w:p>
        </w:tc>
        <w:tc>
          <w:tcPr>
            <w:tcW w:w="820" w:type="pct"/>
            <w:vAlign w:val="center"/>
          </w:tcPr>
          <w:p>
            <w:pPr>
              <w:pStyle w:val="86"/>
              <w:jc w:val="center"/>
              <w:rPr>
                <w:rFonts w:hAnsi="宋体"/>
                <w:sz w:val="18"/>
                <w:szCs w:val="18"/>
              </w:rPr>
            </w:pPr>
            <w:r>
              <w:rPr>
                <w:rFonts w:hint="eastAsia" w:hAnsi="宋体"/>
                <w:sz w:val="18"/>
                <w:szCs w:val="18"/>
              </w:rPr>
              <w:t>0.50</w:t>
            </w:r>
          </w:p>
        </w:tc>
        <w:tc>
          <w:tcPr>
            <w:tcW w:w="516" w:type="pct"/>
            <w:vAlign w:val="center"/>
          </w:tcPr>
          <w:p>
            <w:pPr>
              <w:pStyle w:val="86"/>
              <w:jc w:val="center"/>
              <w:rPr>
                <w:rFonts w:hAnsi="宋体"/>
                <w:sz w:val="18"/>
                <w:szCs w:val="18"/>
              </w:rPr>
            </w:pPr>
            <w:r>
              <w:rPr>
                <w:rFonts w:hint="eastAsia" w:hAnsi="宋体"/>
                <w:sz w:val="18"/>
                <w:szCs w:val="18"/>
              </w:rPr>
              <w:t>0.40</w:t>
            </w:r>
          </w:p>
        </w:tc>
        <w:tc>
          <w:tcPr>
            <w:tcW w:w="2002" w:type="pct"/>
            <w:gridSpan w:val="4"/>
            <w:vAlign w:val="center"/>
          </w:tcPr>
          <w:p>
            <w:pPr>
              <w:pStyle w:val="86"/>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1079" w:type="pct"/>
            <w:gridSpan w:val="2"/>
            <w:vMerge w:val="restart"/>
            <w:vAlign w:val="center"/>
          </w:tcPr>
          <w:p>
            <w:pPr>
              <w:pStyle w:val="86"/>
              <w:jc w:val="center"/>
              <w:rPr>
                <w:rFonts w:ascii="微软雅黑" w:eastAsia="微软雅黑"/>
                <w:b/>
                <w:sz w:val="18"/>
                <w:szCs w:val="18"/>
              </w:rPr>
            </w:pPr>
            <w:r>
              <w:rPr>
                <w:rFonts w:hint="eastAsia" w:hAnsi="宋体"/>
                <w:b/>
                <w:sz w:val="18"/>
                <w:szCs w:val="18"/>
              </w:rPr>
              <w:t>围护结构</w:t>
            </w:r>
          </w:p>
        </w:tc>
        <w:tc>
          <w:tcPr>
            <w:tcW w:w="1403" w:type="pct"/>
            <w:gridSpan w:val="2"/>
            <w:vAlign w:val="center"/>
          </w:tcPr>
          <w:p>
            <w:pPr>
              <w:pStyle w:val="86"/>
              <w:jc w:val="center"/>
              <w:rPr>
                <w:rFonts w:hAnsi="宋体"/>
                <w:b/>
                <w:sz w:val="18"/>
                <w:szCs w:val="18"/>
              </w:rPr>
            </w:pPr>
            <w:r>
              <w:rPr>
                <w:rFonts w:hint="eastAsia" w:hAnsi="宋体"/>
                <w:b/>
                <w:sz w:val="18"/>
                <w:szCs w:val="18"/>
              </w:rPr>
              <w:t>基本要求</w:t>
            </w:r>
          </w:p>
        </w:tc>
        <w:tc>
          <w:tcPr>
            <w:tcW w:w="2518" w:type="pct"/>
            <w:gridSpan w:val="5"/>
            <w:vAlign w:val="center"/>
          </w:tcPr>
          <w:p>
            <w:pPr>
              <w:pStyle w:val="86"/>
              <w:jc w:val="center"/>
              <w:rPr>
                <w:rFonts w:hAnsi="宋体"/>
                <w:b/>
                <w:sz w:val="18"/>
                <w:szCs w:val="18"/>
              </w:rPr>
            </w:pPr>
            <w:r>
              <w:rPr>
                <w:rFonts w:hint="eastAsia" w:hAnsi="宋体"/>
                <w:b/>
                <w:sz w:val="18"/>
                <w:szCs w:val="18"/>
              </w:rPr>
              <w:t>设计建筑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77" w:hRule="atLeast"/>
        </w:trPr>
        <w:tc>
          <w:tcPr>
            <w:tcW w:w="1079" w:type="pct"/>
            <w:gridSpan w:val="2"/>
            <w:vMerge w:val="continue"/>
            <w:vAlign w:val="center"/>
          </w:tcPr>
          <w:p>
            <w:pPr>
              <w:jc w:val="center"/>
              <w:rPr>
                <w:sz w:val="18"/>
                <w:szCs w:val="18"/>
              </w:rPr>
            </w:pPr>
          </w:p>
        </w:tc>
        <w:tc>
          <w:tcPr>
            <w:tcW w:w="1403" w:type="pct"/>
            <w:gridSpan w:val="2"/>
            <w:vAlign w:val="center"/>
          </w:tcPr>
          <w:p>
            <w:pPr>
              <w:pStyle w:val="86"/>
              <w:jc w:val="center"/>
              <w:rPr>
                <w:rFonts w:ascii="Times New Roman" w:eastAsia="Times New Roman"/>
                <w:sz w:val="18"/>
                <w:szCs w:val="18"/>
              </w:rPr>
            </w:pPr>
            <w:r>
              <w:rPr>
                <w:sz w:val="18"/>
                <w:szCs w:val="18"/>
              </w:rPr>
              <w:t>传热系数</w:t>
            </w:r>
            <w:r>
              <w:rPr>
                <w:rFonts w:ascii="Times New Roman" w:eastAsia="Times New Roman"/>
                <w:sz w:val="18"/>
                <w:szCs w:val="18"/>
              </w:rPr>
              <w:t>K [W/(m²·k)]</w:t>
            </w:r>
          </w:p>
        </w:tc>
        <w:tc>
          <w:tcPr>
            <w:tcW w:w="516" w:type="pct"/>
            <w:vMerge w:val="restart"/>
            <w:vAlign w:val="center"/>
          </w:tcPr>
          <w:p>
            <w:pPr>
              <w:pStyle w:val="86"/>
              <w:jc w:val="center"/>
              <w:rPr>
                <w:rFonts w:ascii="Times New Roman"/>
                <w:sz w:val="18"/>
                <w:szCs w:val="18"/>
              </w:rPr>
            </w:pPr>
            <w:r>
              <w:rPr>
                <w:rFonts w:hint="eastAsia"/>
                <w:sz w:val="18"/>
                <w:szCs w:val="18"/>
              </w:rPr>
              <w:t>热惰性指标D</w:t>
            </w:r>
          </w:p>
        </w:tc>
        <w:tc>
          <w:tcPr>
            <w:tcW w:w="537" w:type="pct"/>
            <w:vMerge w:val="restart"/>
            <w:vAlign w:val="center"/>
          </w:tcPr>
          <w:p>
            <w:pPr>
              <w:pStyle w:val="86"/>
              <w:jc w:val="center"/>
              <w:rPr>
                <w:sz w:val="18"/>
                <w:szCs w:val="18"/>
              </w:rPr>
            </w:pPr>
            <w:r>
              <w:rPr>
                <w:rFonts w:hint="eastAsia"/>
                <w:sz w:val="18"/>
                <w:szCs w:val="18"/>
              </w:rPr>
              <w:t>平均</w:t>
            </w:r>
            <w:r>
              <w:rPr>
                <w:sz w:val="18"/>
                <w:szCs w:val="18"/>
              </w:rPr>
              <w:t>传热系数</w:t>
            </w:r>
          </w:p>
          <w:p>
            <w:pPr>
              <w:pStyle w:val="86"/>
              <w:jc w:val="center"/>
              <w:rPr>
                <w:sz w:val="18"/>
                <w:szCs w:val="18"/>
              </w:rPr>
            </w:pPr>
            <w:r>
              <w:rPr>
                <w:rFonts w:ascii="Times New Roman" w:eastAsia="Times New Roman"/>
                <w:sz w:val="18"/>
                <w:szCs w:val="18"/>
              </w:rPr>
              <w:t>[W/(m²·k)]</w:t>
            </w:r>
          </w:p>
        </w:tc>
        <w:tc>
          <w:tcPr>
            <w:tcW w:w="991" w:type="pct"/>
            <w:gridSpan w:val="2"/>
            <w:vMerge w:val="restart"/>
            <w:vAlign w:val="center"/>
          </w:tcPr>
          <w:p>
            <w:pPr>
              <w:pStyle w:val="86"/>
              <w:jc w:val="center"/>
              <w:rPr>
                <w:sz w:val="18"/>
                <w:szCs w:val="18"/>
              </w:rPr>
            </w:pPr>
            <w:r>
              <w:rPr>
                <w:rFonts w:hint="eastAsia"/>
                <w:sz w:val="18"/>
                <w:szCs w:val="18"/>
              </w:rPr>
              <w:t>节能构造措施（节能材料名称、防火隔离带）</w:t>
            </w:r>
          </w:p>
        </w:tc>
        <w:tc>
          <w:tcPr>
            <w:tcW w:w="474" w:type="pct"/>
            <w:vMerge w:val="restart"/>
            <w:vAlign w:val="center"/>
          </w:tcPr>
          <w:p>
            <w:pPr>
              <w:pStyle w:val="86"/>
              <w:jc w:val="center"/>
              <w:rPr>
                <w:spacing w:val="-9"/>
                <w:sz w:val="18"/>
                <w:szCs w:val="18"/>
              </w:rPr>
            </w:pPr>
            <w:r>
              <w:rPr>
                <w:spacing w:val="-8"/>
                <w:sz w:val="18"/>
                <w:szCs w:val="18"/>
              </w:rPr>
              <w:t>燃烧</w:t>
            </w:r>
            <w:r>
              <w:rPr>
                <w:spacing w:val="-9"/>
                <w:sz w:val="18"/>
                <w:szCs w:val="18"/>
              </w:rPr>
              <w:t>性能</w:t>
            </w:r>
          </w:p>
          <w:p>
            <w:pPr>
              <w:pStyle w:val="86"/>
              <w:jc w:val="center"/>
              <w:rPr>
                <w:sz w:val="18"/>
                <w:szCs w:val="18"/>
              </w:rPr>
            </w:pPr>
            <w:r>
              <w:rPr>
                <w:spacing w:val="-1"/>
                <w:sz w:val="18"/>
                <w:szCs w:val="18"/>
              </w:rPr>
              <w:t>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2" w:hRule="atLeast"/>
        </w:trPr>
        <w:tc>
          <w:tcPr>
            <w:tcW w:w="1079" w:type="pct"/>
            <w:gridSpan w:val="2"/>
            <w:vMerge w:val="continue"/>
            <w:vAlign w:val="center"/>
          </w:tcPr>
          <w:p>
            <w:pPr>
              <w:jc w:val="center"/>
              <w:rPr>
                <w:sz w:val="18"/>
                <w:szCs w:val="18"/>
              </w:rPr>
            </w:pPr>
          </w:p>
        </w:tc>
        <w:tc>
          <w:tcPr>
            <w:tcW w:w="583" w:type="pct"/>
            <w:vAlign w:val="center"/>
          </w:tcPr>
          <w:p>
            <w:pPr>
              <w:pStyle w:val="86"/>
              <w:jc w:val="center"/>
              <w:rPr>
                <w:rFonts w:hAnsi="宋体"/>
                <w:sz w:val="18"/>
                <w:szCs w:val="18"/>
              </w:rPr>
            </w:pPr>
            <w:r>
              <w:rPr>
                <w:rFonts w:hint="eastAsia" w:hAnsi="宋体"/>
                <w:sz w:val="18"/>
                <w:szCs w:val="18"/>
              </w:rPr>
              <w:t>D≤2.5</w:t>
            </w:r>
          </w:p>
        </w:tc>
        <w:tc>
          <w:tcPr>
            <w:tcW w:w="820" w:type="pct"/>
            <w:vAlign w:val="center"/>
          </w:tcPr>
          <w:p>
            <w:pPr>
              <w:pStyle w:val="86"/>
              <w:jc w:val="center"/>
              <w:rPr>
                <w:rFonts w:hAnsi="宋体"/>
                <w:sz w:val="18"/>
                <w:szCs w:val="18"/>
              </w:rPr>
            </w:pPr>
            <w:r>
              <w:rPr>
                <w:rFonts w:hint="eastAsia" w:hAnsi="宋体"/>
                <w:sz w:val="18"/>
                <w:szCs w:val="18"/>
              </w:rPr>
              <w:t>D＞2.5</w:t>
            </w:r>
          </w:p>
        </w:tc>
        <w:tc>
          <w:tcPr>
            <w:tcW w:w="516" w:type="pct"/>
            <w:vMerge w:val="continue"/>
            <w:vAlign w:val="center"/>
          </w:tcPr>
          <w:p>
            <w:pPr>
              <w:pStyle w:val="86"/>
              <w:jc w:val="center"/>
              <w:rPr>
                <w:sz w:val="18"/>
                <w:szCs w:val="18"/>
              </w:rPr>
            </w:pPr>
          </w:p>
        </w:tc>
        <w:tc>
          <w:tcPr>
            <w:tcW w:w="537" w:type="pct"/>
            <w:vMerge w:val="continue"/>
            <w:vAlign w:val="center"/>
          </w:tcPr>
          <w:p>
            <w:pPr>
              <w:pStyle w:val="86"/>
              <w:jc w:val="center"/>
              <w:rPr>
                <w:sz w:val="18"/>
                <w:szCs w:val="18"/>
              </w:rPr>
            </w:pPr>
          </w:p>
        </w:tc>
        <w:tc>
          <w:tcPr>
            <w:tcW w:w="991" w:type="pct"/>
            <w:gridSpan w:val="2"/>
            <w:vMerge w:val="continue"/>
            <w:vAlign w:val="center"/>
          </w:tcPr>
          <w:p>
            <w:pPr>
              <w:pStyle w:val="86"/>
              <w:jc w:val="both"/>
              <w:rPr>
                <w:sz w:val="18"/>
                <w:szCs w:val="18"/>
              </w:rPr>
            </w:pPr>
          </w:p>
        </w:tc>
        <w:tc>
          <w:tcPr>
            <w:tcW w:w="474" w:type="pct"/>
            <w:vMerge w:val="continue"/>
            <w:vAlign w:val="center"/>
          </w:tcPr>
          <w:p>
            <w:pPr>
              <w:pStyle w:val="86"/>
              <w:jc w:val="both"/>
              <w:rPr>
                <w:spacing w:val="-1"/>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079" w:type="pct"/>
            <w:gridSpan w:val="2"/>
            <w:vAlign w:val="center"/>
          </w:tcPr>
          <w:p>
            <w:pPr>
              <w:pStyle w:val="86"/>
              <w:jc w:val="center"/>
              <w:rPr>
                <w:sz w:val="18"/>
                <w:szCs w:val="18"/>
              </w:rPr>
            </w:pPr>
            <w:r>
              <w:rPr>
                <w:sz w:val="18"/>
                <w:szCs w:val="18"/>
              </w:rPr>
              <w:t>屋面</w:t>
            </w:r>
          </w:p>
        </w:tc>
        <w:tc>
          <w:tcPr>
            <w:tcW w:w="583" w:type="pct"/>
            <w:vAlign w:val="center"/>
          </w:tcPr>
          <w:p>
            <w:pPr>
              <w:pStyle w:val="86"/>
              <w:jc w:val="center"/>
              <w:rPr>
                <w:rFonts w:hAnsi="宋体"/>
                <w:sz w:val="18"/>
                <w:szCs w:val="18"/>
              </w:rPr>
            </w:pPr>
            <w:r>
              <w:rPr>
                <w:rFonts w:hint="eastAsia" w:hAnsi="宋体"/>
                <w:sz w:val="18"/>
                <w:szCs w:val="18"/>
              </w:rPr>
              <w:t>0.20</w:t>
            </w:r>
          </w:p>
        </w:tc>
        <w:tc>
          <w:tcPr>
            <w:tcW w:w="820" w:type="pct"/>
            <w:vAlign w:val="center"/>
          </w:tcPr>
          <w:p>
            <w:pPr>
              <w:pStyle w:val="86"/>
              <w:jc w:val="center"/>
              <w:rPr>
                <w:rFonts w:hAnsi="宋体"/>
                <w:sz w:val="18"/>
                <w:szCs w:val="18"/>
              </w:rPr>
            </w:pPr>
            <w:r>
              <w:rPr>
                <w:rFonts w:hint="eastAsia" w:hAnsi="宋体"/>
                <w:sz w:val="18"/>
                <w:szCs w:val="18"/>
              </w:rPr>
              <w:t>0.25</w:t>
            </w:r>
          </w:p>
        </w:tc>
        <w:tc>
          <w:tcPr>
            <w:tcW w:w="516" w:type="pct"/>
            <w:vAlign w:val="center"/>
          </w:tcPr>
          <w:p>
            <w:pPr>
              <w:pStyle w:val="86"/>
              <w:jc w:val="center"/>
              <w:rPr>
                <w:rFonts w:ascii="Times New Roman"/>
                <w:sz w:val="18"/>
                <w:szCs w:val="18"/>
              </w:rPr>
            </w:pPr>
          </w:p>
        </w:tc>
        <w:tc>
          <w:tcPr>
            <w:tcW w:w="537" w:type="pct"/>
            <w:vAlign w:val="center"/>
          </w:tcPr>
          <w:p>
            <w:pPr>
              <w:pStyle w:val="86"/>
              <w:jc w:val="center"/>
              <w:rPr>
                <w:rFonts w:ascii="Times New Roman"/>
                <w:sz w:val="18"/>
                <w:szCs w:val="18"/>
              </w:rPr>
            </w:pPr>
          </w:p>
        </w:tc>
        <w:tc>
          <w:tcPr>
            <w:tcW w:w="991" w:type="pct"/>
            <w:gridSpan w:val="2"/>
            <w:vAlign w:val="center"/>
          </w:tcPr>
          <w:p>
            <w:pPr>
              <w:pStyle w:val="86"/>
              <w:jc w:val="both"/>
              <w:rPr>
                <w:rFonts w:ascii="Times New Roman"/>
                <w:sz w:val="18"/>
                <w:szCs w:val="18"/>
              </w:rPr>
            </w:pPr>
          </w:p>
        </w:tc>
        <w:tc>
          <w:tcPr>
            <w:tcW w:w="474" w:type="pct"/>
            <w:vAlign w:val="center"/>
          </w:tcPr>
          <w:p>
            <w:pPr>
              <w:pStyle w:val="86"/>
              <w:jc w:val="both"/>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trPr>
        <w:tc>
          <w:tcPr>
            <w:tcW w:w="1079" w:type="pct"/>
            <w:gridSpan w:val="2"/>
            <w:vAlign w:val="center"/>
          </w:tcPr>
          <w:p>
            <w:pPr>
              <w:pStyle w:val="86"/>
              <w:jc w:val="center"/>
              <w:rPr>
                <w:sz w:val="18"/>
                <w:szCs w:val="18"/>
              </w:rPr>
            </w:pPr>
            <w:r>
              <w:rPr>
                <w:sz w:val="18"/>
                <w:szCs w:val="18"/>
              </w:rPr>
              <w:t>外墙</w:t>
            </w:r>
          </w:p>
        </w:tc>
        <w:tc>
          <w:tcPr>
            <w:tcW w:w="583" w:type="pct"/>
            <w:vAlign w:val="center"/>
          </w:tcPr>
          <w:p>
            <w:pPr>
              <w:pStyle w:val="86"/>
              <w:jc w:val="center"/>
              <w:rPr>
                <w:rFonts w:hAnsi="宋体"/>
                <w:sz w:val="18"/>
                <w:szCs w:val="18"/>
              </w:rPr>
            </w:pPr>
            <w:r>
              <w:rPr>
                <w:rFonts w:hint="eastAsia" w:hAnsi="宋体"/>
                <w:sz w:val="18"/>
                <w:szCs w:val="18"/>
              </w:rPr>
              <w:t>0.60</w:t>
            </w:r>
          </w:p>
        </w:tc>
        <w:tc>
          <w:tcPr>
            <w:tcW w:w="820" w:type="pct"/>
            <w:vAlign w:val="center"/>
          </w:tcPr>
          <w:p>
            <w:pPr>
              <w:pStyle w:val="86"/>
              <w:jc w:val="center"/>
              <w:rPr>
                <w:rFonts w:hAnsi="宋体"/>
                <w:sz w:val="18"/>
                <w:szCs w:val="18"/>
              </w:rPr>
            </w:pPr>
            <w:r>
              <w:rPr>
                <w:rFonts w:hint="eastAsia" w:hAnsi="宋体"/>
                <w:sz w:val="18"/>
                <w:szCs w:val="18"/>
              </w:rPr>
              <w:t>0.90</w:t>
            </w:r>
          </w:p>
        </w:tc>
        <w:tc>
          <w:tcPr>
            <w:tcW w:w="516" w:type="pct"/>
            <w:vAlign w:val="center"/>
          </w:tcPr>
          <w:p>
            <w:pPr>
              <w:pStyle w:val="86"/>
              <w:jc w:val="center"/>
              <w:rPr>
                <w:rFonts w:ascii="Times New Roman"/>
                <w:sz w:val="18"/>
                <w:szCs w:val="18"/>
              </w:rPr>
            </w:pPr>
          </w:p>
        </w:tc>
        <w:tc>
          <w:tcPr>
            <w:tcW w:w="537" w:type="pct"/>
            <w:vAlign w:val="center"/>
          </w:tcPr>
          <w:p>
            <w:pPr>
              <w:pStyle w:val="86"/>
              <w:jc w:val="center"/>
              <w:rPr>
                <w:rFonts w:ascii="Times New Roman"/>
                <w:sz w:val="18"/>
                <w:szCs w:val="18"/>
              </w:rPr>
            </w:pPr>
          </w:p>
        </w:tc>
        <w:tc>
          <w:tcPr>
            <w:tcW w:w="991" w:type="pct"/>
            <w:gridSpan w:val="2"/>
            <w:vAlign w:val="center"/>
          </w:tcPr>
          <w:p>
            <w:pPr>
              <w:pStyle w:val="86"/>
              <w:jc w:val="both"/>
              <w:rPr>
                <w:rFonts w:ascii="Times New Roman"/>
                <w:sz w:val="18"/>
                <w:szCs w:val="18"/>
              </w:rPr>
            </w:pPr>
          </w:p>
        </w:tc>
        <w:tc>
          <w:tcPr>
            <w:tcW w:w="474" w:type="pct"/>
            <w:vAlign w:val="center"/>
          </w:tcPr>
          <w:p>
            <w:pPr>
              <w:pStyle w:val="86"/>
              <w:jc w:val="both"/>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trPr>
        <w:tc>
          <w:tcPr>
            <w:tcW w:w="1079" w:type="pct"/>
            <w:gridSpan w:val="2"/>
            <w:vAlign w:val="center"/>
          </w:tcPr>
          <w:p>
            <w:pPr>
              <w:pStyle w:val="86"/>
              <w:jc w:val="center"/>
              <w:rPr>
                <w:sz w:val="18"/>
                <w:szCs w:val="18"/>
              </w:rPr>
            </w:pPr>
            <w:r>
              <w:rPr>
                <w:rFonts w:hint="eastAsia"/>
                <w:sz w:val="18"/>
                <w:szCs w:val="18"/>
              </w:rPr>
              <w:t>凸窗顶板、底板和侧向不透光部分</w:t>
            </w:r>
          </w:p>
        </w:tc>
        <w:tc>
          <w:tcPr>
            <w:tcW w:w="1403" w:type="pct"/>
            <w:gridSpan w:val="2"/>
            <w:vAlign w:val="center"/>
          </w:tcPr>
          <w:p>
            <w:pPr>
              <w:pStyle w:val="86"/>
              <w:jc w:val="center"/>
              <w:rPr>
                <w:rFonts w:hAnsi="宋体"/>
                <w:sz w:val="18"/>
                <w:szCs w:val="18"/>
              </w:rPr>
            </w:pPr>
            <w:r>
              <w:rPr>
                <w:rFonts w:hint="eastAsia" w:hAnsi="宋体"/>
                <w:sz w:val="18"/>
                <w:szCs w:val="18"/>
              </w:rPr>
              <w:t>1.50</w:t>
            </w:r>
          </w:p>
        </w:tc>
        <w:tc>
          <w:tcPr>
            <w:tcW w:w="516" w:type="pct"/>
            <w:vAlign w:val="center"/>
          </w:tcPr>
          <w:p>
            <w:pPr>
              <w:pStyle w:val="86"/>
              <w:jc w:val="center"/>
              <w:rPr>
                <w:rFonts w:ascii="Times New Roman"/>
                <w:sz w:val="18"/>
                <w:szCs w:val="18"/>
              </w:rPr>
            </w:pPr>
          </w:p>
        </w:tc>
        <w:tc>
          <w:tcPr>
            <w:tcW w:w="537" w:type="pct"/>
            <w:vAlign w:val="center"/>
          </w:tcPr>
          <w:p>
            <w:pPr>
              <w:pStyle w:val="86"/>
              <w:jc w:val="center"/>
              <w:rPr>
                <w:rFonts w:ascii="Times New Roman"/>
                <w:sz w:val="18"/>
                <w:szCs w:val="18"/>
              </w:rPr>
            </w:pPr>
          </w:p>
        </w:tc>
        <w:tc>
          <w:tcPr>
            <w:tcW w:w="991" w:type="pct"/>
            <w:gridSpan w:val="2"/>
            <w:vAlign w:val="center"/>
          </w:tcPr>
          <w:p>
            <w:pPr>
              <w:pStyle w:val="86"/>
              <w:jc w:val="both"/>
              <w:rPr>
                <w:rFonts w:ascii="Times New Roman"/>
                <w:sz w:val="18"/>
                <w:szCs w:val="18"/>
              </w:rPr>
            </w:pPr>
          </w:p>
        </w:tc>
        <w:tc>
          <w:tcPr>
            <w:tcW w:w="474" w:type="pct"/>
            <w:vAlign w:val="center"/>
          </w:tcPr>
          <w:p>
            <w:pPr>
              <w:pStyle w:val="86"/>
              <w:jc w:val="both"/>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1079" w:type="pct"/>
            <w:gridSpan w:val="2"/>
            <w:vAlign w:val="center"/>
          </w:tcPr>
          <w:p>
            <w:pPr>
              <w:pStyle w:val="86"/>
              <w:jc w:val="center"/>
              <w:rPr>
                <w:sz w:val="18"/>
                <w:szCs w:val="18"/>
              </w:rPr>
            </w:pPr>
            <w:r>
              <w:rPr>
                <w:sz w:val="18"/>
                <w:szCs w:val="18"/>
              </w:rPr>
              <w:t>底面接触室外空气的架空或外挑楼板</w:t>
            </w:r>
          </w:p>
        </w:tc>
        <w:tc>
          <w:tcPr>
            <w:tcW w:w="1403" w:type="pct"/>
            <w:gridSpan w:val="2"/>
            <w:vAlign w:val="center"/>
          </w:tcPr>
          <w:p>
            <w:pPr>
              <w:pStyle w:val="86"/>
              <w:jc w:val="center"/>
              <w:rPr>
                <w:rFonts w:hAnsi="宋体"/>
                <w:sz w:val="18"/>
                <w:szCs w:val="18"/>
              </w:rPr>
            </w:pPr>
            <w:r>
              <w:rPr>
                <w:rFonts w:hint="eastAsia" w:hAnsi="宋体"/>
                <w:sz w:val="18"/>
                <w:szCs w:val="18"/>
              </w:rPr>
              <w:t>1.50</w:t>
            </w:r>
          </w:p>
        </w:tc>
        <w:tc>
          <w:tcPr>
            <w:tcW w:w="516" w:type="pct"/>
            <w:vAlign w:val="center"/>
          </w:tcPr>
          <w:p>
            <w:pPr>
              <w:pStyle w:val="86"/>
              <w:jc w:val="center"/>
              <w:rPr>
                <w:rFonts w:ascii="Times New Roman"/>
                <w:sz w:val="18"/>
                <w:szCs w:val="18"/>
              </w:rPr>
            </w:pPr>
          </w:p>
        </w:tc>
        <w:tc>
          <w:tcPr>
            <w:tcW w:w="537" w:type="pct"/>
            <w:vAlign w:val="center"/>
          </w:tcPr>
          <w:p>
            <w:pPr>
              <w:pStyle w:val="86"/>
              <w:jc w:val="center"/>
              <w:rPr>
                <w:rFonts w:ascii="Times New Roman"/>
                <w:sz w:val="18"/>
                <w:szCs w:val="18"/>
              </w:rPr>
            </w:pPr>
          </w:p>
        </w:tc>
        <w:tc>
          <w:tcPr>
            <w:tcW w:w="991" w:type="pct"/>
            <w:gridSpan w:val="2"/>
            <w:vAlign w:val="center"/>
          </w:tcPr>
          <w:p>
            <w:pPr>
              <w:pStyle w:val="86"/>
              <w:jc w:val="both"/>
              <w:rPr>
                <w:rFonts w:ascii="Times New Roman"/>
                <w:sz w:val="18"/>
                <w:szCs w:val="18"/>
              </w:rPr>
            </w:pPr>
          </w:p>
        </w:tc>
        <w:tc>
          <w:tcPr>
            <w:tcW w:w="474" w:type="pct"/>
            <w:vAlign w:val="center"/>
          </w:tcPr>
          <w:p>
            <w:pPr>
              <w:pStyle w:val="86"/>
              <w:jc w:val="both"/>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1079" w:type="pct"/>
            <w:gridSpan w:val="2"/>
            <w:vAlign w:val="center"/>
          </w:tcPr>
          <w:p>
            <w:pPr>
              <w:pStyle w:val="86"/>
              <w:jc w:val="center"/>
              <w:rPr>
                <w:sz w:val="18"/>
                <w:szCs w:val="18"/>
              </w:rPr>
            </w:pPr>
            <w:r>
              <w:rPr>
                <w:rFonts w:hint="eastAsia"/>
                <w:sz w:val="18"/>
                <w:szCs w:val="18"/>
              </w:rPr>
              <w:t>空调供暖房间的分户楼板</w:t>
            </w:r>
          </w:p>
        </w:tc>
        <w:tc>
          <w:tcPr>
            <w:tcW w:w="1403" w:type="pct"/>
            <w:gridSpan w:val="2"/>
            <w:vAlign w:val="center"/>
          </w:tcPr>
          <w:p>
            <w:pPr>
              <w:pStyle w:val="86"/>
              <w:jc w:val="center"/>
              <w:rPr>
                <w:rFonts w:hAnsi="宋体"/>
                <w:sz w:val="18"/>
                <w:szCs w:val="18"/>
              </w:rPr>
            </w:pPr>
            <w:r>
              <w:rPr>
                <w:rFonts w:hint="eastAsia" w:hAnsi="宋体"/>
                <w:sz w:val="18"/>
                <w:szCs w:val="18"/>
              </w:rPr>
              <w:t>1.80</w:t>
            </w:r>
          </w:p>
        </w:tc>
        <w:tc>
          <w:tcPr>
            <w:tcW w:w="516" w:type="pct"/>
            <w:vAlign w:val="center"/>
          </w:tcPr>
          <w:p>
            <w:pPr>
              <w:pStyle w:val="86"/>
              <w:jc w:val="center"/>
              <w:rPr>
                <w:rFonts w:ascii="Times New Roman"/>
                <w:sz w:val="18"/>
                <w:szCs w:val="18"/>
              </w:rPr>
            </w:pPr>
          </w:p>
        </w:tc>
        <w:tc>
          <w:tcPr>
            <w:tcW w:w="537" w:type="pct"/>
            <w:vAlign w:val="center"/>
          </w:tcPr>
          <w:p>
            <w:pPr>
              <w:pStyle w:val="86"/>
              <w:jc w:val="center"/>
              <w:rPr>
                <w:rFonts w:ascii="Times New Roman"/>
                <w:sz w:val="18"/>
                <w:szCs w:val="18"/>
              </w:rPr>
            </w:pPr>
          </w:p>
        </w:tc>
        <w:tc>
          <w:tcPr>
            <w:tcW w:w="991" w:type="pct"/>
            <w:gridSpan w:val="2"/>
            <w:vAlign w:val="center"/>
          </w:tcPr>
          <w:p>
            <w:pPr>
              <w:pStyle w:val="86"/>
              <w:jc w:val="both"/>
              <w:rPr>
                <w:rFonts w:ascii="Times New Roman"/>
                <w:sz w:val="18"/>
                <w:szCs w:val="18"/>
              </w:rPr>
            </w:pPr>
          </w:p>
        </w:tc>
        <w:tc>
          <w:tcPr>
            <w:tcW w:w="474" w:type="pct"/>
            <w:vAlign w:val="center"/>
          </w:tcPr>
          <w:p>
            <w:pPr>
              <w:pStyle w:val="86"/>
              <w:jc w:val="both"/>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435" w:type="pct"/>
            <w:vMerge w:val="restart"/>
            <w:vAlign w:val="center"/>
          </w:tcPr>
          <w:p>
            <w:pPr>
              <w:pStyle w:val="86"/>
              <w:jc w:val="center"/>
              <w:rPr>
                <w:sz w:val="18"/>
                <w:szCs w:val="18"/>
              </w:rPr>
            </w:pPr>
            <w:r>
              <w:rPr>
                <w:rFonts w:hint="eastAsia"/>
                <w:sz w:val="18"/>
                <w:szCs w:val="18"/>
              </w:rPr>
              <w:t>设置地板辐射供暖系统楼板</w:t>
            </w:r>
          </w:p>
        </w:tc>
        <w:tc>
          <w:tcPr>
            <w:tcW w:w="644" w:type="pct"/>
            <w:vAlign w:val="center"/>
          </w:tcPr>
          <w:p>
            <w:pPr>
              <w:pStyle w:val="86"/>
              <w:jc w:val="center"/>
              <w:rPr>
                <w:sz w:val="18"/>
                <w:szCs w:val="18"/>
              </w:rPr>
            </w:pPr>
            <w:r>
              <w:rPr>
                <w:rFonts w:hint="eastAsia"/>
                <w:sz w:val="18"/>
                <w:szCs w:val="18"/>
              </w:rPr>
              <w:t>分户楼板</w:t>
            </w:r>
          </w:p>
        </w:tc>
        <w:tc>
          <w:tcPr>
            <w:tcW w:w="1403" w:type="pct"/>
            <w:gridSpan w:val="2"/>
            <w:vAlign w:val="center"/>
          </w:tcPr>
          <w:p>
            <w:pPr>
              <w:pStyle w:val="86"/>
              <w:jc w:val="center"/>
              <w:rPr>
                <w:rFonts w:hAnsi="宋体"/>
                <w:sz w:val="18"/>
                <w:szCs w:val="18"/>
              </w:rPr>
            </w:pPr>
            <w:r>
              <w:rPr>
                <w:rFonts w:hint="eastAsia" w:hAnsi="宋体"/>
                <w:sz w:val="18"/>
                <w:szCs w:val="18"/>
              </w:rPr>
              <w:t>1.80</w:t>
            </w:r>
          </w:p>
        </w:tc>
        <w:tc>
          <w:tcPr>
            <w:tcW w:w="516" w:type="pct"/>
            <w:vAlign w:val="center"/>
          </w:tcPr>
          <w:p>
            <w:pPr>
              <w:pStyle w:val="86"/>
              <w:jc w:val="center"/>
              <w:rPr>
                <w:rFonts w:ascii="Times New Roman"/>
                <w:sz w:val="18"/>
                <w:szCs w:val="18"/>
              </w:rPr>
            </w:pPr>
          </w:p>
        </w:tc>
        <w:tc>
          <w:tcPr>
            <w:tcW w:w="537" w:type="pct"/>
            <w:vAlign w:val="center"/>
          </w:tcPr>
          <w:p>
            <w:pPr>
              <w:pStyle w:val="86"/>
              <w:jc w:val="center"/>
              <w:rPr>
                <w:rFonts w:ascii="Times New Roman"/>
                <w:sz w:val="18"/>
                <w:szCs w:val="18"/>
              </w:rPr>
            </w:pPr>
          </w:p>
        </w:tc>
        <w:tc>
          <w:tcPr>
            <w:tcW w:w="991" w:type="pct"/>
            <w:gridSpan w:val="2"/>
            <w:vAlign w:val="center"/>
          </w:tcPr>
          <w:p>
            <w:pPr>
              <w:pStyle w:val="86"/>
              <w:jc w:val="both"/>
              <w:rPr>
                <w:rFonts w:ascii="Times New Roman"/>
                <w:sz w:val="18"/>
                <w:szCs w:val="18"/>
              </w:rPr>
            </w:pPr>
          </w:p>
        </w:tc>
        <w:tc>
          <w:tcPr>
            <w:tcW w:w="474" w:type="pct"/>
            <w:vAlign w:val="center"/>
          </w:tcPr>
          <w:p>
            <w:pPr>
              <w:pStyle w:val="86"/>
              <w:jc w:val="both"/>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435" w:type="pct"/>
            <w:vMerge w:val="continue"/>
            <w:vAlign w:val="center"/>
          </w:tcPr>
          <w:p>
            <w:pPr>
              <w:pStyle w:val="86"/>
              <w:jc w:val="center"/>
              <w:rPr>
                <w:sz w:val="18"/>
                <w:szCs w:val="18"/>
              </w:rPr>
            </w:pPr>
          </w:p>
        </w:tc>
        <w:tc>
          <w:tcPr>
            <w:tcW w:w="644" w:type="pct"/>
            <w:vAlign w:val="center"/>
          </w:tcPr>
          <w:p>
            <w:pPr>
              <w:pStyle w:val="86"/>
              <w:jc w:val="center"/>
              <w:rPr>
                <w:sz w:val="18"/>
                <w:szCs w:val="18"/>
              </w:rPr>
            </w:pPr>
            <w:r>
              <w:rPr>
                <w:rFonts w:hint="eastAsia"/>
                <w:sz w:val="18"/>
                <w:szCs w:val="18"/>
              </w:rPr>
              <w:t>与土壤或非供暖空调空间相邻</w:t>
            </w:r>
          </w:p>
        </w:tc>
        <w:tc>
          <w:tcPr>
            <w:tcW w:w="1403" w:type="pct"/>
            <w:gridSpan w:val="2"/>
            <w:vAlign w:val="center"/>
          </w:tcPr>
          <w:p>
            <w:pPr>
              <w:pStyle w:val="86"/>
              <w:jc w:val="center"/>
              <w:rPr>
                <w:rFonts w:hAnsi="宋体"/>
                <w:sz w:val="18"/>
                <w:szCs w:val="18"/>
              </w:rPr>
            </w:pPr>
            <w:r>
              <w:rPr>
                <w:rFonts w:hint="eastAsia" w:hAnsi="宋体"/>
                <w:sz w:val="18"/>
                <w:szCs w:val="18"/>
              </w:rPr>
              <w:t>1.20</w:t>
            </w:r>
          </w:p>
        </w:tc>
        <w:tc>
          <w:tcPr>
            <w:tcW w:w="516" w:type="pct"/>
            <w:vAlign w:val="center"/>
          </w:tcPr>
          <w:p>
            <w:pPr>
              <w:pStyle w:val="86"/>
              <w:jc w:val="center"/>
              <w:rPr>
                <w:rFonts w:ascii="Times New Roman"/>
                <w:sz w:val="18"/>
                <w:szCs w:val="18"/>
              </w:rPr>
            </w:pPr>
          </w:p>
        </w:tc>
        <w:tc>
          <w:tcPr>
            <w:tcW w:w="537" w:type="pct"/>
            <w:vAlign w:val="center"/>
          </w:tcPr>
          <w:p>
            <w:pPr>
              <w:pStyle w:val="86"/>
              <w:jc w:val="center"/>
              <w:rPr>
                <w:rFonts w:ascii="Times New Roman"/>
                <w:sz w:val="18"/>
                <w:szCs w:val="18"/>
              </w:rPr>
            </w:pPr>
          </w:p>
        </w:tc>
        <w:tc>
          <w:tcPr>
            <w:tcW w:w="991" w:type="pct"/>
            <w:gridSpan w:val="2"/>
            <w:vAlign w:val="center"/>
          </w:tcPr>
          <w:p>
            <w:pPr>
              <w:pStyle w:val="86"/>
              <w:jc w:val="both"/>
              <w:rPr>
                <w:rFonts w:ascii="Times New Roman"/>
                <w:sz w:val="18"/>
                <w:szCs w:val="18"/>
              </w:rPr>
            </w:pPr>
          </w:p>
        </w:tc>
        <w:tc>
          <w:tcPr>
            <w:tcW w:w="474" w:type="pct"/>
            <w:vAlign w:val="center"/>
          </w:tcPr>
          <w:p>
            <w:pPr>
              <w:pStyle w:val="86"/>
              <w:jc w:val="both"/>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435" w:type="pct"/>
            <w:vMerge w:val="continue"/>
            <w:vAlign w:val="center"/>
          </w:tcPr>
          <w:p>
            <w:pPr>
              <w:pStyle w:val="86"/>
              <w:jc w:val="center"/>
              <w:rPr>
                <w:sz w:val="18"/>
                <w:szCs w:val="18"/>
              </w:rPr>
            </w:pPr>
          </w:p>
        </w:tc>
        <w:tc>
          <w:tcPr>
            <w:tcW w:w="644" w:type="pct"/>
            <w:vAlign w:val="center"/>
          </w:tcPr>
          <w:p>
            <w:pPr>
              <w:pStyle w:val="86"/>
              <w:jc w:val="center"/>
              <w:rPr>
                <w:sz w:val="18"/>
                <w:szCs w:val="18"/>
              </w:rPr>
            </w:pPr>
            <w:r>
              <w:rPr>
                <w:rFonts w:hint="eastAsia"/>
                <w:sz w:val="18"/>
                <w:szCs w:val="18"/>
              </w:rPr>
              <w:t>与室外空气相邻</w:t>
            </w:r>
          </w:p>
        </w:tc>
        <w:tc>
          <w:tcPr>
            <w:tcW w:w="1403" w:type="pct"/>
            <w:gridSpan w:val="2"/>
            <w:vAlign w:val="center"/>
          </w:tcPr>
          <w:p>
            <w:pPr>
              <w:pStyle w:val="86"/>
              <w:jc w:val="center"/>
              <w:rPr>
                <w:rFonts w:hAnsi="宋体"/>
                <w:sz w:val="18"/>
                <w:szCs w:val="18"/>
              </w:rPr>
            </w:pPr>
            <w:r>
              <w:rPr>
                <w:rFonts w:hint="eastAsia" w:hAnsi="宋体"/>
                <w:sz w:val="18"/>
                <w:szCs w:val="18"/>
              </w:rPr>
              <w:t>0.80</w:t>
            </w:r>
          </w:p>
        </w:tc>
        <w:tc>
          <w:tcPr>
            <w:tcW w:w="516" w:type="pct"/>
            <w:vAlign w:val="center"/>
          </w:tcPr>
          <w:p>
            <w:pPr>
              <w:pStyle w:val="86"/>
              <w:jc w:val="center"/>
              <w:rPr>
                <w:rFonts w:ascii="Times New Roman"/>
                <w:sz w:val="18"/>
                <w:szCs w:val="18"/>
              </w:rPr>
            </w:pPr>
          </w:p>
        </w:tc>
        <w:tc>
          <w:tcPr>
            <w:tcW w:w="537" w:type="pct"/>
            <w:vAlign w:val="center"/>
          </w:tcPr>
          <w:p>
            <w:pPr>
              <w:pStyle w:val="86"/>
              <w:jc w:val="center"/>
              <w:rPr>
                <w:rFonts w:ascii="Times New Roman"/>
                <w:sz w:val="18"/>
                <w:szCs w:val="18"/>
              </w:rPr>
            </w:pPr>
          </w:p>
        </w:tc>
        <w:tc>
          <w:tcPr>
            <w:tcW w:w="991" w:type="pct"/>
            <w:gridSpan w:val="2"/>
            <w:vAlign w:val="center"/>
          </w:tcPr>
          <w:p>
            <w:pPr>
              <w:pStyle w:val="86"/>
              <w:jc w:val="both"/>
              <w:rPr>
                <w:rFonts w:ascii="Times New Roman"/>
                <w:sz w:val="18"/>
                <w:szCs w:val="18"/>
              </w:rPr>
            </w:pPr>
          </w:p>
        </w:tc>
        <w:tc>
          <w:tcPr>
            <w:tcW w:w="474" w:type="pct"/>
            <w:vAlign w:val="center"/>
          </w:tcPr>
          <w:p>
            <w:pPr>
              <w:pStyle w:val="86"/>
              <w:jc w:val="both"/>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1079" w:type="pct"/>
            <w:gridSpan w:val="2"/>
            <w:vAlign w:val="center"/>
          </w:tcPr>
          <w:p>
            <w:pPr>
              <w:pStyle w:val="86"/>
              <w:jc w:val="center"/>
              <w:rPr>
                <w:sz w:val="18"/>
                <w:szCs w:val="18"/>
              </w:rPr>
            </w:pPr>
            <w:r>
              <w:rPr>
                <w:rFonts w:hint="eastAsia"/>
                <w:sz w:val="18"/>
                <w:szCs w:val="18"/>
              </w:rPr>
              <w:t>分户墙、封闭楼梯间（或防烟楼梯间）隔墙、前室（或合用显示）隔墙、封闭外走廊隔墙</w:t>
            </w:r>
          </w:p>
        </w:tc>
        <w:tc>
          <w:tcPr>
            <w:tcW w:w="1403" w:type="pct"/>
            <w:gridSpan w:val="2"/>
            <w:vAlign w:val="center"/>
          </w:tcPr>
          <w:p>
            <w:pPr>
              <w:pStyle w:val="86"/>
              <w:jc w:val="center"/>
              <w:rPr>
                <w:rFonts w:hAnsi="宋体"/>
                <w:sz w:val="18"/>
                <w:szCs w:val="18"/>
              </w:rPr>
            </w:pPr>
            <w:r>
              <w:rPr>
                <w:rFonts w:hint="eastAsia" w:hAnsi="宋体"/>
                <w:sz w:val="18"/>
                <w:szCs w:val="18"/>
              </w:rPr>
              <w:t>1.50</w:t>
            </w:r>
          </w:p>
        </w:tc>
        <w:tc>
          <w:tcPr>
            <w:tcW w:w="516" w:type="pct"/>
            <w:vAlign w:val="center"/>
          </w:tcPr>
          <w:p>
            <w:pPr>
              <w:pStyle w:val="86"/>
              <w:jc w:val="center"/>
              <w:rPr>
                <w:rFonts w:ascii="Times New Roman"/>
                <w:sz w:val="18"/>
                <w:szCs w:val="18"/>
              </w:rPr>
            </w:pPr>
          </w:p>
        </w:tc>
        <w:tc>
          <w:tcPr>
            <w:tcW w:w="537" w:type="pct"/>
            <w:vAlign w:val="center"/>
          </w:tcPr>
          <w:p>
            <w:pPr>
              <w:pStyle w:val="86"/>
              <w:jc w:val="center"/>
              <w:rPr>
                <w:rFonts w:ascii="Times New Roman"/>
                <w:sz w:val="18"/>
                <w:szCs w:val="18"/>
              </w:rPr>
            </w:pPr>
          </w:p>
        </w:tc>
        <w:tc>
          <w:tcPr>
            <w:tcW w:w="991" w:type="pct"/>
            <w:gridSpan w:val="2"/>
            <w:vAlign w:val="center"/>
          </w:tcPr>
          <w:p>
            <w:pPr>
              <w:pStyle w:val="86"/>
              <w:jc w:val="both"/>
              <w:rPr>
                <w:rFonts w:ascii="Times New Roman"/>
                <w:sz w:val="18"/>
                <w:szCs w:val="18"/>
              </w:rPr>
            </w:pPr>
          </w:p>
        </w:tc>
        <w:tc>
          <w:tcPr>
            <w:tcW w:w="474" w:type="pct"/>
            <w:vAlign w:val="center"/>
          </w:tcPr>
          <w:p>
            <w:pPr>
              <w:pStyle w:val="86"/>
              <w:jc w:val="both"/>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435" w:type="pct"/>
            <w:vMerge w:val="restart"/>
            <w:vAlign w:val="center"/>
          </w:tcPr>
          <w:p>
            <w:pPr>
              <w:pStyle w:val="86"/>
              <w:jc w:val="center"/>
              <w:rPr>
                <w:sz w:val="18"/>
                <w:szCs w:val="18"/>
              </w:rPr>
            </w:pPr>
            <w:r>
              <w:rPr>
                <w:rFonts w:hint="eastAsia"/>
                <w:sz w:val="18"/>
                <w:szCs w:val="18"/>
              </w:rPr>
              <w:t>户门</w:t>
            </w:r>
          </w:p>
        </w:tc>
        <w:tc>
          <w:tcPr>
            <w:tcW w:w="644" w:type="pct"/>
            <w:vAlign w:val="center"/>
          </w:tcPr>
          <w:p>
            <w:pPr>
              <w:pStyle w:val="86"/>
              <w:jc w:val="center"/>
              <w:rPr>
                <w:sz w:val="18"/>
                <w:szCs w:val="18"/>
              </w:rPr>
            </w:pPr>
            <w:r>
              <w:rPr>
                <w:rFonts w:hint="eastAsia"/>
                <w:sz w:val="18"/>
                <w:szCs w:val="18"/>
              </w:rPr>
              <w:t>通往封闭空间</w:t>
            </w:r>
          </w:p>
        </w:tc>
        <w:tc>
          <w:tcPr>
            <w:tcW w:w="1403" w:type="pct"/>
            <w:gridSpan w:val="2"/>
            <w:vAlign w:val="center"/>
          </w:tcPr>
          <w:p>
            <w:pPr>
              <w:pStyle w:val="86"/>
              <w:jc w:val="center"/>
              <w:rPr>
                <w:rFonts w:hAnsi="宋体"/>
                <w:sz w:val="18"/>
                <w:szCs w:val="18"/>
              </w:rPr>
            </w:pPr>
            <w:r>
              <w:rPr>
                <w:rFonts w:hint="eastAsia" w:hAnsi="宋体"/>
                <w:sz w:val="18"/>
                <w:szCs w:val="18"/>
              </w:rPr>
              <w:t>2.00</w:t>
            </w:r>
          </w:p>
        </w:tc>
        <w:tc>
          <w:tcPr>
            <w:tcW w:w="516" w:type="pct"/>
            <w:vAlign w:val="center"/>
          </w:tcPr>
          <w:p>
            <w:pPr>
              <w:pStyle w:val="86"/>
              <w:jc w:val="center"/>
              <w:rPr>
                <w:rFonts w:ascii="Times New Roman"/>
                <w:sz w:val="18"/>
                <w:szCs w:val="18"/>
              </w:rPr>
            </w:pPr>
          </w:p>
        </w:tc>
        <w:tc>
          <w:tcPr>
            <w:tcW w:w="537" w:type="pct"/>
            <w:vAlign w:val="center"/>
          </w:tcPr>
          <w:p>
            <w:pPr>
              <w:pStyle w:val="86"/>
              <w:jc w:val="center"/>
              <w:rPr>
                <w:rFonts w:ascii="Times New Roman"/>
                <w:sz w:val="18"/>
                <w:szCs w:val="18"/>
              </w:rPr>
            </w:pPr>
          </w:p>
        </w:tc>
        <w:tc>
          <w:tcPr>
            <w:tcW w:w="991" w:type="pct"/>
            <w:gridSpan w:val="2"/>
            <w:vAlign w:val="center"/>
          </w:tcPr>
          <w:p>
            <w:pPr>
              <w:pStyle w:val="86"/>
              <w:jc w:val="both"/>
              <w:rPr>
                <w:rFonts w:ascii="Times New Roman"/>
                <w:sz w:val="18"/>
                <w:szCs w:val="18"/>
              </w:rPr>
            </w:pPr>
          </w:p>
        </w:tc>
        <w:tc>
          <w:tcPr>
            <w:tcW w:w="474" w:type="pct"/>
            <w:vAlign w:val="center"/>
          </w:tcPr>
          <w:p>
            <w:pPr>
              <w:pStyle w:val="86"/>
              <w:jc w:val="both"/>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3" w:hRule="atLeast"/>
        </w:trPr>
        <w:tc>
          <w:tcPr>
            <w:tcW w:w="435" w:type="pct"/>
            <w:vMerge w:val="continue"/>
            <w:vAlign w:val="center"/>
          </w:tcPr>
          <w:p>
            <w:pPr>
              <w:pStyle w:val="86"/>
              <w:jc w:val="center"/>
              <w:rPr>
                <w:sz w:val="18"/>
                <w:szCs w:val="18"/>
              </w:rPr>
            </w:pPr>
          </w:p>
        </w:tc>
        <w:tc>
          <w:tcPr>
            <w:tcW w:w="644" w:type="pct"/>
            <w:vAlign w:val="center"/>
          </w:tcPr>
          <w:p>
            <w:pPr>
              <w:pStyle w:val="86"/>
              <w:jc w:val="center"/>
              <w:rPr>
                <w:sz w:val="18"/>
                <w:szCs w:val="18"/>
              </w:rPr>
            </w:pPr>
            <w:r>
              <w:rPr>
                <w:rFonts w:hint="eastAsia"/>
                <w:sz w:val="18"/>
                <w:szCs w:val="18"/>
              </w:rPr>
              <w:t>通往非封闭空间或户外</w:t>
            </w:r>
          </w:p>
        </w:tc>
        <w:tc>
          <w:tcPr>
            <w:tcW w:w="1403" w:type="pct"/>
            <w:gridSpan w:val="2"/>
            <w:vAlign w:val="center"/>
          </w:tcPr>
          <w:p>
            <w:pPr>
              <w:pStyle w:val="86"/>
              <w:jc w:val="center"/>
              <w:rPr>
                <w:rFonts w:hAnsi="宋体"/>
                <w:sz w:val="18"/>
                <w:szCs w:val="18"/>
              </w:rPr>
            </w:pPr>
            <w:r>
              <w:rPr>
                <w:rFonts w:hint="eastAsia" w:hAnsi="宋体"/>
                <w:sz w:val="18"/>
                <w:szCs w:val="18"/>
              </w:rPr>
              <w:t>1.80</w:t>
            </w:r>
          </w:p>
        </w:tc>
        <w:tc>
          <w:tcPr>
            <w:tcW w:w="516" w:type="pct"/>
            <w:vAlign w:val="center"/>
          </w:tcPr>
          <w:p>
            <w:pPr>
              <w:pStyle w:val="86"/>
              <w:jc w:val="center"/>
              <w:rPr>
                <w:rFonts w:ascii="Times New Roman"/>
                <w:sz w:val="18"/>
                <w:szCs w:val="18"/>
              </w:rPr>
            </w:pPr>
          </w:p>
        </w:tc>
        <w:tc>
          <w:tcPr>
            <w:tcW w:w="537" w:type="pct"/>
            <w:vAlign w:val="center"/>
          </w:tcPr>
          <w:p>
            <w:pPr>
              <w:pStyle w:val="86"/>
              <w:jc w:val="center"/>
              <w:rPr>
                <w:rFonts w:ascii="Times New Roman"/>
                <w:sz w:val="18"/>
                <w:szCs w:val="18"/>
              </w:rPr>
            </w:pPr>
          </w:p>
        </w:tc>
        <w:tc>
          <w:tcPr>
            <w:tcW w:w="991" w:type="pct"/>
            <w:gridSpan w:val="2"/>
            <w:vAlign w:val="center"/>
          </w:tcPr>
          <w:p>
            <w:pPr>
              <w:pStyle w:val="86"/>
              <w:jc w:val="both"/>
              <w:rPr>
                <w:rFonts w:ascii="Times New Roman"/>
                <w:sz w:val="18"/>
                <w:szCs w:val="18"/>
              </w:rPr>
            </w:pPr>
          </w:p>
        </w:tc>
        <w:tc>
          <w:tcPr>
            <w:tcW w:w="474" w:type="pct"/>
            <w:vAlign w:val="center"/>
          </w:tcPr>
          <w:p>
            <w:pPr>
              <w:pStyle w:val="86"/>
              <w:jc w:val="both"/>
              <w:rPr>
                <w:rFonts w:ascii="Times New Roman"/>
                <w:sz w:val="18"/>
                <w:szCs w:val="18"/>
              </w:rPr>
            </w:pPr>
          </w:p>
        </w:tc>
      </w:tr>
    </w:tbl>
    <w:p>
      <w:pPr>
        <w:spacing w:before="124" w:beforeLines="40" w:after="124" w:afterLines="40"/>
        <w:jc w:val="left"/>
        <w:rPr>
          <w:rFonts w:hAnsi="宋体" w:cs="宋体"/>
          <w:kern w:val="0"/>
          <w:szCs w:val="21"/>
        </w:rPr>
      </w:pPr>
    </w:p>
    <w:tbl>
      <w:tblPr>
        <w:tblStyle w:val="44"/>
        <w:tblW w:w="10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49"/>
        <w:gridCol w:w="1124"/>
        <w:gridCol w:w="515"/>
        <w:gridCol w:w="726"/>
        <w:gridCol w:w="101"/>
        <w:gridCol w:w="774"/>
        <w:gridCol w:w="780"/>
        <w:gridCol w:w="891"/>
        <w:gridCol w:w="932"/>
        <w:gridCol w:w="924"/>
        <w:gridCol w:w="964"/>
        <w:gridCol w:w="771"/>
        <w:gridCol w:w="329"/>
        <w:gridCol w:w="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2" w:hRule="atLeast"/>
          <w:jc w:val="center"/>
        </w:trPr>
        <w:tc>
          <w:tcPr>
            <w:tcW w:w="849" w:type="dxa"/>
            <w:vAlign w:val="center"/>
          </w:tcPr>
          <w:p>
            <w:pPr>
              <w:pStyle w:val="86"/>
              <w:jc w:val="center"/>
              <w:rPr>
                <w:b/>
                <w:bCs/>
                <w:sz w:val="18"/>
                <w:szCs w:val="18"/>
              </w:rPr>
            </w:pPr>
            <w:r>
              <w:rPr>
                <w:rFonts w:hint="eastAsia"/>
                <w:b/>
                <w:bCs/>
                <w:sz w:val="18"/>
                <w:szCs w:val="18"/>
              </w:rPr>
              <w:t>围护结构</w:t>
            </w:r>
          </w:p>
        </w:tc>
        <w:tc>
          <w:tcPr>
            <w:tcW w:w="4020" w:type="dxa"/>
            <w:gridSpan w:val="6"/>
            <w:vAlign w:val="center"/>
          </w:tcPr>
          <w:p>
            <w:pPr>
              <w:pStyle w:val="86"/>
              <w:jc w:val="center"/>
              <w:rPr>
                <w:b/>
                <w:bCs/>
                <w:sz w:val="18"/>
                <w:szCs w:val="18"/>
              </w:rPr>
            </w:pPr>
            <w:r>
              <w:rPr>
                <w:rFonts w:hint="eastAsia"/>
                <w:b/>
                <w:bCs/>
                <w:sz w:val="18"/>
                <w:szCs w:val="18"/>
              </w:rPr>
              <w:t>基本要求</w:t>
            </w:r>
          </w:p>
        </w:tc>
        <w:tc>
          <w:tcPr>
            <w:tcW w:w="5605" w:type="dxa"/>
            <w:gridSpan w:val="7"/>
            <w:vAlign w:val="center"/>
          </w:tcPr>
          <w:p>
            <w:pPr>
              <w:pStyle w:val="86"/>
              <w:jc w:val="center"/>
              <w:rPr>
                <w:b/>
                <w:bCs/>
                <w:sz w:val="18"/>
                <w:szCs w:val="18"/>
              </w:rPr>
            </w:pPr>
            <w:r>
              <w:rPr>
                <w:rFonts w:hint="eastAsia"/>
                <w:b/>
                <w:bCs/>
                <w:sz w:val="18"/>
                <w:szCs w:val="18"/>
              </w:rPr>
              <w:t>设计建筑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4" w:hRule="atLeast"/>
          <w:jc w:val="center"/>
        </w:trPr>
        <w:tc>
          <w:tcPr>
            <w:tcW w:w="849" w:type="dxa"/>
            <w:vMerge w:val="restart"/>
            <w:vAlign w:val="center"/>
          </w:tcPr>
          <w:p>
            <w:pPr>
              <w:jc w:val="center"/>
              <w:rPr>
                <w:sz w:val="18"/>
                <w:szCs w:val="18"/>
              </w:rPr>
            </w:pPr>
            <w:r>
              <w:rPr>
                <w:rFonts w:hint="eastAsia"/>
                <w:sz w:val="18"/>
                <w:szCs w:val="18"/>
              </w:rPr>
              <w:t>外窗</w:t>
            </w:r>
          </w:p>
        </w:tc>
        <w:tc>
          <w:tcPr>
            <w:tcW w:w="1639" w:type="dxa"/>
            <w:gridSpan w:val="2"/>
            <w:vMerge w:val="restart"/>
            <w:vAlign w:val="center"/>
          </w:tcPr>
          <w:p>
            <w:pPr>
              <w:pStyle w:val="86"/>
              <w:jc w:val="center"/>
              <w:rPr>
                <w:sz w:val="18"/>
                <w:szCs w:val="18"/>
              </w:rPr>
            </w:pPr>
          </w:p>
          <w:p>
            <w:pPr>
              <w:pStyle w:val="86"/>
              <w:jc w:val="center"/>
              <w:rPr>
                <w:sz w:val="18"/>
                <w:szCs w:val="18"/>
              </w:rPr>
            </w:pPr>
            <w:r>
              <w:rPr>
                <w:sz w:val="18"/>
                <w:szCs w:val="18"/>
              </w:rPr>
              <w:t>平均窗墙面积比</w:t>
            </w:r>
          </w:p>
        </w:tc>
        <w:tc>
          <w:tcPr>
            <w:tcW w:w="827" w:type="dxa"/>
            <w:gridSpan w:val="2"/>
            <w:vMerge w:val="restart"/>
            <w:vAlign w:val="center"/>
          </w:tcPr>
          <w:p>
            <w:pPr>
              <w:pStyle w:val="86"/>
              <w:jc w:val="center"/>
              <w:rPr>
                <w:sz w:val="18"/>
                <w:szCs w:val="18"/>
              </w:rPr>
            </w:pPr>
          </w:p>
          <w:p>
            <w:pPr>
              <w:pStyle w:val="86"/>
              <w:jc w:val="center"/>
              <w:rPr>
                <w:sz w:val="18"/>
                <w:szCs w:val="18"/>
              </w:rPr>
            </w:pPr>
            <w:r>
              <w:rPr>
                <w:spacing w:val="-2"/>
                <w:sz w:val="18"/>
                <w:szCs w:val="18"/>
              </w:rPr>
              <w:t>传热系数</w:t>
            </w:r>
          </w:p>
          <w:p>
            <w:pPr>
              <w:pStyle w:val="86"/>
              <w:jc w:val="center"/>
              <w:rPr>
                <w:rFonts w:ascii="Times New Roman"/>
                <w:sz w:val="18"/>
                <w:szCs w:val="18"/>
              </w:rPr>
            </w:pPr>
            <w:r>
              <w:rPr>
                <w:rFonts w:ascii="Times New Roman"/>
                <w:sz w:val="18"/>
                <w:szCs w:val="18"/>
              </w:rPr>
              <w:t>[W/(m</w:t>
            </w:r>
            <w:r>
              <w:rPr>
                <w:rFonts w:ascii="Times New Roman"/>
                <w:position w:val="5"/>
                <w:sz w:val="18"/>
                <w:szCs w:val="18"/>
              </w:rPr>
              <w:t>²</w:t>
            </w:r>
            <w:r>
              <w:rPr>
                <w:rFonts w:ascii="Times New Roman"/>
                <w:sz w:val="18"/>
                <w:szCs w:val="18"/>
              </w:rPr>
              <w:t>·k)]</w:t>
            </w:r>
          </w:p>
        </w:tc>
        <w:tc>
          <w:tcPr>
            <w:tcW w:w="1554" w:type="dxa"/>
            <w:gridSpan w:val="2"/>
            <w:vAlign w:val="center"/>
          </w:tcPr>
          <w:p>
            <w:pPr>
              <w:pStyle w:val="86"/>
              <w:jc w:val="center"/>
              <w:rPr>
                <w:sz w:val="18"/>
                <w:szCs w:val="18"/>
              </w:rPr>
            </w:pPr>
            <w:r>
              <w:rPr>
                <w:spacing w:val="-2"/>
                <w:sz w:val="18"/>
                <w:szCs w:val="18"/>
              </w:rPr>
              <w:t>太阳得热系数</w:t>
            </w:r>
            <w:r>
              <w:rPr>
                <w:rFonts w:ascii="Times New Roman" w:eastAsia="Times New Roman"/>
                <w:spacing w:val="-1"/>
                <w:sz w:val="18"/>
                <w:szCs w:val="18"/>
              </w:rPr>
              <w:t>S</w:t>
            </w:r>
            <w:r>
              <w:rPr>
                <w:rFonts w:ascii="Times New Roman" w:eastAsia="Times New Roman"/>
                <w:spacing w:val="-2"/>
                <w:sz w:val="18"/>
                <w:szCs w:val="18"/>
              </w:rPr>
              <w:t>HG</w:t>
            </w:r>
            <w:r>
              <w:rPr>
                <w:rFonts w:ascii="Times New Roman" w:eastAsia="Times New Roman"/>
                <w:spacing w:val="-74"/>
                <w:sz w:val="18"/>
                <w:szCs w:val="18"/>
              </w:rPr>
              <w:t>C</w:t>
            </w:r>
          </w:p>
        </w:tc>
        <w:tc>
          <w:tcPr>
            <w:tcW w:w="891" w:type="dxa"/>
            <w:vMerge w:val="restart"/>
            <w:vAlign w:val="center"/>
          </w:tcPr>
          <w:p>
            <w:pPr>
              <w:pStyle w:val="86"/>
              <w:jc w:val="center"/>
              <w:rPr>
                <w:sz w:val="18"/>
                <w:szCs w:val="18"/>
              </w:rPr>
            </w:pPr>
          </w:p>
          <w:p>
            <w:pPr>
              <w:pStyle w:val="86"/>
              <w:jc w:val="center"/>
              <w:rPr>
                <w:sz w:val="18"/>
                <w:szCs w:val="18"/>
              </w:rPr>
            </w:pPr>
            <w:r>
              <w:rPr>
                <w:sz w:val="18"/>
                <w:szCs w:val="18"/>
              </w:rPr>
              <w:t>朝向</w:t>
            </w:r>
          </w:p>
        </w:tc>
        <w:tc>
          <w:tcPr>
            <w:tcW w:w="932" w:type="dxa"/>
            <w:vMerge w:val="restart"/>
            <w:vAlign w:val="center"/>
          </w:tcPr>
          <w:p>
            <w:pPr>
              <w:pStyle w:val="86"/>
              <w:jc w:val="center"/>
              <w:rPr>
                <w:sz w:val="18"/>
                <w:szCs w:val="18"/>
              </w:rPr>
            </w:pPr>
          </w:p>
          <w:p>
            <w:pPr>
              <w:pStyle w:val="86"/>
              <w:jc w:val="center"/>
              <w:rPr>
                <w:rFonts w:ascii="Times New Roman"/>
                <w:sz w:val="18"/>
                <w:szCs w:val="18"/>
              </w:rPr>
            </w:pPr>
            <w:r>
              <w:rPr>
                <w:sz w:val="18"/>
                <w:szCs w:val="18"/>
              </w:rPr>
              <w:t>平均</w:t>
            </w:r>
            <w:r>
              <w:rPr>
                <w:rFonts w:hint="eastAsia"/>
                <w:sz w:val="18"/>
                <w:szCs w:val="18"/>
              </w:rPr>
              <w:t>窗墙面积比</w:t>
            </w:r>
          </w:p>
        </w:tc>
        <w:tc>
          <w:tcPr>
            <w:tcW w:w="924" w:type="dxa"/>
            <w:vMerge w:val="restart"/>
            <w:vAlign w:val="center"/>
          </w:tcPr>
          <w:p>
            <w:pPr>
              <w:pStyle w:val="86"/>
              <w:jc w:val="center"/>
              <w:rPr>
                <w:rFonts w:ascii="Times New Roman"/>
                <w:sz w:val="18"/>
                <w:szCs w:val="18"/>
              </w:rPr>
            </w:pPr>
            <w:r>
              <w:rPr>
                <w:sz w:val="18"/>
                <w:szCs w:val="18"/>
              </w:rPr>
              <w:t>传热系数</w:t>
            </w:r>
            <w:r>
              <w:rPr>
                <w:rFonts w:ascii="Times New Roman" w:eastAsia="Times New Roman"/>
                <w:sz w:val="18"/>
                <w:szCs w:val="18"/>
              </w:rPr>
              <w:t xml:space="preserve"> [W/(m²·k</w:t>
            </w:r>
            <w:r>
              <w:rPr>
                <w:rFonts w:ascii="Times New Roman"/>
                <w:sz w:val="18"/>
                <w:szCs w:val="18"/>
              </w:rPr>
              <w:t>)]</w:t>
            </w:r>
          </w:p>
        </w:tc>
        <w:tc>
          <w:tcPr>
            <w:tcW w:w="964" w:type="dxa"/>
            <w:vMerge w:val="restart"/>
            <w:vAlign w:val="center"/>
          </w:tcPr>
          <w:p>
            <w:pPr>
              <w:pStyle w:val="86"/>
              <w:jc w:val="center"/>
              <w:rPr>
                <w:sz w:val="18"/>
                <w:szCs w:val="18"/>
              </w:rPr>
            </w:pPr>
            <w:r>
              <w:rPr>
                <w:spacing w:val="-2"/>
                <w:sz w:val="18"/>
                <w:szCs w:val="18"/>
              </w:rPr>
              <w:t>太阳得热系数</w:t>
            </w:r>
            <w:r>
              <w:rPr>
                <w:rFonts w:ascii="Times New Roman" w:eastAsia="Times New Roman"/>
                <w:spacing w:val="-1"/>
                <w:sz w:val="18"/>
                <w:szCs w:val="18"/>
              </w:rPr>
              <w:t>S</w:t>
            </w:r>
            <w:r>
              <w:rPr>
                <w:rFonts w:ascii="Times New Roman" w:eastAsia="Times New Roman"/>
                <w:spacing w:val="-2"/>
                <w:sz w:val="18"/>
                <w:szCs w:val="18"/>
              </w:rPr>
              <w:t>HG</w:t>
            </w:r>
            <w:r>
              <w:rPr>
                <w:rFonts w:ascii="Times New Roman" w:eastAsia="Times New Roman"/>
                <w:spacing w:val="-74"/>
                <w:sz w:val="18"/>
                <w:szCs w:val="18"/>
              </w:rPr>
              <w:t>C</w:t>
            </w:r>
          </w:p>
        </w:tc>
        <w:tc>
          <w:tcPr>
            <w:tcW w:w="1100" w:type="dxa"/>
            <w:gridSpan w:val="2"/>
            <w:vMerge w:val="restart"/>
            <w:vAlign w:val="center"/>
          </w:tcPr>
          <w:p>
            <w:pPr>
              <w:pStyle w:val="86"/>
              <w:jc w:val="center"/>
              <w:rPr>
                <w:sz w:val="18"/>
                <w:szCs w:val="18"/>
              </w:rPr>
            </w:pPr>
            <w:r>
              <w:rPr>
                <w:spacing w:val="24"/>
                <w:sz w:val="18"/>
                <w:szCs w:val="18"/>
              </w:rPr>
              <w:t>型材及玻</w:t>
            </w:r>
            <w:r>
              <w:rPr>
                <w:spacing w:val="-15"/>
                <w:sz w:val="18"/>
                <w:szCs w:val="18"/>
              </w:rPr>
              <w:t>璃选型</w:t>
            </w:r>
            <w:r>
              <w:rPr>
                <w:sz w:val="18"/>
                <w:szCs w:val="18"/>
              </w:rPr>
              <w:t>（</w:t>
            </w:r>
            <w:r>
              <w:rPr>
                <w:spacing w:val="-15"/>
                <w:sz w:val="18"/>
                <w:szCs w:val="18"/>
              </w:rPr>
              <w:t>型</w:t>
            </w:r>
            <w:r>
              <w:rPr>
                <w:spacing w:val="-13"/>
                <w:sz w:val="18"/>
                <w:szCs w:val="18"/>
              </w:rPr>
              <w:t>材品种、气</w:t>
            </w:r>
            <w:r>
              <w:rPr>
                <w:spacing w:val="24"/>
                <w:sz w:val="18"/>
                <w:szCs w:val="18"/>
              </w:rPr>
              <w:t>体层种类</w:t>
            </w:r>
            <w:r>
              <w:rPr>
                <w:spacing w:val="-13"/>
                <w:sz w:val="18"/>
                <w:szCs w:val="18"/>
              </w:rPr>
              <w:t>及厚度、玻</w:t>
            </w:r>
            <w:r>
              <w:rPr>
                <w:sz w:val="18"/>
                <w:szCs w:val="18"/>
              </w:rPr>
              <w:t>璃品种）</w:t>
            </w:r>
          </w:p>
          <w:p>
            <w:pPr>
              <w:pStyle w:val="86"/>
              <w:jc w:val="center"/>
              <w:rPr>
                <w:sz w:val="18"/>
                <w:szCs w:val="18"/>
              </w:rPr>
            </w:pPr>
          </w:p>
        </w:tc>
        <w:tc>
          <w:tcPr>
            <w:tcW w:w="794" w:type="dxa"/>
            <w:vMerge w:val="restart"/>
            <w:vAlign w:val="center"/>
          </w:tcPr>
          <w:p>
            <w:pPr>
              <w:pStyle w:val="86"/>
              <w:jc w:val="center"/>
              <w:rPr>
                <w:sz w:val="18"/>
                <w:szCs w:val="18"/>
              </w:rPr>
            </w:pPr>
          </w:p>
          <w:p>
            <w:pPr>
              <w:pStyle w:val="86"/>
              <w:jc w:val="center"/>
              <w:rPr>
                <w:sz w:val="18"/>
                <w:szCs w:val="18"/>
              </w:rPr>
            </w:pPr>
            <w:r>
              <w:rPr>
                <w:sz w:val="18"/>
                <w:szCs w:val="18"/>
              </w:rPr>
              <w:t>是否</w:t>
            </w:r>
            <w:r>
              <w:rPr>
                <w:rFonts w:hint="eastAsia"/>
                <w:sz w:val="18"/>
                <w:szCs w:val="18"/>
              </w:rPr>
              <w:t>设置可调节外遮阳或可调节中置式遮阳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4" w:hRule="atLeast"/>
          <w:jc w:val="center"/>
        </w:trPr>
        <w:tc>
          <w:tcPr>
            <w:tcW w:w="849" w:type="dxa"/>
            <w:vMerge w:val="continue"/>
            <w:vAlign w:val="center"/>
          </w:tcPr>
          <w:p>
            <w:pPr>
              <w:pStyle w:val="86"/>
              <w:jc w:val="center"/>
            </w:pPr>
          </w:p>
        </w:tc>
        <w:tc>
          <w:tcPr>
            <w:tcW w:w="1639" w:type="dxa"/>
            <w:gridSpan w:val="2"/>
            <w:vMerge w:val="continue"/>
            <w:vAlign w:val="center"/>
          </w:tcPr>
          <w:p>
            <w:pPr>
              <w:pStyle w:val="86"/>
              <w:jc w:val="center"/>
            </w:pPr>
          </w:p>
        </w:tc>
        <w:tc>
          <w:tcPr>
            <w:tcW w:w="827" w:type="dxa"/>
            <w:gridSpan w:val="2"/>
            <w:vMerge w:val="continue"/>
            <w:vAlign w:val="center"/>
          </w:tcPr>
          <w:p>
            <w:pPr>
              <w:pStyle w:val="86"/>
              <w:jc w:val="center"/>
            </w:pPr>
          </w:p>
        </w:tc>
        <w:tc>
          <w:tcPr>
            <w:tcW w:w="774" w:type="dxa"/>
            <w:vAlign w:val="center"/>
          </w:tcPr>
          <w:p>
            <w:pPr>
              <w:pStyle w:val="86"/>
              <w:jc w:val="center"/>
              <w:rPr>
                <w:sz w:val="18"/>
                <w:szCs w:val="18"/>
              </w:rPr>
            </w:pPr>
            <w:r>
              <w:rPr>
                <w:rFonts w:hint="eastAsia"/>
                <w:sz w:val="18"/>
                <w:szCs w:val="18"/>
              </w:rPr>
              <w:t>南</w:t>
            </w:r>
          </w:p>
        </w:tc>
        <w:tc>
          <w:tcPr>
            <w:tcW w:w="780" w:type="dxa"/>
            <w:vAlign w:val="center"/>
          </w:tcPr>
          <w:p>
            <w:pPr>
              <w:pStyle w:val="86"/>
              <w:jc w:val="center"/>
              <w:rPr>
                <w:sz w:val="18"/>
                <w:szCs w:val="18"/>
              </w:rPr>
            </w:pPr>
            <w:r>
              <w:rPr>
                <w:rFonts w:hint="eastAsia"/>
                <w:sz w:val="18"/>
                <w:szCs w:val="18"/>
              </w:rPr>
              <w:t>东、西</w:t>
            </w:r>
          </w:p>
        </w:tc>
        <w:tc>
          <w:tcPr>
            <w:tcW w:w="891" w:type="dxa"/>
            <w:vMerge w:val="continue"/>
            <w:vAlign w:val="center"/>
          </w:tcPr>
          <w:p>
            <w:pPr>
              <w:pStyle w:val="86"/>
              <w:jc w:val="center"/>
              <w:rPr>
                <w:sz w:val="18"/>
                <w:szCs w:val="18"/>
              </w:rPr>
            </w:pPr>
          </w:p>
        </w:tc>
        <w:tc>
          <w:tcPr>
            <w:tcW w:w="932" w:type="dxa"/>
            <w:vMerge w:val="continue"/>
            <w:vAlign w:val="center"/>
          </w:tcPr>
          <w:p>
            <w:pPr>
              <w:pStyle w:val="86"/>
              <w:jc w:val="center"/>
              <w:rPr>
                <w:sz w:val="18"/>
                <w:szCs w:val="18"/>
              </w:rPr>
            </w:pPr>
          </w:p>
        </w:tc>
        <w:tc>
          <w:tcPr>
            <w:tcW w:w="924" w:type="dxa"/>
            <w:vMerge w:val="continue"/>
            <w:vAlign w:val="center"/>
          </w:tcPr>
          <w:p>
            <w:pPr>
              <w:pStyle w:val="86"/>
              <w:jc w:val="center"/>
              <w:rPr>
                <w:sz w:val="18"/>
                <w:szCs w:val="18"/>
              </w:rPr>
            </w:pPr>
          </w:p>
        </w:tc>
        <w:tc>
          <w:tcPr>
            <w:tcW w:w="964" w:type="dxa"/>
            <w:vMerge w:val="continue"/>
            <w:vAlign w:val="center"/>
          </w:tcPr>
          <w:p>
            <w:pPr>
              <w:pStyle w:val="86"/>
              <w:jc w:val="center"/>
              <w:rPr>
                <w:sz w:val="18"/>
                <w:szCs w:val="18"/>
              </w:rPr>
            </w:pPr>
          </w:p>
        </w:tc>
        <w:tc>
          <w:tcPr>
            <w:tcW w:w="1100" w:type="dxa"/>
            <w:gridSpan w:val="2"/>
            <w:vMerge w:val="continue"/>
            <w:vAlign w:val="center"/>
          </w:tcPr>
          <w:p>
            <w:pPr>
              <w:pStyle w:val="86"/>
              <w:jc w:val="center"/>
              <w:rPr>
                <w:sz w:val="18"/>
                <w:szCs w:val="18"/>
              </w:rPr>
            </w:pPr>
          </w:p>
        </w:tc>
        <w:tc>
          <w:tcPr>
            <w:tcW w:w="794" w:type="dxa"/>
            <w:vMerge w:val="continue"/>
            <w:vAlign w:val="center"/>
          </w:tcPr>
          <w:p>
            <w:pPr>
              <w:pStyle w:val="86"/>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3" w:hRule="atLeast"/>
          <w:jc w:val="center"/>
        </w:trPr>
        <w:tc>
          <w:tcPr>
            <w:tcW w:w="849" w:type="dxa"/>
            <w:vMerge w:val="continue"/>
            <w:vAlign w:val="center"/>
          </w:tcPr>
          <w:p>
            <w:pPr>
              <w:jc w:val="center"/>
              <w:rPr>
                <w:sz w:val="18"/>
                <w:szCs w:val="18"/>
              </w:rPr>
            </w:pPr>
          </w:p>
        </w:tc>
        <w:tc>
          <w:tcPr>
            <w:tcW w:w="1639" w:type="dxa"/>
            <w:gridSpan w:val="2"/>
            <w:vAlign w:val="center"/>
          </w:tcPr>
          <w:p>
            <w:pPr>
              <w:pStyle w:val="86"/>
              <w:jc w:val="center"/>
              <w:rPr>
                <w:rFonts w:hAnsi="宋体"/>
                <w:sz w:val="18"/>
                <w:szCs w:val="18"/>
              </w:rPr>
            </w:pPr>
            <w:r>
              <w:rPr>
                <w:rFonts w:hAnsi="宋体"/>
                <w:sz w:val="18"/>
                <w:szCs w:val="18"/>
              </w:rPr>
              <w:t>≤0.</w:t>
            </w:r>
            <w:r>
              <w:rPr>
                <w:rFonts w:hint="eastAsia" w:hAnsi="宋体"/>
                <w:sz w:val="18"/>
                <w:szCs w:val="18"/>
              </w:rPr>
              <w:t>40</w:t>
            </w:r>
          </w:p>
        </w:tc>
        <w:tc>
          <w:tcPr>
            <w:tcW w:w="827" w:type="dxa"/>
            <w:gridSpan w:val="2"/>
            <w:vAlign w:val="center"/>
          </w:tcPr>
          <w:p>
            <w:pPr>
              <w:pStyle w:val="86"/>
              <w:jc w:val="center"/>
              <w:rPr>
                <w:rFonts w:hAnsi="宋体"/>
                <w:sz w:val="18"/>
                <w:szCs w:val="18"/>
              </w:rPr>
            </w:pPr>
            <w:r>
              <w:rPr>
                <w:rFonts w:hint="eastAsia" w:hAnsi="宋体"/>
                <w:sz w:val="18"/>
                <w:szCs w:val="18"/>
              </w:rPr>
              <w:t>1.90</w:t>
            </w:r>
          </w:p>
        </w:tc>
        <w:tc>
          <w:tcPr>
            <w:tcW w:w="774" w:type="dxa"/>
            <w:vAlign w:val="center"/>
          </w:tcPr>
          <w:p>
            <w:pPr>
              <w:pStyle w:val="86"/>
              <w:jc w:val="center"/>
              <w:rPr>
                <w:rFonts w:hAnsi="宋体"/>
                <w:sz w:val="18"/>
                <w:szCs w:val="18"/>
              </w:rPr>
            </w:pPr>
            <w:r>
              <w:rPr>
                <w:rFonts w:hint="eastAsia" w:hAnsi="宋体"/>
                <w:sz w:val="18"/>
                <w:szCs w:val="18"/>
              </w:rPr>
              <w:t>夏≤0.45</w:t>
            </w:r>
          </w:p>
        </w:tc>
        <w:tc>
          <w:tcPr>
            <w:tcW w:w="780" w:type="dxa"/>
            <w:vAlign w:val="center"/>
          </w:tcPr>
          <w:p>
            <w:pPr>
              <w:pStyle w:val="86"/>
              <w:jc w:val="center"/>
              <w:rPr>
                <w:rFonts w:hAnsi="宋体"/>
                <w:sz w:val="18"/>
                <w:szCs w:val="18"/>
              </w:rPr>
            </w:pPr>
            <w:r>
              <w:rPr>
                <w:rFonts w:hint="eastAsia" w:hAnsi="宋体"/>
                <w:sz w:val="18"/>
                <w:szCs w:val="18"/>
              </w:rPr>
              <w:t>夏≤0.40</w:t>
            </w:r>
          </w:p>
        </w:tc>
        <w:tc>
          <w:tcPr>
            <w:tcW w:w="891" w:type="dxa"/>
            <w:vAlign w:val="center"/>
          </w:tcPr>
          <w:p>
            <w:pPr>
              <w:pStyle w:val="86"/>
              <w:jc w:val="center"/>
              <w:rPr>
                <w:rFonts w:ascii="Times New Roman"/>
                <w:sz w:val="18"/>
                <w:szCs w:val="18"/>
              </w:rPr>
            </w:pPr>
          </w:p>
        </w:tc>
        <w:tc>
          <w:tcPr>
            <w:tcW w:w="932" w:type="dxa"/>
            <w:vAlign w:val="center"/>
          </w:tcPr>
          <w:p>
            <w:pPr>
              <w:pStyle w:val="86"/>
              <w:jc w:val="center"/>
              <w:rPr>
                <w:rFonts w:ascii="Times New Roman"/>
                <w:sz w:val="18"/>
                <w:szCs w:val="18"/>
              </w:rPr>
            </w:pPr>
          </w:p>
        </w:tc>
        <w:tc>
          <w:tcPr>
            <w:tcW w:w="924" w:type="dxa"/>
            <w:vAlign w:val="center"/>
          </w:tcPr>
          <w:p>
            <w:pPr>
              <w:pStyle w:val="86"/>
              <w:jc w:val="center"/>
              <w:rPr>
                <w:rFonts w:ascii="Times New Roman"/>
                <w:sz w:val="18"/>
                <w:szCs w:val="18"/>
              </w:rPr>
            </w:pPr>
          </w:p>
        </w:tc>
        <w:tc>
          <w:tcPr>
            <w:tcW w:w="964" w:type="dxa"/>
            <w:vAlign w:val="center"/>
          </w:tcPr>
          <w:p>
            <w:pPr>
              <w:pStyle w:val="86"/>
              <w:jc w:val="center"/>
              <w:rPr>
                <w:rFonts w:ascii="Times New Roman"/>
                <w:sz w:val="18"/>
                <w:szCs w:val="18"/>
              </w:rPr>
            </w:pPr>
          </w:p>
        </w:tc>
        <w:tc>
          <w:tcPr>
            <w:tcW w:w="1100" w:type="dxa"/>
            <w:gridSpan w:val="2"/>
            <w:vAlign w:val="center"/>
          </w:tcPr>
          <w:p>
            <w:pPr>
              <w:pStyle w:val="86"/>
              <w:jc w:val="center"/>
              <w:rPr>
                <w:rFonts w:ascii="Times New Roman"/>
                <w:sz w:val="18"/>
                <w:szCs w:val="18"/>
              </w:rPr>
            </w:pPr>
          </w:p>
        </w:tc>
        <w:tc>
          <w:tcPr>
            <w:tcW w:w="794" w:type="dxa"/>
            <w:vAlign w:val="center"/>
          </w:tcPr>
          <w:p>
            <w:pPr>
              <w:pStyle w:val="86"/>
              <w:jc w:val="center"/>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3" w:hRule="atLeast"/>
          <w:jc w:val="center"/>
        </w:trPr>
        <w:tc>
          <w:tcPr>
            <w:tcW w:w="849" w:type="dxa"/>
            <w:vMerge w:val="continue"/>
            <w:vAlign w:val="center"/>
          </w:tcPr>
          <w:p>
            <w:pPr>
              <w:jc w:val="center"/>
              <w:rPr>
                <w:sz w:val="18"/>
                <w:szCs w:val="18"/>
              </w:rPr>
            </w:pPr>
          </w:p>
        </w:tc>
        <w:tc>
          <w:tcPr>
            <w:tcW w:w="1639" w:type="dxa"/>
            <w:gridSpan w:val="2"/>
            <w:vAlign w:val="center"/>
          </w:tcPr>
          <w:p>
            <w:pPr>
              <w:pStyle w:val="86"/>
              <w:jc w:val="center"/>
              <w:rPr>
                <w:rFonts w:hAnsi="宋体"/>
                <w:sz w:val="18"/>
                <w:szCs w:val="18"/>
              </w:rPr>
            </w:pPr>
            <w:r>
              <w:rPr>
                <w:rFonts w:hint="eastAsia" w:hAnsi="宋体"/>
                <w:sz w:val="18"/>
                <w:szCs w:val="18"/>
              </w:rPr>
              <w:t>＞</w:t>
            </w:r>
            <w:r>
              <w:rPr>
                <w:rFonts w:hAnsi="宋体"/>
                <w:sz w:val="18"/>
                <w:szCs w:val="18"/>
              </w:rPr>
              <w:t>0.</w:t>
            </w:r>
            <w:r>
              <w:rPr>
                <w:rFonts w:hint="eastAsia" w:hAnsi="宋体"/>
                <w:sz w:val="18"/>
                <w:szCs w:val="18"/>
              </w:rPr>
              <w:t>40</w:t>
            </w:r>
          </w:p>
        </w:tc>
        <w:tc>
          <w:tcPr>
            <w:tcW w:w="827" w:type="dxa"/>
            <w:gridSpan w:val="2"/>
            <w:vAlign w:val="center"/>
          </w:tcPr>
          <w:p>
            <w:pPr>
              <w:pStyle w:val="86"/>
              <w:jc w:val="center"/>
              <w:rPr>
                <w:rFonts w:hAnsi="宋体"/>
                <w:sz w:val="18"/>
                <w:szCs w:val="18"/>
              </w:rPr>
            </w:pPr>
            <w:r>
              <w:rPr>
                <w:rFonts w:hint="eastAsia" w:hAnsi="宋体"/>
                <w:sz w:val="18"/>
                <w:szCs w:val="18"/>
              </w:rPr>
              <w:t>1.80</w:t>
            </w:r>
          </w:p>
        </w:tc>
        <w:tc>
          <w:tcPr>
            <w:tcW w:w="774" w:type="dxa"/>
            <w:vAlign w:val="center"/>
          </w:tcPr>
          <w:p>
            <w:pPr>
              <w:pStyle w:val="86"/>
              <w:jc w:val="center"/>
              <w:rPr>
                <w:rFonts w:hAnsi="宋体"/>
                <w:sz w:val="18"/>
                <w:szCs w:val="18"/>
              </w:rPr>
            </w:pPr>
            <w:r>
              <w:rPr>
                <w:rFonts w:hint="eastAsia" w:hAnsi="宋体"/>
                <w:sz w:val="18"/>
                <w:szCs w:val="18"/>
              </w:rPr>
              <w:t>夏≤0.40</w:t>
            </w:r>
          </w:p>
        </w:tc>
        <w:tc>
          <w:tcPr>
            <w:tcW w:w="780" w:type="dxa"/>
            <w:vAlign w:val="center"/>
          </w:tcPr>
          <w:p>
            <w:pPr>
              <w:pStyle w:val="86"/>
              <w:jc w:val="center"/>
              <w:rPr>
                <w:rFonts w:hAnsi="宋体"/>
                <w:sz w:val="18"/>
                <w:szCs w:val="18"/>
              </w:rPr>
            </w:pPr>
            <w:r>
              <w:rPr>
                <w:rFonts w:hint="eastAsia" w:hAnsi="宋体"/>
                <w:sz w:val="18"/>
                <w:szCs w:val="18"/>
              </w:rPr>
              <w:t>夏≤0.35</w:t>
            </w:r>
          </w:p>
        </w:tc>
        <w:tc>
          <w:tcPr>
            <w:tcW w:w="891" w:type="dxa"/>
            <w:vAlign w:val="center"/>
          </w:tcPr>
          <w:p>
            <w:pPr>
              <w:pStyle w:val="86"/>
              <w:jc w:val="center"/>
              <w:rPr>
                <w:rFonts w:ascii="Times New Roman"/>
                <w:sz w:val="18"/>
                <w:szCs w:val="18"/>
              </w:rPr>
            </w:pPr>
          </w:p>
        </w:tc>
        <w:tc>
          <w:tcPr>
            <w:tcW w:w="932" w:type="dxa"/>
            <w:vAlign w:val="center"/>
          </w:tcPr>
          <w:p>
            <w:pPr>
              <w:pStyle w:val="86"/>
              <w:jc w:val="center"/>
              <w:rPr>
                <w:rFonts w:ascii="Times New Roman"/>
                <w:sz w:val="18"/>
                <w:szCs w:val="18"/>
              </w:rPr>
            </w:pPr>
          </w:p>
        </w:tc>
        <w:tc>
          <w:tcPr>
            <w:tcW w:w="924" w:type="dxa"/>
            <w:vAlign w:val="center"/>
          </w:tcPr>
          <w:p>
            <w:pPr>
              <w:pStyle w:val="86"/>
              <w:jc w:val="center"/>
              <w:rPr>
                <w:rFonts w:ascii="Times New Roman"/>
                <w:sz w:val="18"/>
                <w:szCs w:val="18"/>
              </w:rPr>
            </w:pPr>
          </w:p>
        </w:tc>
        <w:tc>
          <w:tcPr>
            <w:tcW w:w="964" w:type="dxa"/>
            <w:vAlign w:val="center"/>
          </w:tcPr>
          <w:p>
            <w:pPr>
              <w:pStyle w:val="86"/>
              <w:jc w:val="center"/>
              <w:rPr>
                <w:rFonts w:ascii="Times New Roman"/>
                <w:sz w:val="18"/>
                <w:szCs w:val="18"/>
              </w:rPr>
            </w:pPr>
          </w:p>
        </w:tc>
        <w:tc>
          <w:tcPr>
            <w:tcW w:w="1100" w:type="dxa"/>
            <w:gridSpan w:val="2"/>
            <w:vAlign w:val="center"/>
          </w:tcPr>
          <w:p>
            <w:pPr>
              <w:pStyle w:val="86"/>
              <w:jc w:val="center"/>
              <w:rPr>
                <w:rFonts w:ascii="Times New Roman"/>
                <w:sz w:val="18"/>
                <w:szCs w:val="18"/>
              </w:rPr>
            </w:pPr>
          </w:p>
        </w:tc>
        <w:tc>
          <w:tcPr>
            <w:tcW w:w="794" w:type="dxa"/>
            <w:vAlign w:val="center"/>
          </w:tcPr>
          <w:p>
            <w:pPr>
              <w:pStyle w:val="86"/>
              <w:jc w:val="center"/>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3" w:hRule="atLeast"/>
          <w:jc w:val="center"/>
        </w:trPr>
        <w:tc>
          <w:tcPr>
            <w:tcW w:w="849" w:type="dxa"/>
            <w:vMerge w:val="continue"/>
            <w:vAlign w:val="center"/>
          </w:tcPr>
          <w:p>
            <w:pPr>
              <w:jc w:val="center"/>
              <w:rPr>
                <w:sz w:val="18"/>
                <w:szCs w:val="18"/>
              </w:rPr>
            </w:pPr>
          </w:p>
        </w:tc>
        <w:tc>
          <w:tcPr>
            <w:tcW w:w="1639" w:type="dxa"/>
            <w:gridSpan w:val="2"/>
            <w:vAlign w:val="center"/>
          </w:tcPr>
          <w:p>
            <w:pPr>
              <w:pStyle w:val="86"/>
              <w:jc w:val="center"/>
              <w:rPr>
                <w:rFonts w:hAnsi="宋体"/>
                <w:sz w:val="18"/>
                <w:szCs w:val="18"/>
              </w:rPr>
            </w:pPr>
            <w:r>
              <w:rPr>
                <w:rFonts w:hint="eastAsia" w:hAnsi="宋体"/>
                <w:sz w:val="18"/>
                <w:szCs w:val="18"/>
              </w:rPr>
              <w:t>非空调空间的外窗</w:t>
            </w:r>
          </w:p>
        </w:tc>
        <w:tc>
          <w:tcPr>
            <w:tcW w:w="827" w:type="dxa"/>
            <w:gridSpan w:val="2"/>
            <w:vAlign w:val="center"/>
          </w:tcPr>
          <w:p>
            <w:pPr>
              <w:pStyle w:val="86"/>
              <w:jc w:val="center"/>
              <w:rPr>
                <w:rFonts w:hAnsi="宋体"/>
                <w:sz w:val="18"/>
                <w:szCs w:val="18"/>
              </w:rPr>
            </w:pPr>
            <w:r>
              <w:rPr>
                <w:rFonts w:hint="eastAsia" w:hAnsi="宋体"/>
                <w:sz w:val="18"/>
                <w:szCs w:val="18"/>
              </w:rPr>
              <w:t>≤2.4</w:t>
            </w:r>
          </w:p>
        </w:tc>
        <w:tc>
          <w:tcPr>
            <w:tcW w:w="774" w:type="dxa"/>
            <w:vAlign w:val="center"/>
          </w:tcPr>
          <w:p>
            <w:pPr>
              <w:pStyle w:val="86"/>
              <w:jc w:val="center"/>
              <w:rPr>
                <w:rFonts w:hAnsi="宋体"/>
                <w:sz w:val="18"/>
                <w:szCs w:val="18"/>
              </w:rPr>
            </w:pPr>
            <w:r>
              <w:rPr>
                <w:rFonts w:hint="eastAsia" w:hAnsi="宋体"/>
                <w:sz w:val="18"/>
                <w:szCs w:val="18"/>
              </w:rPr>
              <w:t>夏≤0.40</w:t>
            </w:r>
          </w:p>
        </w:tc>
        <w:tc>
          <w:tcPr>
            <w:tcW w:w="780" w:type="dxa"/>
            <w:vAlign w:val="center"/>
          </w:tcPr>
          <w:p>
            <w:pPr>
              <w:pStyle w:val="86"/>
              <w:jc w:val="center"/>
              <w:rPr>
                <w:rFonts w:hAnsi="宋体"/>
                <w:sz w:val="18"/>
                <w:szCs w:val="18"/>
              </w:rPr>
            </w:pPr>
            <w:r>
              <w:rPr>
                <w:rFonts w:hint="eastAsia" w:hAnsi="宋体"/>
                <w:sz w:val="18"/>
                <w:szCs w:val="18"/>
              </w:rPr>
              <w:t>夏≤0.40</w:t>
            </w:r>
          </w:p>
        </w:tc>
        <w:tc>
          <w:tcPr>
            <w:tcW w:w="891" w:type="dxa"/>
            <w:vAlign w:val="center"/>
          </w:tcPr>
          <w:p>
            <w:pPr>
              <w:pStyle w:val="86"/>
              <w:jc w:val="center"/>
              <w:rPr>
                <w:rFonts w:ascii="Times New Roman"/>
                <w:sz w:val="18"/>
                <w:szCs w:val="18"/>
              </w:rPr>
            </w:pPr>
          </w:p>
        </w:tc>
        <w:tc>
          <w:tcPr>
            <w:tcW w:w="932" w:type="dxa"/>
            <w:vAlign w:val="center"/>
          </w:tcPr>
          <w:p>
            <w:pPr>
              <w:pStyle w:val="86"/>
              <w:jc w:val="center"/>
              <w:rPr>
                <w:rFonts w:ascii="Times New Roman"/>
                <w:sz w:val="18"/>
                <w:szCs w:val="18"/>
              </w:rPr>
            </w:pPr>
          </w:p>
        </w:tc>
        <w:tc>
          <w:tcPr>
            <w:tcW w:w="924" w:type="dxa"/>
            <w:vAlign w:val="center"/>
          </w:tcPr>
          <w:p>
            <w:pPr>
              <w:pStyle w:val="86"/>
              <w:jc w:val="center"/>
              <w:rPr>
                <w:rFonts w:ascii="Times New Roman"/>
                <w:sz w:val="18"/>
                <w:szCs w:val="18"/>
              </w:rPr>
            </w:pPr>
          </w:p>
        </w:tc>
        <w:tc>
          <w:tcPr>
            <w:tcW w:w="964" w:type="dxa"/>
            <w:vAlign w:val="center"/>
          </w:tcPr>
          <w:p>
            <w:pPr>
              <w:pStyle w:val="86"/>
              <w:jc w:val="center"/>
              <w:rPr>
                <w:rFonts w:ascii="Times New Roman"/>
                <w:sz w:val="18"/>
                <w:szCs w:val="18"/>
              </w:rPr>
            </w:pPr>
          </w:p>
        </w:tc>
        <w:tc>
          <w:tcPr>
            <w:tcW w:w="1100" w:type="dxa"/>
            <w:gridSpan w:val="2"/>
            <w:vAlign w:val="center"/>
          </w:tcPr>
          <w:p>
            <w:pPr>
              <w:pStyle w:val="86"/>
              <w:jc w:val="center"/>
              <w:rPr>
                <w:rFonts w:ascii="Times New Roman"/>
                <w:sz w:val="18"/>
                <w:szCs w:val="18"/>
              </w:rPr>
            </w:pPr>
          </w:p>
        </w:tc>
        <w:tc>
          <w:tcPr>
            <w:tcW w:w="794" w:type="dxa"/>
            <w:vAlign w:val="center"/>
          </w:tcPr>
          <w:p>
            <w:pPr>
              <w:pStyle w:val="86"/>
              <w:jc w:val="center"/>
              <w:rPr>
                <w:rFonts w:ascii="Times New Roman"/>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3" w:hRule="atLeast"/>
          <w:jc w:val="center"/>
        </w:trPr>
        <w:tc>
          <w:tcPr>
            <w:tcW w:w="849" w:type="dxa"/>
            <w:vMerge w:val="continue"/>
            <w:vAlign w:val="center"/>
          </w:tcPr>
          <w:p>
            <w:pPr>
              <w:jc w:val="center"/>
              <w:rPr>
                <w:sz w:val="18"/>
                <w:szCs w:val="18"/>
              </w:rPr>
            </w:pPr>
          </w:p>
        </w:tc>
        <w:tc>
          <w:tcPr>
            <w:tcW w:w="1124" w:type="dxa"/>
            <w:vAlign w:val="center"/>
          </w:tcPr>
          <w:p>
            <w:pPr>
              <w:pStyle w:val="86"/>
              <w:jc w:val="center"/>
              <w:rPr>
                <w:sz w:val="18"/>
                <w:szCs w:val="18"/>
              </w:rPr>
            </w:pPr>
            <w:r>
              <w:rPr>
                <w:rFonts w:hint="eastAsia"/>
                <w:sz w:val="18"/>
                <w:szCs w:val="18"/>
              </w:rPr>
              <w:t>凸窗</w:t>
            </w:r>
          </w:p>
        </w:tc>
        <w:tc>
          <w:tcPr>
            <w:tcW w:w="2896" w:type="dxa"/>
            <w:gridSpan w:val="5"/>
            <w:vAlign w:val="center"/>
          </w:tcPr>
          <w:p>
            <w:pPr>
              <w:pStyle w:val="86"/>
              <w:jc w:val="center"/>
              <w:rPr>
                <w:rFonts w:ascii="Times New Roman"/>
                <w:sz w:val="18"/>
                <w:szCs w:val="18"/>
              </w:rPr>
            </w:pPr>
            <w:r>
              <w:rPr>
                <w:rFonts w:hint="eastAsia"/>
                <w:sz w:val="18"/>
                <w:szCs w:val="18"/>
              </w:rPr>
              <w:t>传热系数基本要求K≤1.80</w:t>
            </w:r>
          </w:p>
        </w:tc>
        <w:tc>
          <w:tcPr>
            <w:tcW w:w="5605" w:type="dxa"/>
            <w:gridSpan w:val="7"/>
            <w:vAlign w:val="center"/>
          </w:tcPr>
          <w:p>
            <w:pPr>
              <w:pStyle w:val="86"/>
              <w:jc w:val="center"/>
              <w:rPr>
                <w:rFonts w:ascii="Times New Roman"/>
                <w:sz w:val="18"/>
                <w:szCs w:val="18"/>
              </w:rPr>
            </w:pPr>
            <w:r>
              <w:rPr>
                <w:rFonts w:hint="eastAsia" w:ascii="Times New Roman"/>
                <w:sz w:val="18"/>
                <w:szCs w:val="18"/>
              </w:rPr>
              <w:t>（填写相关朝向凸窗K值）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0" w:hRule="atLeast"/>
          <w:jc w:val="center"/>
        </w:trPr>
        <w:tc>
          <w:tcPr>
            <w:tcW w:w="849" w:type="dxa"/>
            <w:vMerge w:val="continue"/>
            <w:vAlign w:val="center"/>
          </w:tcPr>
          <w:p>
            <w:pPr>
              <w:jc w:val="center"/>
              <w:rPr>
                <w:sz w:val="18"/>
                <w:szCs w:val="18"/>
              </w:rPr>
            </w:pPr>
          </w:p>
        </w:tc>
        <w:tc>
          <w:tcPr>
            <w:tcW w:w="1124" w:type="dxa"/>
            <w:vMerge w:val="restart"/>
            <w:vAlign w:val="center"/>
          </w:tcPr>
          <w:p>
            <w:pPr>
              <w:pStyle w:val="86"/>
              <w:jc w:val="center"/>
              <w:rPr>
                <w:sz w:val="18"/>
                <w:szCs w:val="18"/>
              </w:rPr>
            </w:pPr>
            <w:r>
              <w:rPr>
                <w:rFonts w:hint="eastAsia"/>
                <w:sz w:val="18"/>
                <w:szCs w:val="18"/>
              </w:rPr>
              <w:t>天窗</w:t>
            </w:r>
          </w:p>
        </w:tc>
        <w:tc>
          <w:tcPr>
            <w:tcW w:w="2896" w:type="dxa"/>
            <w:gridSpan w:val="5"/>
            <w:vAlign w:val="center"/>
          </w:tcPr>
          <w:p>
            <w:pPr>
              <w:pStyle w:val="86"/>
              <w:jc w:val="center"/>
              <w:rPr>
                <w:sz w:val="18"/>
                <w:szCs w:val="18"/>
              </w:rPr>
            </w:pPr>
            <w:r>
              <w:rPr>
                <w:rFonts w:hint="eastAsia"/>
                <w:sz w:val="18"/>
                <w:szCs w:val="18"/>
              </w:rPr>
              <w:t>总面积≤屋顶总面积的5%</w:t>
            </w:r>
          </w:p>
        </w:tc>
        <w:tc>
          <w:tcPr>
            <w:tcW w:w="1823" w:type="dxa"/>
            <w:gridSpan w:val="2"/>
            <w:vAlign w:val="center"/>
          </w:tcPr>
          <w:p>
            <w:pPr>
              <w:pStyle w:val="86"/>
              <w:jc w:val="center"/>
              <w:rPr>
                <w:sz w:val="18"/>
                <w:szCs w:val="18"/>
              </w:rPr>
            </w:pPr>
            <w:r>
              <w:rPr>
                <w:rFonts w:hint="eastAsia"/>
                <w:sz w:val="18"/>
                <w:szCs w:val="18"/>
              </w:rPr>
              <w:t>总面积（㎡）</w:t>
            </w:r>
          </w:p>
        </w:tc>
        <w:tc>
          <w:tcPr>
            <w:tcW w:w="924" w:type="dxa"/>
            <w:vAlign w:val="center"/>
          </w:tcPr>
          <w:p>
            <w:pPr>
              <w:pStyle w:val="86"/>
              <w:jc w:val="center"/>
              <w:rPr>
                <w:sz w:val="18"/>
                <w:szCs w:val="18"/>
              </w:rPr>
            </w:pPr>
          </w:p>
        </w:tc>
        <w:tc>
          <w:tcPr>
            <w:tcW w:w="1735" w:type="dxa"/>
            <w:gridSpan w:val="2"/>
            <w:vAlign w:val="center"/>
          </w:tcPr>
          <w:p>
            <w:pPr>
              <w:pStyle w:val="86"/>
              <w:jc w:val="center"/>
              <w:rPr>
                <w:sz w:val="18"/>
                <w:szCs w:val="18"/>
              </w:rPr>
            </w:pPr>
            <w:r>
              <w:rPr>
                <w:rFonts w:hint="eastAsia"/>
                <w:sz w:val="18"/>
                <w:szCs w:val="18"/>
              </w:rPr>
              <w:t>占屋顶总面积的比例</w:t>
            </w:r>
          </w:p>
        </w:tc>
        <w:tc>
          <w:tcPr>
            <w:tcW w:w="1123" w:type="dxa"/>
            <w:gridSpan w:val="2"/>
            <w:vAlign w:val="center"/>
          </w:tcPr>
          <w:p>
            <w:pPr>
              <w:pStyle w:val="86"/>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5" w:hRule="atLeast"/>
          <w:jc w:val="center"/>
        </w:trPr>
        <w:tc>
          <w:tcPr>
            <w:tcW w:w="849" w:type="dxa"/>
            <w:vMerge w:val="continue"/>
            <w:vAlign w:val="center"/>
          </w:tcPr>
          <w:p>
            <w:pPr>
              <w:jc w:val="center"/>
              <w:rPr>
                <w:sz w:val="18"/>
                <w:szCs w:val="18"/>
              </w:rPr>
            </w:pPr>
          </w:p>
        </w:tc>
        <w:tc>
          <w:tcPr>
            <w:tcW w:w="1124" w:type="dxa"/>
            <w:vMerge w:val="continue"/>
            <w:vAlign w:val="center"/>
          </w:tcPr>
          <w:p>
            <w:pPr>
              <w:jc w:val="center"/>
              <w:rPr>
                <w:sz w:val="18"/>
                <w:szCs w:val="18"/>
              </w:rPr>
            </w:pPr>
          </w:p>
        </w:tc>
        <w:tc>
          <w:tcPr>
            <w:tcW w:w="1241" w:type="dxa"/>
            <w:gridSpan w:val="2"/>
            <w:vAlign w:val="center"/>
          </w:tcPr>
          <w:p>
            <w:pPr>
              <w:pStyle w:val="86"/>
              <w:jc w:val="center"/>
              <w:rPr>
                <w:sz w:val="18"/>
                <w:szCs w:val="18"/>
              </w:rPr>
            </w:pPr>
            <w:r>
              <w:rPr>
                <w:sz w:val="18"/>
                <w:szCs w:val="18"/>
              </w:rPr>
              <w:t>传热系数</w:t>
            </w:r>
            <w:r>
              <w:rPr>
                <w:rFonts w:ascii="Times New Roman" w:eastAsia="Times New Roman"/>
                <w:sz w:val="18"/>
                <w:szCs w:val="18"/>
              </w:rPr>
              <w:t xml:space="preserve"> [W/(m²·k</w:t>
            </w:r>
            <w:r>
              <w:rPr>
                <w:rFonts w:ascii="Times New Roman"/>
                <w:sz w:val="18"/>
                <w:szCs w:val="18"/>
              </w:rPr>
              <w:t>)]</w:t>
            </w:r>
          </w:p>
        </w:tc>
        <w:tc>
          <w:tcPr>
            <w:tcW w:w="1655" w:type="dxa"/>
            <w:gridSpan w:val="3"/>
            <w:vAlign w:val="center"/>
          </w:tcPr>
          <w:p>
            <w:pPr>
              <w:pStyle w:val="86"/>
              <w:jc w:val="center"/>
              <w:rPr>
                <w:sz w:val="18"/>
                <w:szCs w:val="18"/>
              </w:rPr>
            </w:pPr>
            <w:r>
              <w:rPr>
                <w:rFonts w:hint="eastAsia"/>
                <w:sz w:val="18"/>
                <w:szCs w:val="18"/>
              </w:rPr>
              <w:t>≤2.0</w:t>
            </w:r>
          </w:p>
        </w:tc>
        <w:tc>
          <w:tcPr>
            <w:tcW w:w="5605" w:type="dxa"/>
            <w:gridSpan w:val="7"/>
            <w:vAlign w:val="center"/>
          </w:tcPr>
          <w:p>
            <w:pPr>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4" w:hRule="atLeast"/>
          <w:jc w:val="center"/>
        </w:trPr>
        <w:tc>
          <w:tcPr>
            <w:tcW w:w="849" w:type="dxa"/>
            <w:vMerge w:val="continue"/>
            <w:vAlign w:val="center"/>
          </w:tcPr>
          <w:p>
            <w:pPr>
              <w:jc w:val="center"/>
              <w:rPr>
                <w:sz w:val="18"/>
                <w:szCs w:val="18"/>
              </w:rPr>
            </w:pPr>
          </w:p>
        </w:tc>
        <w:tc>
          <w:tcPr>
            <w:tcW w:w="1124" w:type="dxa"/>
            <w:vMerge w:val="continue"/>
            <w:vAlign w:val="center"/>
          </w:tcPr>
          <w:p>
            <w:pPr>
              <w:pStyle w:val="86"/>
              <w:jc w:val="center"/>
              <w:rPr>
                <w:sz w:val="18"/>
                <w:szCs w:val="18"/>
              </w:rPr>
            </w:pPr>
          </w:p>
        </w:tc>
        <w:tc>
          <w:tcPr>
            <w:tcW w:w="1241" w:type="dxa"/>
            <w:gridSpan w:val="2"/>
            <w:vAlign w:val="center"/>
          </w:tcPr>
          <w:p>
            <w:pPr>
              <w:pStyle w:val="86"/>
              <w:jc w:val="center"/>
              <w:rPr>
                <w:sz w:val="18"/>
                <w:szCs w:val="18"/>
              </w:rPr>
            </w:pPr>
            <w:r>
              <w:rPr>
                <w:rFonts w:hint="eastAsia"/>
                <w:sz w:val="18"/>
                <w:szCs w:val="18"/>
              </w:rPr>
              <w:t>遮阳设置</w:t>
            </w:r>
          </w:p>
        </w:tc>
        <w:tc>
          <w:tcPr>
            <w:tcW w:w="1655" w:type="dxa"/>
            <w:gridSpan w:val="3"/>
            <w:vAlign w:val="center"/>
          </w:tcPr>
          <w:p>
            <w:pPr>
              <w:pStyle w:val="86"/>
              <w:jc w:val="center"/>
              <w:rPr>
                <w:sz w:val="18"/>
                <w:szCs w:val="18"/>
              </w:rPr>
            </w:pPr>
            <w:r>
              <w:rPr>
                <w:rFonts w:hint="eastAsia"/>
                <w:sz w:val="18"/>
                <w:szCs w:val="18"/>
              </w:rPr>
              <w:t>天窗应设置可调节遮阳设施，太阳得热系数SHGC夏季不应大于0.20，</w:t>
            </w:r>
          </w:p>
        </w:tc>
        <w:tc>
          <w:tcPr>
            <w:tcW w:w="5605" w:type="dxa"/>
            <w:gridSpan w:val="7"/>
            <w:vAlign w:val="center"/>
          </w:tcPr>
          <w:p>
            <w:pPr>
              <w:pStyle w:val="86"/>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49" w:type="dxa"/>
            <w:vMerge w:val="continue"/>
            <w:vAlign w:val="center"/>
          </w:tcPr>
          <w:p>
            <w:pPr>
              <w:jc w:val="center"/>
              <w:rPr>
                <w:sz w:val="18"/>
                <w:szCs w:val="18"/>
              </w:rPr>
            </w:pPr>
          </w:p>
        </w:tc>
        <w:tc>
          <w:tcPr>
            <w:tcW w:w="2365" w:type="dxa"/>
            <w:gridSpan w:val="3"/>
            <w:vAlign w:val="center"/>
          </w:tcPr>
          <w:p>
            <w:pPr>
              <w:pStyle w:val="86"/>
              <w:jc w:val="center"/>
              <w:rPr>
                <w:sz w:val="18"/>
                <w:szCs w:val="18"/>
              </w:rPr>
            </w:pPr>
            <w:r>
              <w:rPr>
                <w:rFonts w:hint="eastAsia"/>
                <w:sz w:val="18"/>
                <w:szCs w:val="18"/>
              </w:rPr>
              <w:t>可见光透射比</w:t>
            </w:r>
          </w:p>
        </w:tc>
        <w:tc>
          <w:tcPr>
            <w:tcW w:w="1655" w:type="dxa"/>
            <w:gridSpan w:val="3"/>
            <w:vAlign w:val="center"/>
          </w:tcPr>
          <w:p>
            <w:pPr>
              <w:pStyle w:val="86"/>
              <w:jc w:val="center"/>
              <w:rPr>
                <w:sz w:val="18"/>
                <w:szCs w:val="18"/>
              </w:rPr>
            </w:pPr>
            <w:r>
              <w:rPr>
                <w:rFonts w:hint="eastAsia"/>
                <w:sz w:val="18"/>
                <w:szCs w:val="18"/>
              </w:rPr>
              <w:t>≥0.40</w:t>
            </w:r>
          </w:p>
        </w:tc>
        <w:tc>
          <w:tcPr>
            <w:tcW w:w="5605" w:type="dxa"/>
            <w:gridSpan w:val="7"/>
            <w:vAlign w:val="center"/>
          </w:tcPr>
          <w:p>
            <w:pPr>
              <w:pStyle w:val="86"/>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49" w:type="dxa"/>
            <w:vMerge w:val="continue"/>
            <w:vAlign w:val="center"/>
          </w:tcPr>
          <w:p>
            <w:pPr>
              <w:jc w:val="center"/>
              <w:rPr>
                <w:sz w:val="18"/>
                <w:szCs w:val="18"/>
              </w:rPr>
            </w:pPr>
          </w:p>
        </w:tc>
        <w:tc>
          <w:tcPr>
            <w:tcW w:w="1124" w:type="dxa"/>
            <w:vMerge w:val="restart"/>
            <w:vAlign w:val="center"/>
          </w:tcPr>
          <w:p>
            <w:pPr>
              <w:pStyle w:val="86"/>
              <w:jc w:val="center"/>
              <w:rPr>
                <w:sz w:val="18"/>
                <w:szCs w:val="18"/>
              </w:rPr>
            </w:pPr>
            <w:r>
              <w:rPr>
                <w:rFonts w:hint="eastAsia"/>
                <w:sz w:val="18"/>
                <w:szCs w:val="18"/>
              </w:rPr>
              <w:t>气密性指标</w:t>
            </w:r>
          </w:p>
        </w:tc>
        <w:tc>
          <w:tcPr>
            <w:tcW w:w="1241" w:type="dxa"/>
            <w:gridSpan w:val="2"/>
            <w:vAlign w:val="center"/>
          </w:tcPr>
          <w:p>
            <w:pPr>
              <w:pStyle w:val="86"/>
              <w:jc w:val="center"/>
              <w:rPr>
                <w:sz w:val="18"/>
                <w:szCs w:val="18"/>
              </w:rPr>
            </w:pPr>
            <w:r>
              <w:rPr>
                <w:rFonts w:hint="eastAsia"/>
                <w:sz w:val="18"/>
                <w:szCs w:val="18"/>
              </w:rPr>
              <w:t>外窗</w:t>
            </w:r>
          </w:p>
        </w:tc>
        <w:tc>
          <w:tcPr>
            <w:tcW w:w="1655" w:type="dxa"/>
            <w:gridSpan w:val="3"/>
            <w:vAlign w:val="center"/>
          </w:tcPr>
          <w:p>
            <w:pPr>
              <w:pStyle w:val="86"/>
              <w:jc w:val="center"/>
              <w:rPr>
                <w:sz w:val="18"/>
                <w:szCs w:val="18"/>
              </w:rPr>
            </w:pPr>
            <w:r>
              <w:rPr>
                <w:rFonts w:hint="eastAsia"/>
                <w:sz w:val="18"/>
                <w:szCs w:val="18"/>
              </w:rPr>
              <w:t>7级</w:t>
            </w:r>
          </w:p>
        </w:tc>
        <w:tc>
          <w:tcPr>
            <w:tcW w:w="5605" w:type="dxa"/>
            <w:gridSpan w:val="7"/>
            <w:vAlign w:val="center"/>
          </w:tcPr>
          <w:p>
            <w:pPr>
              <w:pStyle w:val="86"/>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6" w:hRule="atLeast"/>
          <w:jc w:val="center"/>
        </w:trPr>
        <w:tc>
          <w:tcPr>
            <w:tcW w:w="849" w:type="dxa"/>
            <w:vMerge w:val="continue"/>
            <w:vAlign w:val="center"/>
          </w:tcPr>
          <w:p>
            <w:pPr>
              <w:jc w:val="center"/>
              <w:rPr>
                <w:sz w:val="18"/>
                <w:szCs w:val="18"/>
              </w:rPr>
            </w:pPr>
          </w:p>
        </w:tc>
        <w:tc>
          <w:tcPr>
            <w:tcW w:w="1124" w:type="dxa"/>
            <w:vMerge w:val="continue"/>
            <w:vAlign w:val="center"/>
          </w:tcPr>
          <w:p>
            <w:pPr>
              <w:pStyle w:val="86"/>
              <w:jc w:val="center"/>
              <w:rPr>
                <w:sz w:val="18"/>
                <w:szCs w:val="18"/>
              </w:rPr>
            </w:pPr>
          </w:p>
        </w:tc>
        <w:tc>
          <w:tcPr>
            <w:tcW w:w="1241" w:type="dxa"/>
            <w:gridSpan w:val="2"/>
            <w:vAlign w:val="center"/>
          </w:tcPr>
          <w:p>
            <w:pPr>
              <w:pStyle w:val="86"/>
              <w:jc w:val="center"/>
              <w:rPr>
                <w:sz w:val="18"/>
                <w:szCs w:val="18"/>
              </w:rPr>
            </w:pPr>
            <w:r>
              <w:rPr>
                <w:rFonts w:hint="eastAsia"/>
                <w:sz w:val="18"/>
                <w:szCs w:val="18"/>
              </w:rPr>
              <w:t>敞开式阳台门</w:t>
            </w:r>
          </w:p>
        </w:tc>
        <w:tc>
          <w:tcPr>
            <w:tcW w:w="1655" w:type="dxa"/>
            <w:gridSpan w:val="3"/>
            <w:vAlign w:val="center"/>
          </w:tcPr>
          <w:p>
            <w:pPr>
              <w:pStyle w:val="86"/>
              <w:jc w:val="center"/>
              <w:rPr>
                <w:sz w:val="18"/>
                <w:szCs w:val="18"/>
              </w:rPr>
            </w:pPr>
            <w:r>
              <w:rPr>
                <w:rFonts w:hint="eastAsia"/>
                <w:sz w:val="18"/>
                <w:szCs w:val="18"/>
              </w:rPr>
              <w:t>6级</w:t>
            </w:r>
          </w:p>
        </w:tc>
        <w:tc>
          <w:tcPr>
            <w:tcW w:w="5605" w:type="dxa"/>
            <w:gridSpan w:val="7"/>
            <w:vAlign w:val="center"/>
          </w:tcPr>
          <w:p>
            <w:pPr>
              <w:pStyle w:val="86"/>
              <w:jc w:val="center"/>
              <w:rPr>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4" w:hRule="atLeast"/>
          <w:jc w:val="center"/>
        </w:trPr>
        <w:tc>
          <w:tcPr>
            <w:tcW w:w="849" w:type="dxa"/>
            <w:vMerge w:val="continue"/>
            <w:vAlign w:val="center"/>
          </w:tcPr>
          <w:p>
            <w:pPr>
              <w:jc w:val="center"/>
              <w:rPr>
                <w:sz w:val="18"/>
                <w:szCs w:val="18"/>
              </w:rPr>
            </w:pPr>
          </w:p>
        </w:tc>
        <w:tc>
          <w:tcPr>
            <w:tcW w:w="1124" w:type="dxa"/>
            <w:vAlign w:val="center"/>
          </w:tcPr>
          <w:p>
            <w:pPr>
              <w:pStyle w:val="86"/>
              <w:jc w:val="center"/>
              <w:rPr>
                <w:sz w:val="18"/>
                <w:szCs w:val="18"/>
              </w:rPr>
            </w:pPr>
            <w:r>
              <w:rPr>
                <w:rFonts w:hint="eastAsia"/>
                <w:sz w:val="18"/>
                <w:szCs w:val="18"/>
              </w:rPr>
              <w:t>外窗（包括阳台门）通风开口面积的洞地比</w:t>
            </w:r>
          </w:p>
        </w:tc>
        <w:tc>
          <w:tcPr>
            <w:tcW w:w="2896" w:type="dxa"/>
            <w:gridSpan w:val="5"/>
            <w:vAlign w:val="center"/>
          </w:tcPr>
          <w:p>
            <w:pPr>
              <w:pStyle w:val="86"/>
              <w:jc w:val="center"/>
              <w:rPr>
                <w:sz w:val="18"/>
                <w:szCs w:val="18"/>
              </w:rPr>
            </w:pPr>
            <w:r>
              <w:rPr>
                <w:rFonts w:hint="eastAsia"/>
                <w:sz w:val="18"/>
                <w:szCs w:val="18"/>
              </w:rPr>
              <w:t>≥5%</w:t>
            </w:r>
          </w:p>
        </w:tc>
        <w:tc>
          <w:tcPr>
            <w:tcW w:w="5605" w:type="dxa"/>
            <w:gridSpan w:val="7"/>
            <w:vAlign w:val="center"/>
          </w:tcPr>
          <w:p>
            <w:pPr>
              <w:pStyle w:val="86"/>
              <w:jc w:val="center"/>
              <w:rPr>
                <w:sz w:val="18"/>
                <w:szCs w:val="18"/>
              </w:rPr>
            </w:pPr>
          </w:p>
        </w:tc>
      </w:tr>
    </w:tbl>
    <w:p>
      <w:pPr>
        <w:spacing w:before="124" w:beforeLines="40" w:after="124" w:afterLines="40"/>
        <w:jc w:val="left"/>
        <w:rPr>
          <w:rFonts w:hAnsi="宋体" w:cs="宋体"/>
          <w:kern w:val="0"/>
          <w:szCs w:val="21"/>
        </w:rPr>
      </w:pPr>
    </w:p>
    <w:tbl>
      <w:tblPr>
        <w:tblStyle w:val="44"/>
        <w:tblW w:w="10426"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0" w:type="dxa"/>
          <w:bottom w:w="0" w:type="dxa"/>
          <w:right w:w="0" w:type="dxa"/>
        </w:tblCellMar>
      </w:tblPr>
      <w:tblGrid>
        <w:gridCol w:w="2398"/>
        <w:gridCol w:w="2456"/>
        <w:gridCol w:w="1832"/>
        <w:gridCol w:w="1263"/>
        <w:gridCol w:w="1310"/>
        <w:gridCol w:w="1167"/>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76" w:hRule="atLeast"/>
          <w:jc w:val="center"/>
        </w:trPr>
        <w:tc>
          <w:tcPr>
            <w:tcW w:w="10426" w:type="dxa"/>
            <w:gridSpan w:val="6"/>
            <w:tcBorders>
              <w:top w:val="single" w:color="000000" w:sz="4" w:space="0"/>
              <w:bottom w:val="single" w:color="000000" w:sz="4" w:space="0"/>
            </w:tcBorders>
            <w:vAlign w:val="center"/>
          </w:tcPr>
          <w:p>
            <w:pPr>
              <w:pStyle w:val="86"/>
              <w:jc w:val="center"/>
              <w:rPr>
                <w:b/>
                <w:bCs/>
                <w:sz w:val="18"/>
                <w:szCs w:val="18"/>
              </w:rPr>
            </w:pPr>
            <w:r>
              <w:rPr>
                <w:rFonts w:hint="eastAsia"/>
                <w:b/>
                <w:bCs/>
                <w:sz w:val="18"/>
                <w:szCs w:val="18"/>
              </w:rPr>
              <w:t>围护结构热工性能的权衡判断</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98" w:hRule="atLeast"/>
          <w:jc w:val="center"/>
        </w:trPr>
        <w:tc>
          <w:tcPr>
            <w:tcW w:w="4854" w:type="dxa"/>
            <w:gridSpan w:val="2"/>
            <w:tcBorders>
              <w:top w:val="single" w:color="000000" w:sz="4" w:space="0"/>
              <w:bottom w:val="single" w:color="000000" w:sz="4" w:space="0"/>
              <w:right w:val="single" w:color="000000" w:sz="4" w:space="0"/>
            </w:tcBorders>
            <w:vAlign w:val="center"/>
          </w:tcPr>
          <w:p>
            <w:pPr>
              <w:pStyle w:val="86"/>
              <w:spacing w:before="69" w:line="172" w:lineRule="auto"/>
              <w:ind w:right="276"/>
              <w:jc w:val="center"/>
              <w:rPr>
                <w:sz w:val="18"/>
                <w:szCs w:val="18"/>
              </w:rPr>
            </w:pPr>
            <w:r>
              <w:rPr>
                <w:sz w:val="18"/>
                <w:szCs w:val="18"/>
              </w:rPr>
              <w:t>参照建筑在规定条件下的全年供暖和空气调节能耗</w:t>
            </w:r>
          </w:p>
        </w:tc>
        <w:tc>
          <w:tcPr>
            <w:tcW w:w="1832" w:type="dxa"/>
            <w:vMerge w:val="restart"/>
            <w:tcBorders>
              <w:top w:val="single" w:color="000000" w:sz="4" w:space="0"/>
              <w:left w:val="single" w:color="000000" w:sz="4" w:space="0"/>
              <w:bottom w:val="single" w:color="000000" w:sz="4" w:space="0"/>
              <w:right w:val="single" w:color="000000" w:sz="4" w:space="0"/>
            </w:tcBorders>
            <w:vAlign w:val="center"/>
          </w:tcPr>
          <w:p>
            <w:pPr>
              <w:pStyle w:val="86"/>
              <w:spacing w:line="239" w:lineRule="exact"/>
              <w:jc w:val="center"/>
              <w:rPr>
                <w:sz w:val="18"/>
                <w:szCs w:val="18"/>
              </w:rPr>
            </w:pPr>
            <w:r>
              <w:rPr>
                <w:sz w:val="18"/>
                <w:szCs w:val="18"/>
              </w:rPr>
              <w:t>年能耗</w:t>
            </w:r>
          </w:p>
          <w:p>
            <w:pPr>
              <w:pStyle w:val="86"/>
              <w:spacing w:line="239" w:lineRule="exact"/>
              <w:jc w:val="center"/>
              <w:rPr>
                <w:sz w:val="18"/>
                <w:szCs w:val="18"/>
              </w:rPr>
            </w:pPr>
            <w:r>
              <w:rPr>
                <w:sz w:val="18"/>
                <w:szCs w:val="18"/>
              </w:rPr>
              <w:t>（</w:t>
            </w:r>
            <w:r>
              <w:rPr>
                <w:rFonts w:ascii="Times New Roman" w:eastAsia="Times New Roman"/>
                <w:sz w:val="18"/>
                <w:szCs w:val="18"/>
              </w:rPr>
              <w:t>kWh</w:t>
            </w:r>
            <w:r>
              <w:rPr>
                <w:sz w:val="18"/>
                <w:szCs w:val="18"/>
              </w:rPr>
              <w:t>）</w:t>
            </w:r>
          </w:p>
        </w:tc>
        <w:tc>
          <w:tcPr>
            <w:tcW w:w="1263" w:type="dxa"/>
            <w:tcBorders>
              <w:top w:val="single" w:color="000000" w:sz="4" w:space="0"/>
              <w:left w:val="single" w:color="000000" w:sz="4" w:space="0"/>
              <w:bottom w:val="single" w:color="000000" w:sz="4" w:space="0"/>
              <w:right w:val="single" w:color="000000" w:sz="4" w:space="0"/>
            </w:tcBorders>
            <w:vAlign w:val="center"/>
          </w:tcPr>
          <w:p>
            <w:pPr>
              <w:pStyle w:val="86"/>
              <w:jc w:val="center"/>
              <w:rPr>
                <w:rFonts w:ascii="Times New Roman"/>
                <w:sz w:val="18"/>
                <w:szCs w:val="18"/>
              </w:rPr>
            </w:pPr>
          </w:p>
        </w:tc>
        <w:tc>
          <w:tcPr>
            <w:tcW w:w="1310" w:type="dxa"/>
            <w:vMerge w:val="restart"/>
            <w:tcBorders>
              <w:top w:val="single" w:color="000000" w:sz="4" w:space="0"/>
              <w:left w:val="single" w:color="000000" w:sz="4" w:space="0"/>
              <w:bottom w:val="single" w:color="000000" w:sz="4" w:space="0"/>
              <w:right w:val="single" w:color="000000" w:sz="4" w:space="0"/>
            </w:tcBorders>
            <w:vAlign w:val="center"/>
          </w:tcPr>
          <w:p>
            <w:pPr>
              <w:pStyle w:val="86"/>
              <w:spacing w:line="239" w:lineRule="exact"/>
              <w:jc w:val="center"/>
              <w:rPr>
                <w:sz w:val="18"/>
                <w:szCs w:val="18"/>
              </w:rPr>
            </w:pPr>
            <w:r>
              <w:rPr>
                <w:sz w:val="18"/>
                <w:szCs w:val="18"/>
              </w:rPr>
              <w:t>单位能耗</w:t>
            </w:r>
          </w:p>
          <w:p>
            <w:pPr>
              <w:pStyle w:val="86"/>
              <w:spacing w:line="239" w:lineRule="exact"/>
              <w:jc w:val="center"/>
              <w:rPr>
                <w:sz w:val="18"/>
                <w:szCs w:val="18"/>
              </w:rPr>
            </w:pPr>
            <w:r>
              <w:rPr>
                <w:sz w:val="18"/>
                <w:szCs w:val="18"/>
              </w:rPr>
              <w:t>（</w:t>
            </w:r>
            <w:r>
              <w:rPr>
                <w:rFonts w:ascii="Times New Roman" w:eastAsia="Times New Roman"/>
                <w:sz w:val="18"/>
                <w:szCs w:val="18"/>
              </w:rPr>
              <w:t>kWh/m²</w:t>
            </w:r>
            <w:r>
              <w:rPr>
                <w:sz w:val="18"/>
                <w:szCs w:val="18"/>
              </w:rPr>
              <w:t>）</w:t>
            </w:r>
          </w:p>
        </w:tc>
        <w:tc>
          <w:tcPr>
            <w:tcW w:w="1167" w:type="dxa"/>
            <w:tcBorders>
              <w:top w:val="single" w:color="000000" w:sz="4" w:space="0"/>
              <w:left w:val="single" w:color="000000" w:sz="4" w:space="0"/>
              <w:bottom w:val="single" w:color="000000" w:sz="4" w:space="0"/>
            </w:tcBorders>
            <w:vAlign w:val="center"/>
          </w:tcPr>
          <w:p>
            <w:pPr>
              <w:pStyle w:val="86"/>
              <w:jc w:val="center"/>
              <w:rPr>
                <w:rFonts w:ascii="Times New Roman"/>
                <w:sz w:val="18"/>
                <w:szCs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85" w:hRule="atLeast"/>
          <w:jc w:val="center"/>
        </w:trPr>
        <w:tc>
          <w:tcPr>
            <w:tcW w:w="4854" w:type="dxa"/>
            <w:gridSpan w:val="2"/>
            <w:tcBorders>
              <w:top w:val="single" w:color="000000" w:sz="4" w:space="0"/>
              <w:bottom w:val="single" w:color="000000" w:sz="4" w:space="0"/>
              <w:right w:val="single" w:color="000000" w:sz="4" w:space="0"/>
            </w:tcBorders>
            <w:vAlign w:val="center"/>
          </w:tcPr>
          <w:p>
            <w:pPr>
              <w:pStyle w:val="86"/>
              <w:spacing w:before="10" w:line="239" w:lineRule="exact"/>
              <w:jc w:val="center"/>
              <w:rPr>
                <w:sz w:val="18"/>
                <w:szCs w:val="18"/>
              </w:rPr>
            </w:pPr>
            <w:r>
              <w:rPr>
                <w:spacing w:val="-3"/>
                <w:sz w:val="18"/>
                <w:szCs w:val="18"/>
              </w:rPr>
              <w:t>设计建筑在相同条件下的全年供暖和空气调节能耗</w:t>
            </w:r>
          </w:p>
        </w:tc>
        <w:tc>
          <w:tcPr>
            <w:tcW w:w="1832" w:type="dxa"/>
            <w:vMerge w:val="continue"/>
            <w:tcBorders>
              <w:top w:val="nil"/>
              <w:left w:val="single" w:color="000000" w:sz="4" w:space="0"/>
              <w:bottom w:val="single" w:color="000000" w:sz="4" w:space="0"/>
              <w:right w:val="single" w:color="000000" w:sz="4" w:space="0"/>
            </w:tcBorders>
            <w:vAlign w:val="center"/>
          </w:tcPr>
          <w:p>
            <w:pPr>
              <w:jc w:val="center"/>
              <w:rPr>
                <w:sz w:val="18"/>
                <w:szCs w:val="18"/>
              </w:rPr>
            </w:pPr>
          </w:p>
        </w:tc>
        <w:tc>
          <w:tcPr>
            <w:tcW w:w="1263" w:type="dxa"/>
            <w:tcBorders>
              <w:top w:val="single" w:color="000000" w:sz="4" w:space="0"/>
              <w:left w:val="single" w:color="000000" w:sz="4" w:space="0"/>
              <w:bottom w:val="single" w:color="000000" w:sz="4" w:space="0"/>
              <w:right w:val="single" w:color="000000" w:sz="4" w:space="0"/>
            </w:tcBorders>
            <w:vAlign w:val="center"/>
          </w:tcPr>
          <w:p>
            <w:pPr>
              <w:pStyle w:val="86"/>
              <w:jc w:val="center"/>
              <w:rPr>
                <w:rFonts w:ascii="Times New Roman"/>
                <w:sz w:val="18"/>
                <w:szCs w:val="18"/>
              </w:rPr>
            </w:pPr>
          </w:p>
        </w:tc>
        <w:tc>
          <w:tcPr>
            <w:tcW w:w="1310" w:type="dxa"/>
            <w:vMerge w:val="continue"/>
            <w:tcBorders>
              <w:top w:val="nil"/>
              <w:left w:val="single" w:color="000000" w:sz="4" w:space="0"/>
              <w:bottom w:val="single" w:color="000000" w:sz="4" w:space="0"/>
              <w:right w:val="single" w:color="000000" w:sz="4" w:space="0"/>
            </w:tcBorders>
            <w:vAlign w:val="center"/>
          </w:tcPr>
          <w:p>
            <w:pPr>
              <w:jc w:val="center"/>
              <w:rPr>
                <w:sz w:val="18"/>
                <w:szCs w:val="18"/>
              </w:rPr>
            </w:pPr>
          </w:p>
        </w:tc>
        <w:tc>
          <w:tcPr>
            <w:tcW w:w="1167" w:type="dxa"/>
            <w:tcBorders>
              <w:top w:val="single" w:color="000000" w:sz="4" w:space="0"/>
              <w:left w:val="single" w:color="000000" w:sz="4" w:space="0"/>
              <w:bottom w:val="single" w:color="000000" w:sz="4" w:space="0"/>
            </w:tcBorders>
            <w:vAlign w:val="center"/>
          </w:tcPr>
          <w:p>
            <w:pPr>
              <w:pStyle w:val="86"/>
              <w:jc w:val="center"/>
              <w:rPr>
                <w:rFonts w:ascii="Times New Roman"/>
                <w:sz w:val="18"/>
                <w:szCs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11" w:hRule="atLeast"/>
          <w:jc w:val="center"/>
        </w:trPr>
        <w:tc>
          <w:tcPr>
            <w:tcW w:w="10426" w:type="dxa"/>
            <w:gridSpan w:val="6"/>
            <w:tcBorders>
              <w:top w:val="single" w:color="000000" w:sz="4" w:space="0"/>
              <w:bottom w:val="single" w:color="000000" w:sz="4" w:space="0"/>
            </w:tcBorders>
            <w:vAlign w:val="center"/>
          </w:tcPr>
          <w:p>
            <w:pPr>
              <w:pStyle w:val="86"/>
              <w:jc w:val="center"/>
              <w:rPr>
                <w:b/>
                <w:bCs/>
                <w:sz w:val="18"/>
                <w:szCs w:val="18"/>
              </w:rPr>
            </w:pPr>
            <w:r>
              <w:rPr>
                <w:rFonts w:hint="eastAsia"/>
                <w:b/>
                <w:bCs/>
                <w:sz w:val="18"/>
                <w:szCs w:val="18"/>
              </w:rPr>
              <w:t>可再生能源应用情况</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7" w:hRule="atLeast"/>
          <w:jc w:val="center"/>
        </w:trPr>
        <w:tc>
          <w:tcPr>
            <w:tcW w:w="2398" w:type="dxa"/>
            <w:vMerge w:val="restart"/>
            <w:tcBorders>
              <w:top w:val="single" w:color="000000" w:sz="4" w:space="0"/>
              <w:bottom w:val="single" w:color="000000" w:sz="4" w:space="0"/>
              <w:right w:val="single" w:color="000000" w:sz="4" w:space="0"/>
            </w:tcBorders>
            <w:vAlign w:val="center"/>
          </w:tcPr>
          <w:p>
            <w:pPr>
              <w:pStyle w:val="86"/>
              <w:spacing w:line="172" w:lineRule="auto"/>
              <w:ind w:right="137"/>
              <w:jc w:val="center"/>
              <w:rPr>
                <w:sz w:val="18"/>
                <w:szCs w:val="18"/>
              </w:rPr>
            </w:pPr>
            <w:r>
              <w:rPr>
                <w:rFonts w:hint="eastAsia"/>
                <w:sz w:val="18"/>
                <w:szCs w:val="18"/>
              </w:rPr>
              <w:t>住宅建筑</w:t>
            </w:r>
          </w:p>
        </w:tc>
        <w:tc>
          <w:tcPr>
            <w:tcW w:w="2456" w:type="dxa"/>
            <w:tcBorders>
              <w:top w:val="single" w:color="000000" w:sz="4" w:space="0"/>
              <w:left w:val="single" w:color="000000" w:sz="4" w:space="0"/>
              <w:bottom w:val="single" w:color="000000" w:sz="4" w:space="0"/>
              <w:right w:val="single" w:color="000000" w:sz="4" w:space="0"/>
            </w:tcBorders>
            <w:vAlign w:val="center"/>
          </w:tcPr>
          <w:p>
            <w:pPr>
              <w:pStyle w:val="86"/>
              <w:spacing w:before="149"/>
              <w:jc w:val="center"/>
              <w:rPr>
                <w:sz w:val="18"/>
                <w:szCs w:val="18"/>
              </w:rPr>
            </w:pPr>
            <w:r>
              <w:rPr>
                <w:sz w:val="18"/>
                <w:szCs w:val="18"/>
              </w:rPr>
              <w:t>太阳能光伏系统</w:t>
            </w:r>
          </w:p>
        </w:tc>
        <w:tc>
          <w:tcPr>
            <w:tcW w:w="1832" w:type="dxa"/>
            <w:tcBorders>
              <w:top w:val="single" w:color="000000" w:sz="4" w:space="0"/>
              <w:left w:val="single" w:color="000000" w:sz="4" w:space="0"/>
              <w:bottom w:val="single" w:color="000000" w:sz="4" w:space="0"/>
              <w:right w:val="single" w:color="000000" w:sz="4" w:space="0"/>
            </w:tcBorders>
            <w:vAlign w:val="center"/>
          </w:tcPr>
          <w:p>
            <w:pPr>
              <w:pStyle w:val="86"/>
              <w:spacing w:before="51" w:line="239" w:lineRule="exact"/>
              <w:jc w:val="center"/>
              <w:rPr>
                <w:sz w:val="18"/>
                <w:szCs w:val="18"/>
              </w:rPr>
            </w:pPr>
            <w:r>
              <w:rPr>
                <w:rFonts w:hint="eastAsia"/>
                <w:sz w:val="18"/>
                <w:szCs w:val="18"/>
              </w:rPr>
              <w:t>□</w:t>
            </w:r>
            <w:r>
              <w:rPr>
                <w:sz w:val="18"/>
                <w:szCs w:val="18"/>
              </w:rPr>
              <w:t>是</w:t>
            </w:r>
          </w:p>
          <w:p>
            <w:pPr>
              <w:pStyle w:val="86"/>
              <w:spacing w:line="239" w:lineRule="exact"/>
              <w:jc w:val="center"/>
              <w:rPr>
                <w:sz w:val="18"/>
                <w:szCs w:val="18"/>
              </w:rPr>
            </w:pPr>
            <w:r>
              <w:rPr>
                <w:rFonts w:hint="eastAsia"/>
                <w:sz w:val="18"/>
                <w:szCs w:val="18"/>
              </w:rPr>
              <w:t>□</w:t>
            </w:r>
            <w:r>
              <w:rPr>
                <w:sz w:val="18"/>
                <w:szCs w:val="18"/>
              </w:rPr>
              <w:t>否</w:t>
            </w:r>
          </w:p>
        </w:tc>
        <w:tc>
          <w:tcPr>
            <w:tcW w:w="2573" w:type="dxa"/>
            <w:gridSpan w:val="2"/>
            <w:tcBorders>
              <w:top w:val="single" w:color="000000" w:sz="4" w:space="0"/>
              <w:left w:val="single" w:color="000000" w:sz="4" w:space="0"/>
              <w:bottom w:val="single" w:color="000000" w:sz="4" w:space="0"/>
              <w:right w:val="single" w:color="000000" w:sz="4" w:space="0"/>
            </w:tcBorders>
            <w:vAlign w:val="center"/>
          </w:tcPr>
          <w:p>
            <w:pPr>
              <w:pStyle w:val="86"/>
              <w:spacing w:before="149"/>
              <w:jc w:val="center"/>
              <w:rPr>
                <w:sz w:val="18"/>
                <w:szCs w:val="18"/>
              </w:rPr>
            </w:pPr>
            <w:r>
              <w:rPr>
                <w:sz w:val="18"/>
                <w:szCs w:val="18"/>
              </w:rPr>
              <w:t>其方式及规模</w:t>
            </w:r>
          </w:p>
        </w:tc>
        <w:tc>
          <w:tcPr>
            <w:tcW w:w="1167" w:type="dxa"/>
            <w:tcBorders>
              <w:top w:val="single" w:color="000000" w:sz="4" w:space="0"/>
              <w:left w:val="single" w:color="000000" w:sz="4" w:space="0"/>
              <w:bottom w:val="single" w:color="000000" w:sz="4" w:space="0"/>
            </w:tcBorders>
            <w:vAlign w:val="center"/>
          </w:tcPr>
          <w:p>
            <w:pPr>
              <w:pStyle w:val="86"/>
              <w:jc w:val="center"/>
              <w:rPr>
                <w:rFonts w:ascii="Times New Roman"/>
                <w:sz w:val="18"/>
                <w:szCs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6" w:hRule="atLeast"/>
          <w:jc w:val="center"/>
        </w:trPr>
        <w:tc>
          <w:tcPr>
            <w:tcW w:w="2398" w:type="dxa"/>
            <w:vMerge w:val="continue"/>
            <w:tcBorders>
              <w:top w:val="nil"/>
              <w:bottom w:val="single" w:color="000000" w:sz="4" w:space="0"/>
              <w:right w:val="single" w:color="000000" w:sz="4" w:space="0"/>
            </w:tcBorders>
            <w:vAlign w:val="center"/>
          </w:tcPr>
          <w:p>
            <w:pPr>
              <w:jc w:val="center"/>
              <w:rPr>
                <w:sz w:val="18"/>
                <w:szCs w:val="18"/>
              </w:rPr>
            </w:pPr>
          </w:p>
        </w:tc>
        <w:tc>
          <w:tcPr>
            <w:tcW w:w="2456" w:type="dxa"/>
            <w:tcBorders>
              <w:top w:val="single" w:color="000000" w:sz="4" w:space="0"/>
              <w:left w:val="single" w:color="000000" w:sz="4" w:space="0"/>
              <w:bottom w:val="single" w:color="000000" w:sz="4" w:space="0"/>
              <w:right w:val="single" w:color="000000" w:sz="4" w:space="0"/>
            </w:tcBorders>
            <w:vAlign w:val="center"/>
          </w:tcPr>
          <w:p>
            <w:pPr>
              <w:pStyle w:val="86"/>
              <w:spacing w:before="151"/>
              <w:jc w:val="center"/>
              <w:rPr>
                <w:sz w:val="18"/>
                <w:szCs w:val="18"/>
              </w:rPr>
            </w:pPr>
            <w:r>
              <w:rPr>
                <w:sz w:val="18"/>
                <w:szCs w:val="18"/>
              </w:rPr>
              <w:t>太阳能热水系统</w:t>
            </w:r>
            <w:r>
              <w:rPr>
                <w:rFonts w:hint="eastAsia"/>
                <w:sz w:val="18"/>
                <w:szCs w:val="18"/>
              </w:rPr>
              <w:t>或空气源热泵</w:t>
            </w:r>
          </w:p>
        </w:tc>
        <w:tc>
          <w:tcPr>
            <w:tcW w:w="1832" w:type="dxa"/>
            <w:tcBorders>
              <w:top w:val="single" w:color="000000" w:sz="4" w:space="0"/>
              <w:left w:val="single" w:color="000000" w:sz="4" w:space="0"/>
              <w:bottom w:val="single" w:color="000000" w:sz="4" w:space="0"/>
              <w:right w:val="single" w:color="000000" w:sz="4" w:space="0"/>
            </w:tcBorders>
            <w:vAlign w:val="center"/>
          </w:tcPr>
          <w:p>
            <w:pPr>
              <w:pStyle w:val="86"/>
              <w:spacing w:before="51" w:line="239" w:lineRule="exact"/>
              <w:jc w:val="center"/>
              <w:rPr>
                <w:sz w:val="18"/>
                <w:szCs w:val="18"/>
              </w:rPr>
            </w:pPr>
            <w:r>
              <w:rPr>
                <w:rFonts w:hint="eastAsia"/>
                <w:sz w:val="18"/>
                <w:szCs w:val="18"/>
              </w:rPr>
              <w:t>□</w:t>
            </w:r>
            <w:r>
              <w:rPr>
                <w:sz w:val="18"/>
                <w:szCs w:val="18"/>
              </w:rPr>
              <w:t>是</w:t>
            </w:r>
          </w:p>
          <w:p>
            <w:pPr>
              <w:pStyle w:val="86"/>
              <w:spacing w:line="239" w:lineRule="exact"/>
              <w:jc w:val="center"/>
              <w:rPr>
                <w:sz w:val="18"/>
                <w:szCs w:val="18"/>
              </w:rPr>
            </w:pPr>
            <w:r>
              <w:rPr>
                <w:rFonts w:hint="eastAsia"/>
                <w:sz w:val="18"/>
                <w:szCs w:val="18"/>
              </w:rPr>
              <w:t>□</w:t>
            </w:r>
            <w:r>
              <w:rPr>
                <w:sz w:val="18"/>
                <w:szCs w:val="18"/>
              </w:rPr>
              <w:t>否</w:t>
            </w:r>
          </w:p>
        </w:tc>
        <w:tc>
          <w:tcPr>
            <w:tcW w:w="2573" w:type="dxa"/>
            <w:gridSpan w:val="2"/>
            <w:tcBorders>
              <w:top w:val="single" w:color="000000" w:sz="4" w:space="0"/>
              <w:left w:val="single" w:color="000000" w:sz="4" w:space="0"/>
              <w:bottom w:val="single" w:color="000000" w:sz="4" w:space="0"/>
              <w:right w:val="single" w:color="000000" w:sz="4" w:space="0"/>
            </w:tcBorders>
            <w:vAlign w:val="center"/>
          </w:tcPr>
          <w:p>
            <w:pPr>
              <w:pStyle w:val="86"/>
              <w:spacing w:before="151"/>
              <w:jc w:val="center"/>
              <w:rPr>
                <w:sz w:val="18"/>
                <w:szCs w:val="18"/>
              </w:rPr>
            </w:pPr>
            <w:r>
              <w:rPr>
                <w:sz w:val="18"/>
                <w:szCs w:val="18"/>
              </w:rPr>
              <w:t>其方式及规模</w:t>
            </w:r>
          </w:p>
        </w:tc>
        <w:tc>
          <w:tcPr>
            <w:tcW w:w="1167" w:type="dxa"/>
            <w:tcBorders>
              <w:top w:val="single" w:color="000000" w:sz="4" w:space="0"/>
              <w:left w:val="single" w:color="000000" w:sz="4" w:space="0"/>
              <w:bottom w:val="single" w:color="000000" w:sz="4" w:space="0"/>
            </w:tcBorders>
            <w:vAlign w:val="center"/>
          </w:tcPr>
          <w:p>
            <w:pPr>
              <w:pStyle w:val="86"/>
              <w:jc w:val="center"/>
              <w:rPr>
                <w:rFonts w:ascii="Times New Roman"/>
                <w:sz w:val="18"/>
                <w:szCs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6" w:hRule="atLeast"/>
          <w:jc w:val="center"/>
        </w:trPr>
        <w:tc>
          <w:tcPr>
            <w:tcW w:w="2398" w:type="dxa"/>
            <w:vMerge w:val="restart"/>
            <w:tcBorders>
              <w:top w:val="single" w:color="000000" w:sz="4" w:space="0"/>
              <w:bottom w:val="single" w:color="000000" w:sz="4" w:space="0"/>
              <w:right w:val="single" w:color="000000" w:sz="4" w:space="0"/>
            </w:tcBorders>
            <w:vAlign w:val="center"/>
          </w:tcPr>
          <w:p>
            <w:pPr>
              <w:pStyle w:val="86"/>
              <w:spacing w:before="1" w:line="172" w:lineRule="auto"/>
              <w:ind w:right="137"/>
              <w:jc w:val="center"/>
              <w:rPr>
                <w:sz w:val="18"/>
                <w:szCs w:val="18"/>
              </w:rPr>
            </w:pPr>
            <w:r>
              <w:rPr>
                <w:rFonts w:hint="eastAsia"/>
                <w:sz w:val="18"/>
                <w:szCs w:val="18"/>
              </w:rPr>
              <w:t>非住宅类居住建筑</w:t>
            </w:r>
          </w:p>
        </w:tc>
        <w:tc>
          <w:tcPr>
            <w:tcW w:w="2456" w:type="dxa"/>
            <w:tcBorders>
              <w:top w:val="single" w:color="000000" w:sz="4" w:space="0"/>
              <w:left w:val="single" w:color="000000" w:sz="4" w:space="0"/>
              <w:bottom w:val="single" w:color="000000" w:sz="4" w:space="0"/>
              <w:right w:val="single" w:color="000000" w:sz="4" w:space="0"/>
            </w:tcBorders>
            <w:vAlign w:val="center"/>
          </w:tcPr>
          <w:p>
            <w:pPr>
              <w:pStyle w:val="86"/>
              <w:spacing w:before="149"/>
              <w:jc w:val="center"/>
              <w:rPr>
                <w:sz w:val="18"/>
                <w:szCs w:val="18"/>
              </w:rPr>
            </w:pPr>
            <w:r>
              <w:rPr>
                <w:sz w:val="18"/>
                <w:szCs w:val="18"/>
              </w:rPr>
              <w:t>太阳能光伏系统</w:t>
            </w:r>
          </w:p>
        </w:tc>
        <w:tc>
          <w:tcPr>
            <w:tcW w:w="1832" w:type="dxa"/>
            <w:tcBorders>
              <w:top w:val="single" w:color="000000" w:sz="4" w:space="0"/>
              <w:left w:val="single" w:color="000000" w:sz="4" w:space="0"/>
              <w:bottom w:val="single" w:color="000000" w:sz="4" w:space="0"/>
              <w:right w:val="single" w:color="000000" w:sz="4" w:space="0"/>
            </w:tcBorders>
            <w:vAlign w:val="center"/>
          </w:tcPr>
          <w:p>
            <w:pPr>
              <w:pStyle w:val="86"/>
              <w:spacing w:before="51" w:line="239" w:lineRule="exact"/>
              <w:jc w:val="center"/>
              <w:rPr>
                <w:sz w:val="18"/>
                <w:szCs w:val="18"/>
              </w:rPr>
            </w:pPr>
            <w:r>
              <w:rPr>
                <w:rFonts w:hint="eastAsia"/>
                <w:sz w:val="18"/>
                <w:szCs w:val="18"/>
              </w:rPr>
              <w:t>□</w:t>
            </w:r>
            <w:r>
              <w:rPr>
                <w:sz w:val="18"/>
                <w:szCs w:val="18"/>
              </w:rPr>
              <w:t>是</w:t>
            </w:r>
          </w:p>
          <w:p>
            <w:pPr>
              <w:pStyle w:val="86"/>
              <w:spacing w:line="239" w:lineRule="exact"/>
              <w:jc w:val="center"/>
              <w:rPr>
                <w:sz w:val="18"/>
                <w:szCs w:val="18"/>
              </w:rPr>
            </w:pPr>
            <w:r>
              <w:rPr>
                <w:rFonts w:hint="eastAsia"/>
                <w:sz w:val="18"/>
                <w:szCs w:val="18"/>
              </w:rPr>
              <w:t>□</w:t>
            </w:r>
            <w:r>
              <w:rPr>
                <w:sz w:val="18"/>
                <w:szCs w:val="18"/>
              </w:rPr>
              <w:t>否</w:t>
            </w:r>
          </w:p>
        </w:tc>
        <w:tc>
          <w:tcPr>
            <w:tcW w:w="2573" w:type="dxa"/>
            <w:gridSpan w:val="2"/>
            <w:tcBorders>
              <w:top w:val="single" w:color="000000" w:sz="4" w:space="0"/>
              <w:left w:val="single" w:color="000000" w:sz="4" w:space="0"/>
              <w:bottom w:val="single" w:color="000000" w:sz="4" w:space="0"/>
              <w:right w:val="single" w:color="000000" w:sz="4" w:space="0"/>
            </w:tcBorders>
            <w:vAlign w:val="center"/>
          </w:tcPr>
          <w:p>
            <w:pPr>
              <w:pStyle w:val="86"/>
              <w:spacing w:before="151"/>
              <w:jc w:val="center"/>
              <w:rPr>
                <w:sz w:val="18"/>
                <w:szCs w:val="18"/>
              </w:rPr>
            </w:pPr>
            <w:r>
              <w:rPr>
                <w:sz w:val="18"/>
                <w:szCs w:val="18"/>
              </w:rPr>
              <w:t>其方式及规模</w:t>
            </w:r>
          </w:p>
        </w:tc>
        <w:tc>
          <w:tcPr>
            <w:tcW w:w="1167" w:type="dxa"/>
            <w:tcBorders>
              <w:top w:val="single" w:color="000000" w:sz="4" w:space="0"/>
              <w:left w:val="single" w:color="000000" w:sz="4" w:space="0"/>
              <w:bottom w:val="single" w:color="000000" w:sz="4" w:space="0"/>
            </w:tcBorders>
            <w:vAlign w:val="center"/>
          </w:tcPr>
          <w:p>
            <w:pPr>
              <w:pStyle w:val="86"/>
              <w:jc w:val="center"/>
              <w:rPr>
                <w:rFonts w:ascii="Times New Roman"/>
                <w:sz w:val="18"/>
                <w:szCs w:val="18"/>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7" w:hRule="atLeast"/>
          <w:jc w:val="center"/>
        </w:trPr>
        <w:tc>
          <w:tcPr>
            <w:tcW w:w="2398" w:type="dxa"/>
            <w:vMerge w:val="continue"/>
            <w:tcBorders>
              <w:top w:val="nil"/>
              <w:bottom w:val="single" w:color="000000" w:sz="4" w:space="0"/>
              <w:right w:val="single" w:color="000000" w:sz="4" w:space="0"/>
            </w:tcBorders>
            <w:vAlign w:val="center"/>
          </w:tcPr>
          <w:p>
            <w:pPr>
              <w:jc w:val="center"/>
              <w:rPr>
                <w:sz w:val="18"/>
                <w:szCs w:val="18"/>
              </w:rPr>
            </w:pPr>
          </w:p>
        </w:tc>
        <w:tc>
          <w:tcPr>
            <w:tcW w:w="2456" w:type="dxa"/>
            <w:tcBorders>
              <w:top w:val="single" w:color="000000" w:sz="4" w:space="0"/>
              <w:left w:val="single" w:color="000000" w:sz="4" w:space="0"/>
              <w:bottom w:val="single" w:color="000000" w:sz="4" w:space="0"/>
              <w:right w:val="single" w:color="000000" w:sz="4" w:space="0"/>
            </w:tcBorders>
            <w:vAlign w:val="center"/>
          </w:tcPr>
          <w:p>
            <w:pPr>
              <w:pStyle w:val="86"/>
              <w:spacing w:before="151"/>
              <w:jc w:val="center"/>
              <w:rPr>
                <w:sz w:val="18"/>
                <w:szCs w:val="18"/>
              </w:rPr>
            </w:pPr>
            <w:r>
              <w:rPr>
                <w:sz w:val="18"/>
                <w:szCs w:val="18"/>
              </w:rPr>
              <w:t>太阳能热水系统</w:t>
            </w:r>
            <w:r>
              <w:rPr>
                <w:rFonts w:hint="eastAsia"/>
                <w:sz w:val="18"/>
                <w:szCs w:val="18"/>
              </w:rPr>
              <w:t>或空气源热泵</w:t>
            </w:r>
          </w:p>
        </w:tc>
        <w:tc>
          <w:tcPr>
            <w:tcW w:w="1832" w:type="dxa"/>
            <w:tcBorders>
              <w:top w:val="single" w:color="000000" w:sz="4" w:space="0"/>
              <w:left w:val="single" w:color="000000" w:sz="4" w:space="0"/>
              <w:bottom w:val="single" w:color="000000" w:sz="4" w:space="0"/>
              <w:right w:val="single" w:color="000000" w:sz="4" w:space="0"/>
            </w:tcBorders>
            <w:vAlign w:val="center"/>
          </w:tcPr>
          <w:p>
            <w:pPr>
              <w:pStyle w:val="86"/>
              <w:spacing w:before="51" w:line="239" w:lineRule="exact"/>
              <w:jc w:val="center"/>
              <w:rPr>
                <w:sz w:val="18"/>
                <w:szCs w:val="18"/>
              </w:rPr>
            </w:pPr>
            <w:r>
              <w:rPr>
                <w:rFonts w:hint="eastAsia"/>
                <w:sz w:val="18"/>
                <w:szCs w:val="18"/>
              </w:rPr>
              <w:t>□</w:t>
            </w:r>
            <w:r>
              <w:rPr>
                <w:sz w:val="18"/>
                <w:szCs w:val="18"/>
              </w:rPr>
              <w:t>是</w:t>
            </w:r>
          </w:p>
          <w:p>
            <w:pPr>
              <w:pStyle w:val="86"/>
              <w:spacing w:line="240" w:lineRule="exact"/>
              <w:jc w:val="center"/>
              <w:rPr>
                <w:sz w:val="18"/>
                <w:szCs w:val="18"/>
              </w:rPr>
            </w:pPr>
            <w:r>
              <w:rPr>
                <w:rFonts w:hint="eastAsia"/>
                <w:sz w:val="18"/>
                <w:szCs w:val="18"/>
              </w:rPr>
              <w:t>□</w:t>
            </w:r>
            <w:r>
              <w:rPr>
                <w:sz w:val="18"/>
                <w:szCs w:val="18"/>
              </w:rPr>
              <w:t>否</w:t>
            </w:r>
          </w:p>
        </w:tc>
        <w:tc>
          <w:tcPr>
            <w:tcW w:w="2573" w:type="dxa"/>
            <w:gridSpan w:val="2"/>
            <w:tcBorders>
              <w:top w:val="single" w:color="000000" w:sz="4" w:space="0"/>
              <w:left w:val="single" w:color="000000" w:sz="4" w:space="0"/>
              <w:bottom w:val="single" w:color="000000" w:sz="4" w:space="0"/>
              <w:right w:val="single" w:color="000000" w:sz="4" w:space="0"/>
            </w:tcBorders>
            <w:vAlign w:val="center"/>
          </w:tcPr>
          <w:p>
            <w:pPr>
              <w:pStyle w:val="86"/>
              <w:spacing w:before="150"/>
              <w:jc w:val="center"/>
              <w:rPr>
                <w:sz w:val="18"/>
                <w:szCs w:val="18"/>
              </w:rPr>
            </w:pPr>
            <w:r>
              <w:rPr>
                <w:sz w:val="18"/>
                <w:szCs w:val="18"/>
              </w:rPr>
              <w:t>其方式及规模</w:t>
            </w:r>
          </w:p>
        </w:tc>
        <w:tc>
          <w:tcPr>
            <w:tcW w:w="1167" w:type="dxa"/>
            <w:tcBorders>
              <w:top w:val="single" w:color="000000" w:sz="4" w:space="0"/>
              <w:left w:val="single" w:color="000000" w:sz="4" w:space="0"/>
              <w:bottom w:val="single" w:color="000000" w:sz="4" w:space="0"/>
            </w:tcBorders>
            <w:vAlign w:val="center"/>
          </w:tcPr>
          <w:p>
            <w:pPr>
              <w:pStyle w:val="86"/>
              <w:jc w:val="center"/>
              <w:rPr>
                <w:rFonts w:ascii="Times New Roman"/>
                <w:sz w:val="18"/>
                <w:szCs w:val="18"/>
              </w:rPr>
            </w:pPr>
          </w:p>
        </w:tc>
      </w:tr>
    </w:tbl>
    <w:p>
      <w:pPr>
        <w:spacing w:before="124" w:beforeLines="40" w:after="124" w:afterLines="40"/>
        <w:jc w:val="left"/>
        <w:rPr>
          <w:rFonts w:hAnsi="宋体" w:cs="宋体"/>
          <w:kern w:val="0"/>
          <w:szCs w:val="21"/>
        </w:rPr>
      </w:pPr>
      <w:r>
        <w:rPr>
          <w:rFonts w:hint="eastAsia" w:hAnsi="宋体" w:cs="宋体"/>
          <w:kern w:val="0"/>
          <w:szCs w:val="21"/>
        </w:rPr>
        <w:t>结论：满足浙江省《居住建筑节能设计标准》DB</w:t>
      </w:r>
      <w:r>
        <w:rPr>
          <w:rFonts w:hAnsi="宋体" w:cs="宋体"/>
          <w:kern w:val="0"/>
          <w:szCs w:val="21"/>
        </w:rPr>
        <w:t xml:space="preserve"> </w:t>
      </w:r>
      <w:r>
        <w:rPr>
          <w:rFonts w:hint="eastAsia" w:hAnsi="宋体" w:cs="宋体"/>
          <w:kern w:val="0"/>
          <w:szCs w:val="21"/>
        </w:rPr>
        <w:t>33/1015-20</w:t>
      </w:r>
      <w:r>
        <w:rPr>
          <w:rFonts w:hAnsi="宋体" w:cs="宋体"/>
          <w:kern w:val="0"/>
          <w:szCs w:val="21"/>
        </w:rPr>
        <w:t>21</w:t>
      </w:r>
      <w:r>
        <w:rPr>
          <w:rFonts w:hint="eastAsia" w:hAnsi="宋体" w:cs="宋体"/>
          <w:kern w:val="0"/>
          <w:szCs w:val="21"/>
        </w:rPr>
        <w:t>和</w:t>
      </w:r>
      <w:r>
        <w:rPr>
          <w:rFonts w:hint="eastAsia" w:hAnsi="宋体"/>
          <w:szCs w:val="21"/>
        </w:rPr>
        <w:t>《绿色建筑评价标准》GB/T</w:t>
      </w:r>
      <w:r>
        <w:rPr>
          <w:rFonts w:hAnsi="宋体"/>
          <w:szCs w:val="21"/>
        </w:rPr>
        <w:t xml:space="preserve"> </w:t>
      </w:r>
      <w:r>
        <w:rPr>
          <w:rFonts w:hint="eastAsia" w:hAnsi="宋体"/>
          <w:szCs w:val="21"/>
        </w:rPr>
        <w:t>50378-</w:t>
      </w:r>
      <w:r>
        <w:rPr>
          <w:rFonts w:hint="eastAsia" w:hAnsi="宋体" w:cs="宋体"/>
          <w:kern w:val="0"/>
          <w:szCs w:val="21"/>
        </w:rPr>
        <w:t>201</w:t>
      </w:r>
      <w:r>
        <w:rPr>
          <w:rFonts w:hAnsi="宋体" w:cs="宋体"/>
          <w:kern w:val="0"/>
          <w:szCs w:val="21"/>
        </w:rPr>
        <w:t>9</w:t>
      </w:r>
      <w:r>
        <w:rPr>
          <w:rFonts w:hint="eastAsia" w:hAnsi="宋体" w:cs="宋体"/>
          <w:kern w:val="0"/>
          <w:szCs w:val="21"/>
        </w:rPr>
        <w:t>对建筑节能的规定及要求。</w:t>
      </w:r>
    </w:p>
    <w:p>
      <w:pPr>
        <w:spacing w:before="124" w:beforeLines="40" w:after="124" w:afterLines="40"/>
        <w:jc w:val="left"/>
        <w:rPr>
          <w:rFonts w:hAnsi="宋体" w:cs="宋体"/>
          <w:kern w:val="0"/>
          <w:szCs w:val="21"/>
        </w:rPr>
      </w:pPr>
    </w:p>
    <w:p>
      <w:pPr>
        <w:spacing w:before="124" w:beforeLines="40" w:after="124" w:afterLines="40"/>
        <w:jc w:val="left"/>
        <w:rPr>
          <w:rFonts w:hAnsi="宋体"/>
          <w:szCs w:val="21"/>
        </w:rPr>
      </w:pPr>
      <w:r>
        <w:rPr>
          <w:rFonts w:hint="eastAsia" w:hAnsi="宋体"/>
          <w:szCs w:val="21"/>
        </w:rPr>
        <w:t>2. 项目选用保温形式、建筑节能材料及热工参数参考依据：</w:t>
      </w:r>
    </w:p>
    <w:p>
      <w:pPr>
        <w:spacing w:before="124" w:beforeLines="40" w:after="124" w:afterLines="40" w:line="310" w:lineRule="exact"/>
        <w:jc w:val="left"/>
        <w:rPr>
          <w:rFonts w:hAnsi="宋体"/>
          <w:szCs w:val="21"/>
        </w:rPr>
      </w:pPr>
    </w:p>
    <w:p>
      <w:pPr>
        <w:spacing w:before="124" w:beforeLines="40" w:after="124" w:afterLines="40" w:line="310" w:lineRule="exact"/>
        <w:jc w:val="left"/>
        <w:rPr>
          <w:rFonts w:hAnsi="宋体"/>
          <w:szCs w:val="21"/>
        </w:rPr>
      </w:pPr>
    </w:p>
    <w:p>
      <w:pPr>
        <w:spacing w:before="124" w:beforeLines="40" w:after="124" w:afterLines="40" w:line="310" w:lineRule="exact"/>
        <w:jc w:val="left"/>
        <w:rPr>
          <w:rFonts w:hAnsi="宋体"/>
          <w:szCs w:val="21"/>
        </w:rPr>
      </w:pPr>
    </w:p>
    <w:p>
      <w:pPr>
        <w:pStyle w:val="78"/>
        <w:spacing w:before="109" w:beforeLines="35" w:after="109" w:afterLines="35" w:line="310" w:lineRule="exact"/>
        <w:ind w:firstLine="0" w:firstLineChars="0"/>
        <w:rPr>
          <w:rFonts w:hAnsi="宋体"/>
          <w:szCs w:val="21"/>
        </w:rPr>
      </w:pPr>
      <w:r>
        <w:rPr>
          <w:rFonts w:hint="eastAsia" w:hAnsi="宋体"/>
          <w:szCs w:val="21"/>
        </w:rPr>
        <w:t>3. 项目选用外门窗、透光幕墙热工参数参考依据：</w:t>
      </w:r>
    </w:p>
    <w:p>
      <w:pPr>
        <w:spacing w:before="124" w:beforeLines="40" w:after="124" w:afterLines="40"/>
        <w:jc w:val="left"/>
        <w:rPr>
          <w:rFonts w:hAnsi="宋体"/>
          <w:szCs w:val="21"/>
        </w:rPr>
      </w:pPr>
    </w:p>
    <w:p>
      <w:pPr>
        <w:spacing w:before="124" w:beforeLines="40" w:after="124" w:afterLines="40"/>
        <w:jc w:val="left"/>
        <w:rPr>
          <w:rFonts w:hAnsi="宋体"/>
          <w:szCs w:val="21"/>
        </w:rPr>
      </w:pPr>
    </w:p>
    <w:p>
      <w:pPr>
        <w:spacing w:before="124" w:beforeLines="40" w:after="124" w:afterLines="40"/>
        <w:jc w:val="left"/>
        <w:rPr>
          <w:rFonts w:hAnsi="宋体"/>
          <w:szCs w:val="21"/>
        </w:rPr>
      </w:pPr>
    </w:p>
    <w:p>
      <w:pPr>
        <w:pStyle w:val="78"/>
        <w:spacing w:before="109" w:beforeLines="35" w:after="109" w:afterLines="35" w:line="310" w:lineRule="exact"/>
        <w:ind w:firstLine="0" w:firstLineChars="0"/>
        <w:rPr>
          <w:rFonts w:hAnsi="宋体"/>
          <w:szCs w:val="21"/>
          <w:lang w:val="en-GB"/>
        </w:rPr>
      </w:pPr>
      <w:r>
        <w:rPr>
          <w:rFonts w:hint="eastAsia" w:hAnsi="宋体"/>
          <w:szCs w:val="21"/>
        </w:rPr>
        <w:t xml:space="preserve">4. </w:t>
      </w:r>
      <w:r>
        <w:rPr>
          <w:rFonts w:hint="eastAsia" w:hAnsi="宋体"/>
          <w:szCs w:val="21"/>
          <w:lang w:val="en-GB"/>
        </w:rPr>
        <w:t>项目主要围护结构保温构造做法（分层描述、或节点详图、或图集索引等）：</w:t>
      </w:r>
    </w:p>
    <w:p>
      <w:pPr>
        <w:pStyle w:val="78"/>
        <w:spacing w:before="109" w:beforeLines="35" w:after="109" w:afterLines="35" w:line="310" w:lineRule="exact"/>
        <w:ind w:left="283" w:leftChars="135" w:firstLine="0" w:firstLineChars="0"/>
        <w:rPr>
          <w:rFonts w:hAnsi="宋体"/>
          <w:szCs w:val="21"/>
          <w:lang w:val="en-GB"/>
        </w:rPr>
      </w:pPr>
      <w:r>
        <w:rPr>
          <w:rFonts w:hint="eastAsia" w:hAnsi="宋体"/>
          <w:szCs w:val="21"/>
          <w:lang w:val="en-GB"/>
        </w:rPr>
        <w:t>4.1 屋面做法：</w:t>
      </w:r>
    </w:p>
    <w:p>
      <w:pPr>
        <w:pStyle w:val="78"/>
        <w:spacing w:before="109" w:beforeLines="35" w:after="109" w:afterLines="35" w:line="310" w:lineRule="exact"/>
        <w:ind w:left="283" w:leftChars="135" w:firstLine="0" w:firstLineChars="0"/>
        <w:rPr>
          <w:rFonts w:hAnsi="宋体"/>
          <w:szCs w:val="21"/>
          <w:lang w:val="en-GB"/>
        </w:rPr>
      </w:pPr>
    </w:p>
    <w:p>
      <w:pPr>
        <w:pStyle w:val="78"/>
        <w:spacing w:before="109" w:beforeLines="35" w:after="109" w:afterLines="35" w:line="310" w:lineRule="exact"/>
        <w:ind w:left="283" w:leftChars="135" w:firstLine="0" w:firstLineChars="0"/>
        <w:rPr>
          <w:rFonts w:hAnsi="宋体"/>
          <w:szCs w:val="21"/>
          <w:lang w:val="en-GB"/>
        </w:rPr>
      </w:pPr>
    </w:p>
    <w:p>
      <w:pPr>
        <w:pStyle w:val="78"/>
        <w:spacing w:before="109" w:beforeLines="35" w:after="109" w:afterLines="35" w:line="310" w:lineRule="exact"/>
        <w:ind w:left="283" w:leftChars="135" w:firstLine="0" w:firstLineChars="0"/>
        <w:rPr>
          <w:rFonts w:hAnsi="宋体"/>
          <w:szCs w:val="21"/>
          <w:lang w:val="en-GB"/>
        </w:rPr>
      </w:pPr>
    </w:p>
    <w:p>
      <w:pPr>
        <w:pStyle w:val="78"/>
        <w:spacing w:before="109" w:beforeLines="35" w:after="109" w:afterLines="35" w:line="310" w:lineRule="exact"/>
        <w:ind w:left="283" w:leftChars="135" w:firstLine="0" w:firstLineChars="0"/>
        <w:rPr>
          <w:rFonts w:hAnsi="宋体"/>
          <w:szCs w:val="21"/>
          <w:lang w:val="en-GB"/>
        </w:rPr>
      </w:pPr>
      <w:r>
        <w:rPr>
          <w:rFonts w:hint="eastAsia" w:hAnsi="宋体"/>
          <w:szCs w:val="21"/>
          <w:lang w:val="en-GB"/>
        </w:rPr>
        <w:t>4.2墙体做法：</w:t>
      </w:r>
    </w:p>
    <w:p>
      <w:pPr>
        <w:pStyle w:val="78"/>
        <w:spacing w:before="109" w:beforeLines="35" w:after="109" w:afterLines="35" w:line="310" w:lineRule="exact"/>
        <w:ind w:left="283" w:leftChars="135" w:firstLine="0" w:firstLineChars="0"/>
        <w:rPr>
          <w:rFonts w:hAnsi="宋体"/>
          <w:szCs w:val="21"/>
          <w:lang w:val="en-GB"/>
        </w:rPr>
      </w:pPr>
    </w:p>
    <w:p>
      <w:pPr>
        <w:pStyle w:val="78"/>
        <w:spacing w:before="109" w:beforeLines="35" w:after="109" w:afterLines="35" w:line="310" w:lineRule="exact"/>
        <w:ind w:left="283" w:leftChars="135" w:firstLine="0" w:firstLineChars="0"/>
        <w:rPr>
          <w:rFonts w:hAnsi="宋体"/>
          <w:szCs w:val="21"/>
          <w:lang w:val="en-GB"/>
        </w:rPr>
      </w:pPr>
    </w:p>
    <w:p>
      <w:pPr>
        <w:pStyle w:val="78"/>
        <w:spacing w:before="109" w:beforeLines="35" w:after="109" w:afterLines="35" w:line="310" w:lineRule="exact"/>
        <w:ind w:left="283" w:leftChars="135" w:firstLine="0" w:firstLineChars="0"/>
        <w:rPr>
          <w:rFonts w:hAnsi="宋体"/>
          <w:szCs w:val="21"/>
          <w:lang w:val="en-GB"/>
        </w:rPr>
      </w:pPr>
    </w:p>
    <w:p>
      <w:pPr>
        <w:pStyle w:val="78"/>
        <w:spacing w:before="109" w:beforeLines="35" w:after="109" w:afterLines="35" w:line="310" w:lineRule="exact"/>
        <w:ind w:left="283" w:leftChars="135" w:firstLine="0" w:firstLineChars="0"/>
        <w:rPr>
          <w:rFonts w:hAnsi="宋体"/>
          <w:szCs w:val="21"/>
          <w:lang w:val="en-GB"/>
        </w:rPr>
      </w:pPr>
      <w:r>
        <w:rPr>
          <w:rFonts w:hint="eastAsia" w:hAnsi="宋体"/>
          <w:szCs w:val="21"/>
          <w:lang w:val="en-GB"/>
        </w:rPr>
        <w:t>4.3架空板做法:</w:t>
      </w:r>
    </w:p>
    <w:p>
      <w:pPr>
        <w:pStyle w:val="78"/>
        <w:spacing w:before="109" w:beforeLines="35" w:after="109" w:afterLines="35" w:line="310" w:lineRule="exact"/>
        <w:ind w:left="283" w:leftChars="135" w:firstLine="0" w:firstLineChars="0"/>
        <w:rPr>
          <w:rFonts w:hAnsi="宋体"/>
          <w:szCs w:val="21"/>
          <w:lang w:val="en-GB"/>
        </w:rPr>
      </w:pPr>
    </w:p>
    <w:p>
      <w:pPr>
        <w:pStyle w:val="78"/>
        <w:spacing w:before="109" w:beforeLines="35" w:after="109" w:afterLines="35" w:line="310" w:lineRule="exact"/>
        <w:ind w:left="283" w:leftChars="135" w:firstLine="0" w:firstLineChars="0"/>
        <w:rPr>
          <w:rFonts w:hAnsi="宋体"/>
          <w:szCs w:val="21"/>
          <w:lang w:val="en-GB"/>
        </w:rPr>
      </w:pPr>
    </w:p>
    <w:p>
      <w:pPr>
        <w:pStyle w:val="78"/>
        <w:spacing w:before="109" w:beforeLines="35" w:after="109" w:afterLines="35" w:line="310" w:lineRule="exact"/>
        <w:ind w:left="283" w:leftChars="135" w:firstLine="0" w:firstLineChars="0"/>
        <w:rPr>
          <w:rFonts w:hAnsi="宋体"/>
          <w:szCs w:val="21"/>
          <w:lang w:val="en-GB"/>
        </w:rPr>
      </w:pPr>
    </w:p>
    <w:p>
      <w:pPr>
        <w:pStyle w:val="78"/>
        <w:spacing w:before="109" w:beforeLines="35" w:after="109" w:afterLines="35" w:line="310" w:lineRule="exact"/>
        <w:ind w:left="283" w:leftChars="135" w:firstLine="0" w:firstLineChars="0"/>
        <w:rPr>
          <w:rFonts w:hAnsi="宋体"/>
          <w:szCs w:val="21"/>
          <w:lang w:val="en-GB"/>
        </w:rPr>
      </w:pPr>
      <w:r>
        <w:rPr>
          <w:rFonts w:hint="eastAsia" w:hAnsi="宋体"/>
          <w:szCs w:val="21"/>
          <w:lang w:val="en-GB"/>
        </w:rPr>
        <w:t>4.4门窗做法：</w:t>
      </w:r>
    </w:p>
    <w:p>
      <w:pPr>
        <w:pStyle w:val="78"/>
        <w:spacing w:before="109" w:beforeLines="35" w:after="109" w:afterLines="35" w:line="310" w:lineRule="exact"/>
        <w:ind w:left="283" w:leftChars="135" w:firstLine="0" w:firstLineChars="0"/>
        <w:rPr>
          <w:rFonts w:hAnsi="宋体"/>
          <w:szCs w:val="21"/>
          <w:lang w:val="en-GB"/>
        </w:rPr>
      </w:pPr>
    </w:p>
    <w:p>
      <w:pPr>
        <w:pStyle w:val="78"/>
        <w:spacing w:before="109" w:beforeLines="35" w:after="109" w:afterLines="35" w:line="310" w:lineRule="exact"/>
        <w:ind w:left="283" w:leftChars="135" w:firstLine="0" w:firstLineChars="0"/>
        <w:rPr>
          <w:rFonts w:hAnsi="宋体"/>
          <w:szCs w:val="21"/>
          <w:lang w:val="en-GB"/>
        </w:rPr>
      </w:pPr>
    </w:p>
    <w:p>
      <w:pPr>
        <w:pStyle w:val="78"/>
        <w:spacing w:before="109" w:beforeLines="35" w:after="109" w:afterLines="35" w:line="310" w:lineRule="exact"/>
        <w:ind w:left="283" w:leftChars="135" w:firstLine="0" w:firstLineChars="0"/>
        <w:rPr>
          <w:rFonts w:hAnsi="宋体"/>
          <w:szCs w:val="21"/>
          <w:lang w:val="en-GB"/>
        </w:rPr>
      </w:pPr>
    </w:p>
    <w:p>
      <w:pPr>
        <w:pStyle w:val="78"/>
        <w:spacing w:before="109" w:beforeLines="35" w:after="109" w:afterLines="35" w:line="310" w:lineRule="exact"/>
        <w:ind w:left="283" w:leftChars="135" w:firstLine="0" w:firstLineChars="0"/>
        <w:rPr>
          <w:rFonts w:hAnsi="宋体"/>
          <w:szCs w:val="21"/>
          <w:lang w:val="en-GB"/>
        </w:rPr>
      </w:pPr>
      <w:r>
        <w:rPr>
          <w:rFonts w:hint="eastAsia" w:hAnsi="宋体"/>
          <w:szCs w:val="21"/>
          <w:lang w:val="en-GB"/>
        </w:rPr>
        <w:t>4.5其他做法</w:t>
      </w:r>
    </w:p>
    <w:p>
      <w:pPr>
        <w:spacing w:before="109" w:beforeLines="35" w:after="109" w:afterLines="35"/>
        <w:ind w:left="220"/>
        <w:rPr>
          <w:rFonts w:hAnsi="宋体"/>
          <w:szCs w:val="21"/>
          <w:lang w:val="en-GB"/>
        </w:rPr>
      </w:pPr>
    </w:p>
    <w:p>
      <w:pPr>
        <w:spacing w:before="109" w:beforeLines="35" w:after="109" w:afterLines="35"/>
        <w:ind w:left="220"/>
        <w:rPr>
          <w:rFonts w:hAnsi="宋体"/>
          <w:szCs w:val="21"/>
          <w:lang w:val="en-GB"/>
        </w:rPr>
      </w:pPr>
    </w:p>
    <w:p>
      <w:pPr>
        <w:spacing w:before="109" w:beforeLines="35" w:after="109" w:afterLines="35"/>
        <w:ind w:left="220"/>
        <w:rPr>
          <w:rFonts w:hAnsi="宋体"/>
          <w:szCs w:val="21"/>
          <w:lang w:val="en-GB"/>
        </w:rPr>
      </w:pPr>
    </w:p>
    <w:p>
      <w:pPr>
        <w:rPr>
          <w:rFonts w:hAnsi="宋体"/>
        </w:rPr>
      </w:pPr>
      <w:r>
        <w:rPr>
          <w:rFonts w:hint="eastAsia" w:hAnsi="宋体"/>
          <w:szCs w:val="21"/>
        </w:rPr>
        <w:t>5. 其它需要说明的内容:</w:t>
      </w:r>
    </w:p>
    <w:p>
      <w:pPr>
        <w:widowControl/>
        <w:spacing w:line="360" w:lineRule="auto"/>
        <w:jc w:val="left"/>
        <w:outlineLvl w:val="0"/>
        <w:rPr>
          <w:rFonts w:hAnsi="宋体"/>
          <w:b/>
          <w:bCs/>
          <w:kern w:val="0"/>
          <w:sz w:val="24"/>
        </w:rPr>
        <w:sectPr>
          <w:headerReference r:id="rId6" w:type="default"/>
          <w:pgSz w:w="23814" w:h="16840" w:orient="landscape"/>
          <w:pgMar w:top="1134" w:right="1134" w:bottom="1134" w:left="1134" w:header="851" w:footer="810" w:gutter="0"/>
          <w:cols w:space="630" w:num="2"/>
          <w:docGrid w:type="lines" w:linePitch="312" w:charSpace="0"/>
        </w:sectPr>
      </w:pPr>
    </w:p>
    <w:p>
      <w:pPr>
        <w:pStyle w:val="63"/>
        <w:ind w:firstLine="0"/>
        <w:rPr>
          <w:rFonts w:asciiTheme="minorEastAsia" w:hAnsiTheme="minorEastAsia" w:eastAsiaTheme="minorEastAsia"/>
          <w:b/>
        </w:rPr>
      </w:pPr>
      <w:bookmarkStart w:id="7" w:name="_Toc109325266"/>
      <w:bookmarkStart w:id="8" w:name="_Toc109325902"/>
      <w:r>
        <w:rPr>
          <w:rFonts w:hint="eastAsia" w:asciiTheme="minorEastAsia" w:hAnsiTheme="minorEastAsia" w:eastAsiaTheme="minorEastAsia"/>
          <w:b/>
        </w:rPr>
        <w:t>一、结构主要</w:t>
      </w:r>
      <w:r>
        <w:rPr>
          <w:rFonts w:asciiTheme="minorEastAsia" w:hAnsiTheme="minorEastAsia" w:eastAsiaTheme="minorEastAsia"/>
          <w:b/>
        </w:rPr>
        <w:t>设计</w:t>
      </w:r>
      <w:r>
        <w:rPr>
          <w:rFonts w:hint="eastAsia" w:asciiTheme="minorEastAsia" w:hAnsiTheme="minorEastAsia" w:eastAsiaTheme="minorEastAsia"/>
          <w:b/>
        </w:rPr>
        <w:t>依据</w:t>
      </w:r>
      <w:bookmarkEnd w:id="7"/>
      <w:bookmarkEnd w:id="8"/>
    </w:p>
    <w:p>
      <w:pPr>
        <w:widowControl/>
        <w:numPr>
          <w:ilvl w:val="0"/>
          <w:numId w:val="18"/>
        </w:numPr>
        <w:spacing w:line="400" w:lineRule="exact"/>
        <w:rPr>
          <w:rFonts w:hAnsi="宋体"/>
          <w:szCs w:val="21"/>
        </w:rPr>
      </w:pPr>
      <w:r>
        <w:rPr>
          <w:rFonts w:hint="eastAsia" w:hAnsi="宋体"/>
          <w:szCs w:val="21"/>
        </w:rPr>
        <w:t>《浙江省绿色建筑条例》；</w:t>
      </w:r>
    </w:p>
    <w:p>
      <w:pPr>
        <w:widowControl/>
        <w:numPr>
          <w:ilvl w:val="0"/>
          <w:numId w:val="18"/>
        </w:numPr>
        <w:spacing w:line="400" w:lineRule="exact"/>
        <w:rPr>
          <w:rFonts w:hAnsi="宋体"/>
          <w:szCs w:val="21"/>
        </w:rPr>
      </w:pPr>
      <w:r>
        <w:rPr>
          <w:rFonts w:hint="eastAsia" w:hAnsi="宋体"/>
          <w:szCs w:val="21"/>
        </w:rPr>
        <w:t>《杭州市民用建筑节能条例》；</w:t>
      </w:r>
    </w:p>
    <w:p>
      <w:pPr>
        <w:widowControl/>
        <w:numPr>
          <w:ilvl w:val="0"/>
          <w:numId w:val="18"/>
        </w:numPr>
        <w:spacing w:line="400" w:lineRule="exact"/>
        <w:rPr>
          <w:rFonts w:hAnsi="宋体"/>
          <w:szCs w:val="21"/>
        </w:rPr>
      </w:pPr>
      <w:r>
        <w:rPr>
          <w:rFonts w:hAnsi="宋体"/>
          <w:szCs w:val="21"/>
        </w:rPr>
        <w:t>《绿色建筑评价标准》GB</w:t>
      </w:r>
      <w:r>
        <w:rPr>
          <w:rFonts w:hint="eastAsia" w:hAnsi="宋体"/>
          <w:szCs w:val="21"/>
        </w:rPr>
        <w:t xml:space="preserve">/T </w:t>
      </w:r>
      <w:r>
        <w:rPr>
          <w:rFonts w:hAnsi="宋体"/>
          <w:szCs w:val="21"/>
        </w:rPr>
        <w:t>50378-</w:t>
      </w:r>
      <w:r>
        <w:rPr>
          <w:rFonts w:hint="eastAsia" w:hAnsi="宋体"/>
          <w:szCs w:val="21"/>
        </w:rPr>
        <w:t>2019；</w:t>
      </w:r>
    </w:p>
    <w:p>
      <w:pPr>
        <w:widowControl/>
        <w:numPr>
          <w:ilvl w:val="0"/>
          <w:numId w:val="18"/>
        </w:numPr>
        <w:spacing w:line="400" w:lineRule="exact"/>
        <w:rPr>
          <w:rFonts w:hAnsi="宋体"/>
          <w:szCs w:val="21"/>
        </w:rPr>
      </w:pPr>
      <w:r>
        <w:rPr>
          <w:rFonts w:hint="eastAsia" w:hAnsi="宋体"/>
          <w:szCs w:val="21"/>
        </w:rPr>
        <w:t>《民用建筑绿色设计规范》JGJ/T</w:t>
      </w:r>
      <w:r>
        <w:rPr>
          <w:rFonts w:hAnsi="宋体"/>
          <w:szCs w:val="21"/>
        </w:rPr>
        <w:t xml:space="preserve"> </w:t>
      </w:r>
      <w:r>
        <w:rPr>
          <w:rFonts w:hint="eastAsia" w:hAnsi="宋体"/>
          <w:szCs w:val="21"/>
        </w:rPr>
        <w:t>229-2010；</w:t>
      </w:r>
    </w:p>
    <w:p>
      <w:pPr>
        <w:widowControl/>
        <w:numPr>
          <w:ilvl w:val="0"/>
          <w:numId w:val="18"/>
        </w:numPr>
        <w:spacing w:line="400" w:lineRule="exact"/>
        <w:rPr>
          <w:rFonts w:hAnsi="宋体"/>
          <w:szCs w:val="21"/>
        </w:rPr>
      </w:pPr>
      <w:r>
        <w:rPr>
          <w:rFonts w:hint="eastAsia" w:hAnsi="宋体"/>
          <w:szCs w:val="21"/>
        </w:rPr>
        <w:t>《装配式建筑评价标准》GB/T 51129-2017；</w:t>
      </w:r>
    </w:p>
    <w:p>
      <w:pPr>
        <w:widowControl/>
        <w:numPr>
          <w:ilvl w:val="0"/>
          <w:numId w:val="18"/>
        </w:numPr>
        <w:spacing w:line="400" w:lineRule="exact"/>
        <w:rPr>
          <w:rFonts w:hAnsi="宋体"/>
          <w:szCs w:val="21"/>
        </w:rPr>
      </w:pPr>
      <w:r>
        <w:rPr>
          <w:rFonts w:hint="eastAsia" w:hAnsi="宋体"/>
          <w:szCs w:val="21"/>
        </w:rPr>
        <w:t>浙江省《装配式建筑评价标准》DB</w:t>
      </w:r>
      <w:r>
        <w:rPr>
          <w:rFonts w:hAnsi="宋体"/>
          <w:szCs w:val="21"/>
        </w:rPr>
        <w:t xml:space="preserve"> </w:t>
      </w:r>
      <w:r>
        <w:rPr>
          <w:rFonts w:hint="eastAsia" w:hAnsi="宋体"/>
          <w:szCs w:val="21"/>
        </w:rPr>
        <w:t>33/T1165-2019；</w:t>
      </w:r>
    </w:p>
    <w:p>
      <w:pPr>
        <w:widowControl/>
        <w:numPr>
          <w:ilvl w:val="0"/>
          <w:numId w:val="18"/>
        </w:numPr>
        <w:spacing w:line="400" w:lineRule="exact"/>
        <w:rPr>
          <w:rFonts w:hAnsi="宋体"/>
          <w:szCs w:val="21"/>
        </w:rPr>
      </w:pPr>
      <w:r>
        <w:rPr>
          <w:rFonts w:hint="eastAsia" w:hAnsi="宋体"/>
          <w:szCs w:val="21"/>
        </w:rPr>
        <w:t>浙江省《绿色建筑设计标准》</w:t>
      </w:r>
      <w:r>
        <w:rPr>
          <w:rFonts w:hAnsi="宋体"/>
          <w:szCs w:val="21"/>
        </w:rPr>
        <w:t>DB 33/1092-20</w:t>
      </w:r>
      <w:r>
        <w:rPr>
          <w:rFonts w:hint="eastAsia" w:hAnsi="宋体"/>
          <w:szCs w:val="21"/>
        </w:rPr>
        <w:t>21；</w:t>
      </w:r>
    </w:p>
    <w:p>
      <w:pPr>
        <w:widowControl/>
        <w:numPr>
          <w:ilvl w:val="0"/>
          <w:numId w:val="18"/>
        </w:numPr>
        <w:spacing w:line="400" w:lineRule="exact"/>
        <w:rPr>
          <w:rFonts w:hAnsi="宋体"/>
          <w:szCs w:val="21"/>
        </w:rPr>
      </w:pPr>
      <w:r>
        <w:rPr>
          <w:rFonts w:hint="eastAsia" w:hAnsi="宋体"/>
          <w:szCs w:val="21"/>
        </w:rPr>
        <w:t>住房和城乡建设部、工业和信息化部《关于加快应用高强钢筋的指导意见》（建标</w:t>
      </w:r>
      <w:r>
        <w:rPr>
          <w:rFonts w:hint="eastAsia" w:hAnsi="宋体" w:cs="宋体"/>
          <w:kern w:val="0"/>
          <w:szCs w:val="21"/>
        </w:rPr>
        <w:t>〔201</w:t>
      </w:r>
      <w:r>
        <w:rPr>
          <w:rFonts w:hAnsi="宋体" w:cs="宋体"/>
          <w:kern w:val="0"/>
          <w:szCs w:val="21"/>
        </w:rPr>
        <w:t>2</w:t>
      </w:r>
      <w:r>
        <w:rPr>
          <w:rFonts w:hint="eastAsia" w:hAnsi="宋体" w:cs="宋体"/>
          <w:kern w:val="0"/>
          <w:szCs w:val="21"/>
        </w:rPr>
        <w:t>〕</w:t>
      </w:r>
      <w:r>
        <w:rPr>
          <w:rFonts w:hint="eastAsia" w:hAnsi="宋体"/>
          <w:szCs w:val="21"/>
        </w:rPr>
        <w:t>1号）；</w:t>
      </w:r>
    </w:p>
    <w:p>
      <w:pPr>
        <w:widowControl/>
        <w:numPr>
          <w:ilvl w:val="0"/>
          <w:numId w:val="18"/>
        </w:numPr>
        <w:spacing w:line="400" w:lineRule="exact"/>
        <w:rPr>
          <w:rFonts w:hAnsi="宋体"/>
          <w:szCs w:val="21"/>
        </w:rPr>
      </w:pPr>
      <w:r>
        <w:rPr>
          <w:rFonts w:hint="eastAsia" w:hAnsi="宋体"/>
          <w:szCs w:val="21"/>
        </w:rPr>
        <w:t>《浙江省建设领域推广应用技术公告》和《浙江省建设领域禁止和限制使用技术公告》 （浙建发</w:t>
      </w:r>
      <w:r>
        <w:rPr>
          <w:rFonts w:hint="eastAsia" w:hAnsi="宋体" w:cs="宋体"/>
          <w:kern w:val="0"/>
          <w:szCs w:val="21"/>
        </w:rPr>
        <w:t>〔2014〕</w:t>
      </w:r>
      <w:r>
        <w:rPr>
          <w:rFonts w:hint="eastAsia" w:hAnsi="宋体"/>
          <w:szCs w:val="21"/>
        </w:rPr>
        <w:t xml:space="preserve">284号）； </w:t>
      </w:r>
    </w:p>
    <w:p>
      <w:pPr>
        <w:numPr>
          <w:ilvl w:val="0"/>
          <w:numId w:val="18"/>
        </w:numPr>
        <w:spacing w:line="454" w:lineRule="exact"/>
        <w:rPr>
          <w:rFonts w:hAnsi="宋体" w:cs="宋体"/>
          <w:kern w:val="0"/>
          <w:szCs w:val="21"/>
        </w:rPr>
      </w:pPr>
      <w:r>
        <w:rPr>
          <w:rFonts w:hint="eastAsia" w:hAnsi="宋体" w:cs="宋体"/>
          <w:kern w:val="0"/>
          <w:szCs w:val="21"/>
        </w:rPr>
        <w:t>项目环境影响评价报告：_</w:t>
      </w:r>
      <w:r>
        <w:rPr>
          <w:rFonts w:hAnsi="宋体" w:cs="宋体"/>
          <w:kern w:val="0"/>
          <w:szCs w:val="21"/>
        </w:rPr>
        <w:t>_________________</w:t>
      </w:r>
      <w:r>
        <w:rPr>
          <w:rFonts w:hint="eastAsia" w:hAnsi="宋体" w:cs="宋体"/>
          <w:kern w:val="0"/>
          <w:szCs w:val="21"/>
        </w:rPr>
        <w:t>；</w:t>
      </w:r>
    </w:p>
    <w:p>
      <w:pPr>
        <w:numPr>
          <w:ilvl w:val="0"/>
          <w:numId w:val="18"/>
        </w:numPr>
        <w:spacing w:line="454" w:lineRule="exact"/>
        <w:rPr>
          <w:rFonts w:hAnsi="宋体" w:cs="宋体"/>
          <w:kern w:val="0"/>
          <w:szCs w:val="21"/>
        </w:rPr>
      </w:pPr>
      <w:r>
        <w:rPr>
          <w:rFonts w:hint="eastAsia" w:asciiTheme="minorEastAsia" w:hAnsiTheme="minorEastAsia" w:eastAsiaTheme="minorEastAsia"/>
          <w:szCs w:val="21"/>
          <w:lang w:eastAsia="zh-CN"/>
        </w:rPr>
        <w:t>节</w:t>
      </w:r>
      <w:r>
        <w:rPr>
          <w:rFonts w:hint="eastAsia" w:asciiTheme="minorEastAsia" w:hAnsiTheme="minorEastAsia" w:eastAsiaTheme="minorEastAsia"/>
          <w:szCs w:val="21"/>
        </w:rPr>
        <w:t>能评估报告书（表）；</w:t>
      </w:r>
    </w:p>
    <w:p>
      <w:pPr>
        <w:numPr>
          <w:ilvl w:val="0"/>
          <w:numId w:val="18"/>
        </w:numPr>
        <w:spacing w:line="454" w:lineRule="exact"/>
        <w:rPr>
          <w:rFonts w:hAnsi="宋体" w:cs="宋体"/>
          <w:kern w:val="0"/>
          <w:szCs w:val="21"/>
        </w:rPr>
      </w:pPr>
      <w:r>
        <w:rPr>
          <w:rFonts w:hint="eastAsia" w:hAnsi="宋体" w:cs="宋体"/>
          <w:kern w:val="0"/>
          <w:szCs w:val="21"/>
        </w:rPr>
        <w:t>建设单位提供的文件资料要求；</w:t>
      </w:r>
    </w:p>
    <w:p>
      <w:pPr>
        <w:numPr>
          <w:ilvl w:val="0"/>
          <w:numId w:val="18"/>
        </w:numPr>
        <w:spacing w:line="454" w:lineRule="exact"/>
        <w:rPr>
          <w:rFonts w:hAnsi="宋体" w:cs="宋体"/>
          <w:kern w:val="0"/>
          <w:szCs w:val="21"/>
        </w:rPr>
      </w:pPr>
      <w:r>
        <w:rPr>
          <w:rFonts w:hAnsi="宋体" w:cs="宋体"/>
          <w:kern w:val="0"/>
          <w:szCs w:val="21"/>
        </w:rPr>
        <w:t>现行国家、</w:t>
      </w:r>
      <w:r>
        <w:rPr>
          <w:rFonts w:hint="eastAsia" w:hAnsi="宋体" w:cs="宋体"/>
          <w:kern w:val="0"/>
          <w:szCs w:val="21"/>
        </w:rPr>
        <w:t>行业、地方</w:t>
      </w:r>
      <w:r>
        <w:rPr>
          <w:rFonts w:hAnsi="宋体" w:cs="宋体"/>
          <w:kern w:val="0"/>
          <w:szCs w:val="21"/>
        </w:rPr>
        <w:t>相关</w:t>
      </w:r>
      <w:r>
        <w:rPr>
          <w:rFonts w:hint="eastAsia" w:hAnsi="宋体" w:cs="宋体"/>
          <w:kern w:val="0"/>
          <w:szCs w:val="21"/>
        </w:rPr>
        <w:t>绿色建筑与</w:t>
      </w:r>
      <w:r>
        <w:rPr>
          <w:rFonts w:hAnsi="宋体" w:cs="宋体"/>
          <w:kern w:val="0"/>
          <w:szCs w:val="21"/>
        </w:rPr>
        <w:t>节能</w:t>
      </w:r>
      <w:r>
        <w:rPr>
          <w:rFonts w:hint="eastAsia" w:hAnsi="宋体" w:cs="宋体"/>
          <w:kern w:val="0"/>
          <w:szCs w:val="21"/>
        </w:rPr>
        <w:t>的</w:t>
      </w:r>
      <w:r>
        <w:rPr>
          <w:rFonts w:hAnsi="宋体" w:cs="宋体"/>
          <w:kern w:val="0"/>
          <w:szCs w:val="21"/>
        </w:rPr>
        <w:t>法律、法规</w:t>
      </w:r>
      <w:r>
        <w:rPr>
          <w:rFonts w:hint="eastAsia" w:hAnsi="宋体" w:cs="宋体"/>
          <w:kern w:val="0"/>
          <w:szCs w:val="21"/>
        </w:rPr>
        <w:t>和规范性文件。</w:t>
      </w:r>
    </w:p>
    <w:p>
      <w:pPr>
        <w:tabs>
          <w:tab w:val="left" w:pos="4835"/>
        </w:tabs>
        <w:snapToGrid w:val="0"/>
        <w:spacing w:line="360" w:lineRule="auto"/>
        <w:ind w:firstLine="360" w:firstLineChars="200"/>
        <w:jc w:val="left"/>
        <w:rPr>
          <w:rFonts w:hAnsi="宋体"/>
          <w:sz w:val="18"/>
          <w:szCs w:val="18"/>
        </w:rPr>
      </w:pPr>
    </w:p>
    <w:p>
      <w:pPr>
        <w:pStyle w:val="63"/>
        <w:ind w:firstLine="0"/>
        <w:rPr>
          <w:rFonts w:asciiTheme="minorEastAsia" w:hAnsiTheme="minorEastAsia" w:eastAsiaTheme="minorEastAsia"/>
          <w:b/>
        </w:rPr>
      </w:pPr>
      <w:bookmarkStart w:id="9" w:name="_Toc109325267"/>
      <w:bookmarkStart w:id="10" w:name="_Toc109325903"/>
      <w:r>
        <w:rPr>
          <w:rFonts w:hint="eastAsia" w:asciiTheme="minorEastAsia" w:hAnsiTheme="minorEastAsia" w:eastAsiaTheme="minorEastAsia"/>
          <w:b/>
        </w:rPr>
        <w:t>二、结构设计技术措施：</w:t>
      </w:r>
      <w:bookmarkEnd w:id="9"/>
      <w:bookmarkEnd w:id="10"/>
    </w:p>
    <w:p>
      <w:pPr>
        <w:spacing w:line="360" w:lineRule="auto"/>
        <w:rPr>
          <w:rFonts w:hAnsi="宋体"/>
          <w:b/>
          <w:sz w:val="24"/>
        </w:rPr>
      </w:pPr>
      <w:r>
        <w:rPr>
          <w:rFonts w:hAnsi="宋体"/>
          <w:b/>
          <w:sz w:val="24"/>
        </w:rPr>
        <w:t>可达绿色</w:t>
      </w:r>
      <w:r>
        <w:rPr>
          <w:rFonts w:hAnsi="宋体"/>
          <w:b/>
          <w:sz w:val="24"/>
          <w:lang w:val="en-GB"/>
        </w:rPr>
        <w:t>建筑</w:t>
      </w:r>
      <w:r>
        <w:rPr>
          <w:rFonts w:hint="eastAsia" w:hAnsi="宋体"/>
          <w:b/>
          <w:sz w:val="24"/>
          <w:lang w:val="en-GB"/>
        </w:rPr>
        <w:t>预评价</w:t>
      </w:r>
      <w:r>
        <w:rPr>
          <w:rFonts w:hAnsi="宋体"/>
          <w:b/>
          <w:sz w:val="24"/>
        </w:rPr>
        <w:t>等级</w:t>
      </w:r>
      <w:r>
        <w:rPr>
          <w:rFonts w:hint="eastAsia" w:hAnsi="宋体"/>
          <w:b/>
          <w:sz w:val="24"/>
        </w:rPr>
        <w:t>：</w:t>
      </w:r>
      <w:r>
        <w:rPr>
          <w:rFonts w:hint="eastAsia" w:asciiTheme="minorEastAsia" w:hAnsiTheme="minorEastAsia" w:eastAsiaTheme="minorEastAsia"/>
          <w:b/>
          <w:sz w:val="24"/>
        </w:rPr>
        <w:t>□ 一星级；</w:t>
      </w:r>
      <w:r>
        <w:rPr>
          <w:rFonts w:hAnsi="宋体"/>
          <w:b/>
          <w:sz w:val="24"/>
        </w:rPr>
        <w:t>□ 二星级</w:t>
      </w:r>
      <w:r>
        <w:rPr>
          <w:rFonts w:hint="eastAsia" w:hAnsi="宋体"/>
          <w:b/>
          <w:sz w:val="24"/>
        </w:rPr>
        <w:t>；</w:t>
      </w:r>
      <w:r>
        <w:rPr>
          <w:rFonts w:hAnsi="宋体"/>
          <w:b/>
          <w:sz w:val="24"/>
        </w:rPr>
        <w:t xml:space="preserve">□ </w:t>
      </w:r>
      <w:r>
        <w:rPr>
          <w:rFonts w:hint="eastAsia" w:hAnsi="宋体"/>
          <w:b/>
          <w:sz w:val="24"/>
        </w:rPr>
        <w:t>三</w:t>
      </w:r>
      <w:r>
        <w:rPr>
          <w:rFonts w:hAnsi="宋体"/>
          <w:b/>
          <w:sz w:val="24"/>
        </w:rPr>
        <w:t>星级</w:t>
      </w:r>
      <w:r>
        <w:rPr>
          <w:rFonts w:hint="eastAsia" w:hAnsi="宋体"/>
          <w:b/>
          <w:sz w:val="24"/>
        </w:rPr>
        <w:t>。</w:t>
      </w: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rPr>
      </w:pPr>
      <w:r>
        <w:rPr>
          <w:rFonts w:hint="eastAsia" w:hAnsi="宋体"/>
          <w:b/>
          <w:sz w:val="24"/>
          <w:lang w:val="en-GB"/>
        </w:rPr>
        <w:t>结构设计技术措施</w:t>
      </w: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rPr>
      </w:pPr>
      <w:r>
        <w:rPr>
          <w:rFonts w:hint="eastAsia" w:hAnsi="宋体"/>
          <w:b/>
          <w:sz w:val="24"/>
          <w:lang w:val="en-GB"/>
        </w:rPr>
        <w:t>控制项内容</w:t>
      </w:r>
    </w:p>
    <w:p>
      <w:pPr>
        <w:pStyle w:val="90"/>
        <w:numPr>
          <w:ilvl w:val="0"/>
          <w:numId w:val="19"/>
        </w:numPr>
      </w:pPr>
      <w:r>
        <w:rPr>
          <w:rFonts w:hint="eastAsia"/>
        </w:rPr>
        <w:t>未</w:t>
      </w:r>
      <w:r>
        <w:t>采用国家和</w:t>
      </w:r>
      <w:r>
        <w:rPr>
          <w:rFonts w:hint="eastAsia"/>
        </w:rPr>
        <w:t>地方明令</w:t>
      </w:r>
      <w:r>
        <w:t>禁止使用或淘汰的材料</w:t>
      </w:r>
      <w:r>
        <w:rPr>
          <w:rFonts w:hint="eastAsia"/>
        </w:rPr>
        <w:t>和产</w:t>
      </w:r>
      <w:r>
        <w:t>品</w:t>
      </w:r>
      <w:r>
        <w:rPr>
          <w:rFonts w:hint="eastAsia"/>
        </w:rPr>
        <w:t xml:space="preserve">。 </w:t>
      </w:r>
    </w:p>
    <w:p>
      <w:pPr>
        <w:pStyle w:val="90"/>
        <w:ind w:left="422" w:hanging="421" w:hangingChars="200"/>
      </w:pPr>
      <w:r>
        <w:rPr>
          <w:rFonts w:hint="eastAsia"/>
        </w:rPr>
        <w:t>混凝土结构中梁、柱、剪力墙等构件的受力普通钢筋采用不低于400MPa级的热扎带肋钢筋。</w:t>
      </w:r>
    </w:p>
    <w:p>
      <w:pPr>
        <w:pStyle w:val="90"/>
        <w:ind w:left="422" w:hanging="421" w:hangingChars="200"/>
      </w:pPr>
      <w:r>
        <w:t>选择建设场地时，满足现行国家标准《建筑抗震设计规范》GB50011的相关要求。</w:t>
      </w:r>
    </w:p>
    <w:p>
      <w:pPr>
        <w:pStyle w:val="90"/>
        <w:ind w:left="422" w:hanging="421" w:hangingChars="200"/>
      </w:pPr>
      <w:r>
        <w:rPr>
          <w:rFonts w:hint="eastAsia"/>
        </w:rPr>
        <w:t>建筑结构满足承载力、变形和建筑使用功能的要求，结构构件的耐久性满足相应设计使用年限的要求。</w:t>
      </w:r>
    </w:p>
    <w:p>
      <w:pPr>
        <w:pStyle w:val="90"/>
        <w:ind w:left="422" w:hanging="421" w:hangingChars="200"/>
      </w:pPr>
      <w:r>
        <w:rPr>
          <w:rFonts w:hint="eastAsia"/>
        </w:rPr>
        <w:t>非结构构件与建筑结构牢固连接， 并能适应主体结构变形。</w:t>
      </w:r>
    </w:p>
    <w:p>
      <w:pPr>
        <w:pStyle w:val="90"/>
        <w:ind w:left="422" w:hanging="421" w:hangingChars="200"/>
      </w:pPr>
      <w:r>
        <w:t>结构方案满足抗震概念设计的要求，未采用严重不规则的结构方案，对于特别不规则的结构合理确定抗震性能目标。</w:t>
      </w:r>
    </w:p>
    <w:p>
      <w:pPr>
        <w:pStyle w:val="90"/>
        <w:ind w:left="422" w:hanging="421" w:hangingChars="200"/>
      </w:pPr>
      <w:r>
        <w:rPr>
          <w:rFonts w:hint="eastAsia"/>
        </w:rPr>
        <w:t>500km以内生产的建筑材料重量占建筑材料总重量的比例大于60％。</w:t>
      </w:r>
    </w:p>
    <w:p>
      <w:pPr>
        <w:pStyle w:val="90"/>
        <w:ind w:left="422" w:hanging="421" w:hangingChars="200"/>
      </w:pPr>
      <w:r>
        <w:rPr>
          <w:rFonts w:hint="eastAsia"/>
        </w:rPr>
        <w:t>现浇混凝土采用预拌混凝土，建筑砂浆采用预拌砂浆。</w:t>
      </w:r>
    </w:p>
    <w:p>
      <w:pPr>
        <w:pStyle w:val="90"/>
        <w:ind w:left="422"/>
      </w:pP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lang w:val="en-GB"/>
        </w:rPr>
      </w:pPr>
      <w:r>
        <w:rPr>
          <w:rFonts w:hint="eastAsia" w:hAnsi="宋体"/>
          <w:b/>
          <w:sz w:val="24"/>
          <w:lang w:val="en-GB"/>
        </w:rPr>
        <w:t>一般项内容</w:t>
      </w:r>
    </w:p>
    <w:p>
      <w:pPr>
        <w:pStyle w:val="87"/>
        <w:numPr>
          <w:ilvl w:val="0"/>
          <w:numId w:val="20"/>
        </w:numPr>
        <w:rPr>
          <w:lang w:val="en-GB"/>
        </w:rPr>
      </w:pPr>
      <w:r>
        <w:rPr>
          <w:rFonts w:hint="eastAsia"/>
          <w:lang w:val="en-GB"/>
        </w:rPr>
        <w:t>对结构体系、基础形式、结构布置及构件截面、结构材料与构件进行优化设计：</w:t>
      </w:r>
    </w:p>
    <w:p>
      <w:pPr>
        <w:pStyle w:val="88"/>
        <w:numPr>
          <w:ilvl w:val="1"/>
          <w:numId w:val="21"/>
        </w:numPr>
        <w:rPr>
          <w:lang w:val="en-GB"/>
        </w:rPr>
      </w:pPr>
      <w:r>
        <w:rPr>
          <w:rFonts w:hint="eastAsia"/>
          <w:lang w:val="en-GB"/>
        </w:rPr>
        <w:t xml:space="preserve">对结构体系进行优化设计：           </w:t>
      </w:r>
      <w:r>
        <w:rPr>
          <w:rFonts w:hint="eastAsia"/>
        </w:rPr>
        <w:t>□是；□否。</w:t>
      </w:r>
    </w:p>
    <w:p>
      <w:pPr>
        <w:pStyle w:val="88"/>
      </w:pPr>
      <w:r>
        <w:rPr>
          <w:rFonts w:hint="eastAsia"/>
          <w:lang w:val="en-GB"/>
        </w:rPr>
        <w:t xml:space="preserve">对基础形式进行优化设计：           </w:t>
      </w:r>
      <w:r>
        <w:rPr>
          <w:rFonts w:hint="eastAsia"/>
        </w:rPr>
        <w:t>□是；□否。</w:t>
      </w:r>
    </w:p>
    <w:p>
      <w:pPr>
        <w:pStyle w:val="88"/>
        <w:rPr>
          <w:lang w:val="en-GB"/>
        </w:rPr>
      </w:pPr>
      <w:r>
        <w:rPr>
          <w:rFonts w:hint="eastAsia"/>
          <w:lang w:val="en-GB"/>
        </w:rPr>
        <w:t xml:space="preserve">对结构布置及构件截面进行优化设计： </w:t>
      </w:r>
      <w:r>
        <w:rPr>
          <w:rFonts w:hint="eastAsia"/>
        </w:rPr>
        <w:t>□是；□否。</w:t>
      </w:r>
    </w:p>
    <w:p>
      <w:pPr>
        <w:pStyle w:val="88"/>
        <w:rPr>
          <w:lang w:val="en-GB"/>
        </w:rPr>
      </w:pPr>
      <w:r>
        <w:rPr>
          <w:rFonts w:hint="eastAsia"/>
          <w:lang w:val="en-GB"/>
        </w:rPr>
        <w:t xml:space="preserve">对结构材料与构件进行优化设计：     </w:t>
      </w:r>
      <w:r>
        <w:rPr>
          <w:rFonts w:hint="eastAsia"/>
        </w:rPr>
        <w:t>□是；□否。</w:t>
      </w:r>
    </w:p>
    <w:p>
      <w:pPr>
        <w:pStyle w:val="87"/>
        <w:rPr>
          <w:lang w:val="en-GB"/>
        </w:rPr>
      </w:pPr>
      <w:r>
        <w:rPr>
          <w:rFonts w:hint="eastAsia"/>
          <w:lang w:val="en-GB"/>
        </w:rPr>
        <w:t xml:space="preserve">采用基于性能的抗震设计并合理提高建筑的抗震性能:  </w:t>
      </w:r>
      <w:r>
        <w:rPr>
          <w:rFonts w:hint="eastAsia"/>
        </w:rPr>
        <w:t>□是；□否。</w:t>
      </w:r>
    </w:p>
    <w:p>
      <w:pPr>
        <w:pStyle w:val="87"/>
        <w:rPr>
          <w:lang w:val="en-GB"/>
        </w:rPr>
      </w:pPr>
      <w:r>
        <w:rPr>
          <w:rFonts w:hint="eastAsia"/>
          <w:lang w:val="en-GB"/>
        </w:rPr>
        <w:t xml:space="preserve">建筑结构与建筑设备管线分离布置:      </w:t>
      </w:r>
      <w:r>
        <w:rPr>
          <w:rFonts w:hint="eastAsia"/>
        </w:rPr>
        <w:t>□是；□否。</w:t>
      </w:r>
    </w:p>
    <w:p>
      <w:pPr>
        <w:pStyle w:val="87"/>
        <w:rPr>
          <w:lang w:val="en-GB"/>
        </w:rPr>
      </w:pPr>
      <w:r>
        <w:rPr>
          <w:rFonts w:hint="eastAsia"/>
          <w:lang w:val="en-GB"/>
        </w:rPr>
        <w:t xml:space="preserve">按100年进行耐久性设计：             </w:t>
      </w:r>
      <w:r>
        <w:rPr>
          <w:rFonts w:hint="eastAsia"/>
        </w:rPr>
        <w:t>□是；□否。</w:t>
      </w:r>
    </w:p>
    <w:p>
      <w:pPr>
        <w:pStyle w:val="87"/>
        <w:rPr>
          <w:lang w:val="en-GB"/>
        </w:rPr>
      </w:pPr>
      <w:r>
        <w:rPr>
          <w:rFonts w:hint="eastAsia"/>
          <w:lang w:val="en-GB"/>
        </w:rPr>
        <w:t>对于混凝土构件，提高钢筋保护层厚度或采用高耐久混凝土：</w:t>
      </w:r>
      <w:r>
        <w:rPr>
          <w:rFonts w:hint="eastAsia"/>
        </w:rPr>
        <w:t>□是；□否；□未涉及。</w:t>
      </w:r>
    </w:p>
    <w:p>
      <w:pPr>
        <w:pStyle w:val="87"/>
        <w:rPr>
          <w:lang w:val="en-GB"/>
        </w:rPr>
      </w:pPr>
      <w:r>
        <w:rPr>
          <w:lang w:val="en-GB"/>
        </w:rPr>
        <w:t>对于钢</w:t>
      </w:r>
      <w:r>
        <w:rPr>
          <w:rFonts w:hint="eastAsia"/>
          <w:lang w:val="en-GB"/>
        </w:rPr>
        <w:t>构件，</w:t>
      </w:r>
      <w:r>
        <w:rPr>
          <w:lang w:val="en-GB"/>
        </w:rPr>
        <w:t>采用耐候结构钢或耐候</w:t>
      </w:r>
      <w:r>
        <w:rPr>
          <w:rFonts w:hint="eastAsia"/>
          <w:lang w:val="en-GB"/>
        </w:rPr>
        <w:t>型</w:t>
      </w:r>
      <w:r>
        <w:rPr>
          <w:lang w:val="en-GB"/>
        </w:rPr>
        <w:t>防腐涂料</w:t>
      </w:r>
      <w:r>
        <w:rPr>
          <w:rFonts w:hint="eastAsia"/>
          <w:lang w:val="en-GB"/>
        </w:rPr>
        <w:t xml:space="preserve">：          </w:t>
      </w:r>
      <w:r>
        <w:rPr>
          <w:rFonts w:hint="eastAsia"/>
        </w:rPr>
        <w:t>□是；□否；□未涉及。</w:t>
      </w:r>
    </w:p>
    <w:p>
      <w:pPr>
        <w:pStyle w:val="87"/>
        <w:rPr>
          <w:lang w:val="en-GB"/>
        </w:rPr>
      </w:pPr>
      <w:r>
        <w:rPr>
          <w:rFonts w:hint="eastAsia"/>
          <w:lang w:val="en-GB"/>
        </w:rPr>
        <w:t xml:space="preserve">对于木构件，采用防腐木材、耐久木材或耐久木制品：      </w:t>
      </w:r>
      <w:r>
        <w:rPr>
          <w:rFonts w:hint="eastAsia"/>
        </w:rPr>
        <w:t>□是；□否；□未涉及。</w:t>
      </w:r>
    </w:p>
    <w:p>
      <w:pPr>
        <w:pStyle w:val="87"/>
        <w:rPr>
          <w:lang w:val="en-GB"/>
        </w:rPr>
      </w:pPr>
      <w:r>
        <w:rPr>
          <w:rFonts w:hint="eastAsia"/>
          <w:lang w:val="en-GB"/>
        </w:rPr>
        <w:t>合理选用建筑结构材料与构件，并明确：</w:t>
      </w:r>
    </w:p>
    <w:p>
      <w:pPr>
        <w:pStyle w:val="88"/>
        <w:numPr>
          <w:ilvl w:val="1"/>
          <w:numId w:val="22"/>
        </w:numPr>
        <w:rPr>
          <w:lang w:val="en-GB"/>
        </w:rPr>
      </w:pPr>
      <w:r>
        <w:rPr>
          <w:rFonts w:hint="eastAsia"/>
          <w:lang w:val="en-GB"/>
        </w:rPr>
        <w:t>钢筋混凝土结构或混合结构中混凝土部分，400MPa级及以上受力普通钢筋占受力普通钢筋总量</w:t>
      </w:r>
    </w:p>
    <w:p>
      <w:pPr>
        <w:pStyle w:val="88"/>
        <w:numPr>
          <w:ilvl w:val="0"/>
          <w:numId w:val="0"/>
        </w:numPr>
        <w:ind w:left="992"/>
        <w:rPr>
          <w:lang w:val="en-GB"/>
        </w:rPr>
      </w:pPr>
      <w:r>
        <w:rPr>
          <w:rFonts w:hint="eastAsia"/>
          <w:lang w:val="en-GB"/>
        </w:rPr>
        <w:t>的比例为：</w:t>
      </w:r>
      <w:r>
        <w:rPr>
          <w:rFonts w:hint="eastAsia"/>
          <w:u w:val="single"/>
          <w:lang w:val="en-GB"/>
        </w:rPr>
        <w:t xml:space="preserve">             </w:t>
      </w:r>
    </w:p>
    <w:p>
      <w:pPr>
        <w:pStyle w:val="88"/>
        <w:rPr>
          <w:lang w:val="en-GB"/>
        </w:rPr>
      </w:pPr>
      <w:r>
        <w:rPr>
          <w:rFonts w:hint="eastAsia"/>
          <w:lang w:val="en-GB"/>
        </w:rPr>
        <w:t>100米以上高层钢筋混凝土结构中竖向承重结构采用强度等级不小于C50混凝土用量占竖向承重结构中混凝土总量的比例为：</w:t>
      </w:r>
      <w:r>
        <w:rPr>
          <w:rFonts w:hint="eastAsia"/>
          <w:u w:val="single"/>
          <w:lang w:val="en-GB"/>
        </w:rPr>
        <w:t xml:space="preserve">             </w:t>
      </w:r>
    </w:p>
    <w:p>
      <w:pPr>
        <w:pStyle w:val="88"/>
        <w:rPr>
          <w:lang w:val="en-GB"/>
        </w:rPr>
      </w:pPr>
      <w:r>
        <w:rPr>
          <w:rFonts w:hint="eastAsia"/>
          <w:lang w:val="en-GB"/>
        </w:rPr>
        <w:t>钢结构或高层混合结构中钢结构部分，Q355及以上高强钢材用量占钢材总量的比例为：</w:t>
      </w:r>
      <w:r>
        <w:rPr>
          <w:rFonts w:hint="eastAsia"/>
          <w:u w:val="single"/>
          <w:lang w:val="en-GB"/>
        </w:rPr>
        <w:t xml:space="preserve">            </w:t>
      </w:r>
    </w:p>
    <w:p>
      <w:pPr>
        <w:pStyle w:val="88"/>
        <w:rPr>
          <w:u w:val="single"/>
          <w:lang w:val="en-GB"/>
        </w:rPr>
      </w:pPr>
      <w:r>
        <w:rPr>
          <w:rFonts w:hint="eastAsia"/>
          <w:lang w:val="en-GB"/>
        </w:rPr>
        <w:t>钢结构螺栓连接等非现场焊接节点占现场全部连接、焊接节点的数量比例为：</w:t>
      </w:r>
      <w:r>
        <w:rPr>
          <w:lang w:val="en-GB"/>
        </w:rPr>
        <w:softHyphen/>
      </w:r>
      <w:r>
        <w:rPr>
          <w:rFonts w:hint="eastAsia"/>
          <w:lang w:val="en-GB"/>
        </w:rPr>
        <w:softHyphen/>
      </w:r>
      <w:r>
        <w:rPr>
          <w:rFonts w:hint="eastAsia"/>
          <w:u w:val="single"/>
          <w:lang w:val="en-GB"/>
        </w:rPr>
        <w:t xml:space="preserve">             </w:t>
      </w:r>
    </w:p>
    <w:p>
      <w:pPr>
        <w:pStyle w:val="88"/>
        <w:rPr>
          <w:lang w:val="en-GB"/>
        </w:rPr>
      </w:pPr>
      <w:r>
        <w:rPr>
          <w:rFonts w:hint="eastAsia"/>
          <w:lang w:val="en-GB"/>
        </w:rPr>
        <w:t>钢结构施工时是否采用免支撑的楼屋面板：</w:t>
      </w:r>
      <w:r>
        <w:rPr>
          <w:rFonts w:hint="eastAsia"/>
        </w:rPr>
        <w:t>□是；□否。</w:t>
      </w:r>
    </w:p>
    <w:p>
      <w:pPr>
        <w:pStyle w:val="87"/>
        <w:rPr>
          <w:u w:val="single"/>
          <w:lang w:val="en-GB"/>
        </w:rPr>
      </w:pPr>
      <w:r>
        <w:rPr>
          <w:rFonts w:hint="eastAsia"/>
          <w:lang w:val="en-GB"/>
        </w:rPr>
        <w:t xml:space="preserve">采用可再利用材料和可再循环材料：      </w:t>
      </w:r>
      <w:r>
        <w:rPr>
          <w:rFonts w:hint="eastAsia"/>
        </w:rPr>
        <w:t>□是；□否</w:t>
      </w:r>
      <w:r>
        <w:rPr>
          <w:rFonts w:hint="eastAsia"/>
          <w:lang w:val="en-GB"/>
        </w:rPr>
        <w:t xml:space="preserve">；若采用，其用量比例为： </w:t>
      </w:r>
      <w:r>
        <w:rPr>
          <w:rFonts w:hint="eastAsia"/>
          <w:u w:val="single"/>
          <w:lang w:val="en-GB"/>
        </w:rPr>
        <w:t xml:space="preserve">             </w:t>
      </w:r>
    </w:p>
    <w:p>
      <w:pPr>
        <w:pStyle w:val="87"/>
        <w:rPr>
          <w:lang w:val="en-GB"/>
        </w:rPr>
      </w:pPr>
      <w:r>
        <w:rPr>
          <w:rFonts w:hint="eastAsia"/>
          <w:lang w:val="en-GB"/>
        </w:rPr>
        <w:t>采用以各种废弃物为原料生产的建筑材料：</w:t>
      </w:r>
      <w:r>
        <w:rPr>
          <w:rFonts w:hint="eastAsia"/>
        </w:rPr>
        <w:t>□是；□否</w:t>
      </w:r>
      <w:r>
        <w:rPr>
          <w:rFonts w:hint="eastAsia"/>
          <w:lang w:val="en-GB"/>
        </w:rPr>
        <w:t>；若采用，则明确：</w:t>
      </w:r>
    </w:p>
    <w:p>
      <w:pPr>
        <w:pStyle w:val="87"/>
        <w:numPr>
          <w:ilvl w:val="0"/>
          <w:numId w:val="0"/>
        </w:numPr>
        <w:ind w:left="425"/>
        <w:rPr>
          <w:lang w:val="en-GB"/>
        </w:rPr>
      </w:pPr>
      <w:r>
        <w:rPr>
          <w:rFonts w:hint="eastAsia"/>
          <w:lang w:val="en-GB"/>
        </w:rPr>
        <w:t>采用了</w:t>
      </w:r>
      <w:r>
        <w:rPr>
          <w:rFonts w:hint="eastAsia"/>
          <w:u w:val="single"/>
          <w:lang w:val="en-GB"/>
        </w:rPr>
        <w:t xml:space="preserve">     </w:t>
      </w:r>
      <w:r>
        <w:rPr>
          <w:rFonts w:hint="eastAsia"/>
          <w:lang w:val="en-GB"/>
        </w:rPr>
        <w:t>种利废材料，用量比例分别为</w:t>
      </w:r>
      <w:r>
        <w:rPr>
          <w:rFonts w:hint="eastAsia"/>
          <w:u w:val="single"/>
          <w:lang w:val="en-GB"/>
        </w:rPr>
        <w:t xml:space="preserve">       </w:t>
      </w:r>
      <w:r>
        <w:rPr>
          <w:rFonts w:hint="eastAsia"/>
          <w:lang w:val="en-GB"/>
        </w:rPr>
        <w:t>、</w:t>
      </w:r>
      <w:r>
        <w:rPr>
          <w:rFonts w:hint="eastAsia"/>
          <w:u w:val="single"/>
          <w:lang w:val="en-GB"/>
        </w:rPr>
        <w:t xml:space="preserve">       </w:t>
      </w:r>
      <w:r>
        <w:rPr>
          <w:rFonts w:hint="eastAsia"/>
          <w:lang w:val="en-GB"/>
        </w:rPr>
        <w:t>、</w:t>
      </w:r>
      <w:r>
        <w:rPr>
          <w:rFonts w:hint="eastAsia"/>
          <w:u w:val="single"/>
          <w:lang w:val="en-GB"/>
        </w:rPr>
        <w:t xml:space="preserve">       </w:t>
      </w:r>
    </w:p>
    <w:p>
      <w:pPr>
        <w:pStyle w:val="87"/>
        <w:rPr>
          <w:lang w:val="en-GB"/>
        </w:rPr>
      </w:pPr>
      <w:r>
        <w:rPr>
          <w:rFonts w:hint="eastAsia"/>
          <w:lang w:val="en-GB"/>
        </w:rPr>
        <w:t>采用绿色建材：</w:t>
      </w:r>
      <w:r>
        <w:rPr>
          <w:rFonts w:hint="eastAsia"/>
        </w:rPr>
        <w:t>□是；□否</w:t>
      </w:r>
      <w:r>
        <w:rPr>
          <w:rFonts w:hint="eastAsia"/>
          <w:lang w:val="en-GB"/>
        </w:rPr>
        <w:t>；若采用，则明确：</w:t>
      </w:r>
    </w:p>
    <w:p>
      <w:pPr>
        <w:pStyle w:val="88"/>
        <w:numPr>
          <w:ilvl w:val="1"/>
          <w:numId w:val="23"/>
        </w:numPr>
        <w:rPr>
          <w:u w:val="single"/>
          <w:lang w:val="en-GB"/>
        </w:rPr>
      </w:pPr>
      <w:r>
        <w:rPr>
          <w:rFonts w:hint="eastAsia"/>
          <w:lang w:val="en-GB"/>
        </w:rPr>
        <w:t>主体结构应用比例为：</w:t>
      </w:r>
      <w:r>
        <w:rPr>
          <w:lang w:val="en-GB"/>
        </w:rPr>
        <w:softHyphen/>
      </w:r>
      <w:r>
        <w:rPr>
          <w:rFonts w:hint="eastAsia"/>
          <w:lang w:val="en-GB"/>
        </w:rPr>
        <w:softHyphen/>
      </w:r>
      <w:r>
        <w:rPr>
          <w:rFonts w:hint="eastAsia"/>
          <w:u w:val="single"/>
          <w:lang w:val="en-GB"/>
        </w:rPr>
        <w:t xml:space="preserve">             </w:t>
      </w:r>
    </w:p>
    <w:p>
      <w:pPr>
        <w:pStyle w:val="88"/>
        <w:rPr>
          <w:lang w:val="en-GB"/>
        </w:rPr>
      </w:pPr>
      <w:r>
        <w:rPr>
          <w:rFonts w:hint="eastAsia"/>
          <w:lang w:val="en-GB"/>
        </w:rPr>
        <w:t xml:space="preserve">围护墙和内隔墙应用比例为： </w:t>
      </w:r>
      <w:r>
        <w:rPr>
          <w:lang w:val="en-GB"/>
        </w:rPr>
        <w:softHyphen/>
      </w:r>
      <w:r>
        <w:rPr>
          <w:rFonts w:hint="eastAsia"/>
          <w:lang w:val="en-GB"/>
        </w:rPr>
        <w:softHyphen/>
      </w:r>
      <w:r>
        <w:rPr>
          <w:rFonts w:hint="eastAsia"/>
          <w:u w:val="single"/>
          <w:lang w:val="en-GB"/>
        </w:rPr>
        <w:t xml:space="preserve">             </w:t>
      </w:r>
    </w:p>
    <w:p>
      <w:pPr>
        <w:pStyle w:val="87"/>
        <w:rPr>
          <w:lang w:val="en-GB"/>
        </w:rPr>
      </w:pPr>
      <w:r>
        <w:rPr>
          <w:rFonts w:hint="eastAsia"/>
        </w:rPr>
        <w:t>采用符合工业化建造要求的结构体系与建筑构件：□是；□否</w:t>
      </w:r>
      <w:r>
        <w:rPr>
          <w:rFonts w:hint="eastAsia"/>
          <w:lang w:val="en-GB"/>
        </w:rPr>
        <w:t>；若采用，则明确：</w:t>
      </w:r>
    </w:p>
    <w:p>
      <w:pPr>
        <w:pStyle w:val="88"/>
        <w:numPr>
          <w:ilvl w:val="1"/>
          <w:numId w:val="24"/>
        </w:numPr>
        <w:rPr>
          <w:lang w:val="en-GB"/>
        </w:rPr>
      </w:pPr>
      <w:r>
        <w:rPr>
          <w:rFonts w:hint="eastAsia"/>
          <w:lang w:val="en-GB"/>
        </w:rPr>
        <w:t xml:space="preserve">主体结构采用钢结构、木结构：  </w:t>
      </w:r>
      <w:r>
        <w:rPr>
          <w:rFonts w:hint="eastAsia"/>
        </w:rPr>
        <w:t>□是；□否。</w:t>
      </w:r>
    </w:p>
    <w:p>
      <w:pPr>
        <w:pStyle w:val="88"/>
        <w:rPr>
          <w:lang w:val="en-GB"/>
        </w:rPr>
      </w:pPr>
      <w:r>
        <w:rPr>
          <w:rFonts w:hint="eastAsia"/>
          <w:lang w:val="en-GB"/>
        </w:rPr>
        <w:t>主体结构采用装配式混凝土结构：</w:t>
      </w:r>
      <w:r>
        <w:rPr>
          <w:rFonts w:hint="eastAsia"/>
        </w:rPr>
        <w:t>□是；□否。</w:t>
      </w:r>
    </w:p>
    <w:p>
      <w:pPr>
        <w:pStyle w:val="88"/>
        <w:numPr>
          <w:ilvl w:val="0"/>
          <w:numId w:val="0"/>
        </w:numPr>
        <w:ind w:left="992"/>
        <w:rPr>
          <w:lang w:val="en-GB"/>
        </w:rPr>
      </w:pPr>
      <w:r>
        <w:rPr>
          <w:rFonts w:hint="eastAsia"/>
          <w:lang w:val="en-GB"/>
        </w:rPr>
        <w:t>预制构件类型为：□柱 □承重墙  □延性墙板  □梁  □楼板  □楼梯  □空调板  □阳台  □其它</w:t>
      </w:r>
    </w:p>
    <w:p>
      <w:pPr>
        <w:pStyle w:val="88"/>
        <w:numPr>
          <w:ilvl w:val="0"/>
          <w:numId w:val="0"/>
        </w:numPr>
        <w:ind w:left="992"/>
        <w:rPr>
          <w:lang w:val="en-GB"/>
        </w:rPr>
      </w:pPr>
      <w:r>
        <w:rPr>
          <w:lang w:val="en-GB"/>
        </w:rPr>
        <w:t>主体结构指标实际评价分值为</w:t>
      </w:r>
      <w:r>
        <w:rPr>
          <w:rFonts w:hint="eastAsia"/>
          <w:lang w:val="en-GB"/>
        </w:rPr>
        <w:t>：</w:t>
      </w:r>
      <w:r>
        <w:rPr>
          <w:rFonts w:hint="eastAsia"/>
          <w:u w:val="single"/>
          <w:lang w:val="en-GB"/>
        </w:rPr>
        <w:t xml:space="preserve">             </w:t>
      </w:r>
    </w:p>
    <w:p>
      <w:pPr>
        <w:pStyle w:val="87"/>
        <w:rPr>
          <w:lang w:val="en-GB"/>
        </w:rPr>
      </w:pPr>
      <w:r>
        <w:rPr>
          <w:rFonts w:hint="eastAsia"/>
          <w:lang w:val="en-GB"/>
        </w:rPr>
        <w:t>采取了与主体结构设计使用年限和使用环境相适应的结构耐久性设计措施：</w:t>
      </w:r>
      <w:r>
        <w:rPr>
          <w:lang w:val="en-GB"/>
        </w:rPr>
        <w:t xml:space="preserve">  </w:t>
      </w:r>
      <w:r>
        <w:rPr>
          <w:rFonts w:hint="eastAsia"/>
        </w:rPr>
        <w:t>□是；□否。</w:t>
      </w:r>
    </w:p>
    <w:p>
      <w:pPr>
        <w:pStyle w:val="87"/>
        <w:rPr>
          <w:lang w:val="en-GB"/>
        </w:rPr>
      </w:pPr>
      <w:r>
        <w:rPr>
          <w:rFonts w:hint="eastAsia"/>
          <w:lang w:val="en-GB"/>
        </w:rPr>
        <w:t>其它需要说明的内容：</w:t>
      </w:r>
    </w:p>
    <w:p>
      <w:pPr>
        <w:widowControl/>
        <w:jc w:val="left"/>
        <w:rPr>
          <w:rFonts w:hAnsi="宋体"/>
          <w:szCs w:val="21"/>
        </w:rPr>
      </w:pPr>
    </w:p>
    <w:p>
      <w:pPr>
        <w:widowControl/>
        <w:spacing w:line="360" w:lineRule="auto"/>
        <w:jc w:val="left"/>
        <w:outlineLvl w:val="0"/>
        <w:rPr>
          <w:rFonts w:hAnsi="宋体"/>
          <w:b/>
          <w:bCs/>
          <w:kern w:val="0"/>
          <w:sz w:val="24"/>
        </w:rPr>
        <w:sectPr>
          <w:headerReference r:id="rId7" w:type="default"/>
          <w:pgSz w:w="23814" w:h="16840" w:orient="landscape"/>
          <w:pgMar w:top="1134" w:right="1134" w:bottom="1134" w:left="1134" w:header="851" w:footer="992" w:gutter="0"/>
          <w:cols w:space="630" w:num="2"/>
          <w:docGrid w:type="lines" w:linePitch="312" w:charSpace="0"/>
        </w:sectPr>
      </w:pPr>
    </w:p>
    <w:p>
      <w:pPr>
        <w:pStyle w:val="63"/>
        <w:ind w:firstLine="0"/>
        <w:rPr>
          <w:rFonts w:asciiTheme="minorEastAsia" w:hAnsiTheme="minorEastAsia" w:eastAsiaTheme="minorEastAsia"/>
          <w:b/>
        </w:rPr>
      </w:pPr>
      <w:bookmarkStart w:id="11" w:name="_Toc109325904"/>
      <w:bookmarkStart w:id="12" w:name="_Toc109325268"/>
      <w:r>
        <w:rPr>
          <w:rFonts w:hint="eastAsia" w:asciiTheme="minorEastAsia" w:hAnsiTheme="minorEastAsia" w:eastAsiaTheme="minorEastAsia"/>
          <w:b/>
        </w:rPr>
        <w:t>一、给排水主要</w:t>
      </w:r>
      <w:r>
        <w:rPr>
          <w:rFonts w:asciiTheme="minorEastAsia" w:hAnsiTheme="minorEastAsia" w:eastAsiaTheme="minorEastAsia"/>
          <w:b/>
        </w:rPr>
        <w:t>设计依据</w:t>
      </w:r>
      <w:r>
        <w:rPr>
          <w:rFonts w:hint="eastAsia" w:asciiTheme="minorEastAsia" w:hAnsiTheme="minorEastAsia" w:eastAsiaTheme="minorEastAsia"/>
          <w:b/>
        </w:rPr>
        <w:t>:</w:t>
      </w:r>
      <w:bookmarkEnd w:id="11"/>
      <w:bookmarkEnd w:id="12"/>
    </w:p>
    <w:p>
      <w:pPr>
        <w:numPr>
          <w:ilvl w:val="0"/>
          <w:numId w:val="25"/>
        </w:numPr>
        <w:spacing w:line="400" w:lineRule="exact"/>
        <w:rPr>
          <w:rFonts w:hAnsi="宋体"/>
          <w:szCs w:val="21"/>
        </w:rPr>
      </w:pPr>
      <w:r>
        <w:rPr>
          <w:rFonts w:hint="eastAsia" w:hAnsi="宋体"/>
          <w:szCs w:val="21"/>
        </w:rPr>
        <w:t>《浙江省绿色建筑条例》；</w:t>
      </w:r>
    </w:p>
    <w:p>
      <w:pPr>
        <w:numPr>
          <w:ilvl w:val="0"/>
          <w:numId w:val="25"/>
        </w:numPr>
        <w:spacing w:line="400" w:lineRule="exact"/>
        <w:rPr>
          <w:rFonts w:hAnsi="宋体"/>
          <w:szCs w:val="21"/>
        </w:rPr>
      </w:pPr>
      <w:r>
        <w:rPr>
          <w:rFonts w:hint="eastAsia" w:hAnsi="宋体"/>
          <w:szCs w:val="21"/>
        </w:rPr>
        <w:t>《杭州市民用建筑节能条例》；</w:t>
      </w:r>
    </w:p>
    <w:p>
      <w:pPr>
        <w:numPr>
          <w:ilvl w:val="0"/>
          <w:numId w:val="25"/>
        </w:numPr>
        <w:spacing w:line="400" w:lineRule="exact"/>
        <w:rPr>
          <w:rFonts w:hAnsi="宋体"/>
          <w:szCs w:val="21"/>
        </w:rPr>
      </w:pPr>
      <w:r>
        <w:rPr>
          <w:rFonts w:asciiTheme="minorEastAsia" w:hAnsiTheme="minorEastAsia" w:eastAsiaTheme="minorEastAsia"/>
          <w:szCs w:val="21"/>
        </w:rPr>
        <w:t>《</w:t>
      </w:r>
      <w:r>
        <w:rPr>
          <w:rFonts w:hint="eastAsia" w:asciiTheme="minorEastAsia" w:hAnsiTheme="minorEastAsia" w:eastAsiaTheme="minorEastAsia"/>
          <w:szCs w:val="21"/>
        </w:rPr>
        <w:t>建筑给水排水与节水通用规范</w:t>
      </w:r>
      <w:r>
        <w:rPr>
          <w:rFonts w:asciiTheme="minorEastAsia" w:hAnsiTheme="minorEastAsia" w:eastAsiaTheme="minorEastAsia"/>
          <w:szCs w:val="21"/>
        </w:rPr>
        <w:t>》</w:t>
      </w:r>
      <w:r>
        <w:rPr>
          <w:rFonts w:hint="eastAsia" w:asciiTheme="minorEastAsia" w:hAnsiTheme="minorEastAsia" w:eastAsiaTheme="minorEastAsia"/>
          <w:szCs w:val="21"/>
        </w:rPr>
        <w:t>GB 55020-2021；</w:t>
      </w:r>
    </w:p>
    <w:p>
      <w:pPr>
        <w:numPr>
          <w:ilvl w:val="0"/>
          <w:numId w:val="25"/>
        </w:numPr>
        <w:spacing w:line="400" w:lineRule="exact"/>
        <w:rPr>
          <w:rFonts w:hAnsi="宋体"/>
          <w:szCs w:val="21"/>
        </w:rPr>
      </w:pPr>
      <w:r>
        <w:rPr>
          <w:rFonts w:hint="eastAsia" w:asciiTheme="minorEastAsia" w:hAnsiTheme="minorEastAsia" w:eastAsiaTheme="minorEastAsia"/>
          <w:szCs w:val="21"/>
        </w:rPr>
        <w:t>《建筑节能与可再生能源利用通用规范》GB55015-2021；</w:t>
      </w:r>
    </w:p>
    <w:p>
      <w:pPr>
        <w:numPr>
          <w:ilvl w:val="0"/>
          <w:numId w:val="25"/>
        </w:numPr>
        <w:spacing w:line="400" w:lineRule="exact"/>
        <w:rPr>
          <w:rFonts w:hAnsi="宋体"/>
          <w:szCs w:val="21"/>
        </w:rPr>
      </w:pPr>
      <w:r>
        <w:rPr>
          <w:rFonts w:hAnsi="宋体"/>
          <w:szCs w:val="21"/>
        </w:rPr>
        <w:t>《</w:t>
      </w:r>
      <w:r>
        <w:rPr>
          <w:rFonts w:hint="eastAsia" w:hAnsi="宋体"/>
          <w:szCs w:val="21"/>
        </w:rPr>
        <w:t>建筑给水排水设计标准</w:t>
      </w:r>
      <w:r>
        <w:rPr>
          <w:rFonts w:hAnsi="宋体"/>
          <w:szCs w:val="21"/>
        </w:rPr>
        <w:t>》GB 50</w:t>
      </w:r>
      <w:r>
        <w:rPr>
          <w:rFonts w:hint="eastAsia" w:hAnsi="宋体"/>
          <w:szCs w:val="21"/>
        </w:rPr>
        <w:t>015</w:t>
      </w:r>
      <w:r>
        <w:rPr>
          <w:rFonts w:hAnsi="宋体"/>
          <w:szCs w:val="21"/>
        </w:rPr>
        <w:t>-</w:t>
      </w:r>
      <w:r>
        <w:rPr>
          <w:rFonts w:hint="eastAsia" w:hAnsi="宋体"/>
          <w:szCs w:val="21"/>
        </w:rPr>
        <w:t>2</w:t>
      </w:r>
      <w:r>
        <w:rPr>
          <w:rFonts w:hAnsi="宋体"/>
          <w:szCs w:val="21"/>
        </w:rPr>
        <w:t>019</w:t>
      </w:r>
      <w:r>
        <w:rPr>
          <w:rFonts w:hint="eastAsia" w:hAnsi="宋体"/>
          <w:szCs w:val="21"/>
        </w:rPr>
        <w:t>；</w:t>
      </w:r>
    </w:p>
    <w:p>
      <w:pPr>
        <w:numPr>
          <w:ilvl w:val="0"/>
          <w:numId w:val="25"/>
        </w:numPr>
        <w:spacing w:line="400" w:lineRule="exact"/>
        <w:rPr>
          <w:rFonts w:hAnsi="宋体"/>
          <w:szCs w:val="21"/>
        </w:rPr>
      </w:pPr>
      <w:r>
        <w:rPr>
          <w:rFonts w:hint="eastAsia" w:hAnsi="宋体"/>
          <w:szCs w:val="21"/>
        </w:rPr>
        <w:t>《民用建筑节水设计标准》GB</w:t>
      </w:r>
      <w:r>
        <w:rPr>
          <w:rFonts w:hAnsi="宋体"/>
          <w:szCs w:val="21"/>
        </w:rPr>
        <w:t xml:space="preserve"> </w:t>
      </w:r>
      <w:r>
        <w:rPr>
          <w:rFonts w:hint="eastAsia" w:hAnsi="宋体"/>
          <w:szCs w:val="21"/>
        </w:rPr>
        <w:t>50555-2</w:t>
      </w:r>
      <w:r>
        <w:rPr>
          <w:rFonts w:hAnsi="宋体"/>
          <w:szCs w:val="21"/>
        </w:rPr>
        <w:t>010</w:t>
      </w:r>
      <w:r>
        <w:rPr>
          <w:rFonts w:hint="eastAsia" w:hAnsi="宋体"/>
          <w:szCs w:val="21"/>
        </w:rPr>
        <w:t>；</w:t>
      </w:r>
    </w:p>
    <w:p>
      <w:pPr>
        <w:numPr>
          <w:ilvl w:val="0"/>
          <w:numId w:val="25"/>
        </w:numPr>
        <w:spacing w:line="400" w:lineRule="exact"/>
        <w:rPr>
          <w:rFonts w:hAnsi="宋体"/>
          <w:szCs w:val="21"/>
        </w:rPr>
      </w:pPr>
      <w:r>
        <w:rPr>
          <w:rFonts w:hint="eastAsia" w:hAnsi="宋体"/>
          <w:szCs w:val="21"/>
        </w:rPr>
        <w:t>《建筑与小区雨水控制及利用工程技术规范》GB</w:t>
      </w:r>
      <w:r>
        <w:rPr>
          <w:rFonts w:hAnsi="宋体"/>
          <w:szCs w:val="21"/>
        </w:rPr>
        <w:t xml:space="preserve"> </w:t>
      </w:r>
      <w:r>
        <w:rPr>
          <w:rFonts w:hint="eastAsia" w:hAnsi="宋体"/>
          <w:szCs w:val="21"/>
        </w:rPr>
        <w:t>50400</w:t>
      </w:r>
      <w:r>
        <w:rPr>
          <w:rFonts w:hAnsi="宋体"/>
          <w:szCs w:val="21"/>
        </w:rPr>
        <w:t>-2016</w:t>
      </w:r>
      <w:r>
        <w:rPr>
          <w:rFonts w:hint="eastAsia" w:hAnsi="宋体"/>
          <w:szCs w:val="21"/>
        </w:rPr>
        <w:t>；</w:t>
      </w:r>
    </w:p>
    <w:p>
      <w:pPr>
        <w:numPr>
          <w:ilvl w:val="0"/>
          <w:numId w:val="25"/>
        </w:numPr>
        <w:spacing w:line="400" w:lineRule="exact"/>
        <w:rPr>
          <w:rFonts w:hAnsi="宋体"/>
          <w:szCs w:val="21"/>
        </w:rPr>
      </w:pPr>
      <w:r>
        <w:rPr>
          <w:rFonts w:hint="eastAsia" w:hAnsi="宋体"/>
          <w:szCs w:val="21"/>
        </w:rPr>
        <w:t>《绿色建筑评价标准》GB/T</w:t>
      </w:r>
      <w:r>
        <w:rPr>
          <w:rFonts w:hAnsi="宋体"/>
          <w:szCs w:val="21"/>
        </w:rPr>
        <w:t xml:space="preserve"> </w:t>
      </w:r>
      <w:r>
        <w:rPr>
          <w:rFonts w:hint="eastAsia" w:hAnsi="宋体"/>
          <w:szCs w:val="21"/>
        </w:rPr>
        <w:t>50378-2</w:t>
      </w:r>
      <w:r>
        <w:rPr>
          <w:rFonts w:hAnsi="宋体"/>
          <w:szCs w:val="21"/>
        </w:rPr>
        <w:t>019</w:t>
      </w:r>
      <w:r>
        <w:rPr>
          <w:rFonts w:hint="eastAsia" w:hAnsi="宋体"/>
          <w:szCs w:val="21"/>
        </w:rPr>
        <w:t>；</w:t>
      </w:r>
    </w:p>
    <w:p>
      <w:pPr>
        <w:numPr>
          <w:ilvl w:val="0"/>
          <w:numId w:val="25"/>
        </w:numPr>
        <w:spacing w:line="400" w:lineRule="exact"/>
        <w:rPr>
          <w:rFonts w:hAnsi="宋体"/>
          <w:szCs w:val="21"/>
        </w:rPr>
      </w:pPr>
      <w:r>
        <w:rPr>
          <w:rFonts w:hint="eastAsia" w:hAnsi="宋体"/>
          <w:szCs w:val="21"/>
        </w:rPr>
        <w:t>浙江省《绿色建筑设计标准》DB</w:t>
      </w:r>
      <w:r>
        <w:rPr>
          <w:rFonts w:hAnsi="宋体"/>
          <w:szCs w:val="21"/>
        </w:rPr>
        <w:t xml:space="preserve"> </w:t>
      </w:r>
      <w:r>
        <w:rPr>
          <w:rFonts w:hint="eastAsia" w:hAnsi="宋体"/>
          <w:szCs w:val="21"/>
        </w:rPr>
        <w:t>33/1092</w:t>
      </w:r>
      <w:r>
        <w:rPr>
          <w:rFonts w:hAnsi="宋体"/>
          <w:szCs w:val="21"/>
        </w:rPr>
        <w:t>-20</w:t>
      </w:r>
      <w:r>
        <w:rPr>
          <w:rFonts w:hint="eastAsia" w:hAnsi="宋体"/>
          <w:szCs w:val="21"/>
        </w:rPr>
        <w:t>21；</w:t>
      </w:r>
    </w:p>
    <w:p>
      <w:pPr>
        <w:numPr>
          <w:ilvl w:val="0"/>
          <w:numId w:val="25"/>
        </w:numPr>
        <w:spacing w:line="400" w:lineRule="exact"/>
        <w:rPr>
          <w:rFonts w:hAnsi="宋体"/>
          <w:szCs w:val="21"/>
        </w:rPr>
      </w:pPr>
      <w:r>
        <w:rPr>
          <w:rFonts w:hint="eastAsia" w:hAnsi="宋体"/>
          <w:szCs w:val="21"/>
        </w:rPr>
        <w:t>浙江省《民用建筑可再生能源应用核算标准》DB</w:t>
      </w:r>
      <w:r>
        <w:rPr>
          <w:rFonts w:hAnsi="宋体"/>
          <w:szCs w:val="21"/>
        </w:rPr>
        <w:t xml:space="preserve"> </w:t>
      </w:r>
      <w:r>
        <w:rPr>
          <w:rFonts w:hint="eastAsia" w:hAnsi="宋体"/>
          <w:szCs w:val="21"/>
        </w:rPr>
        <w:t>33/1105-2021；</w:t>
      </w:r>
    </w:p>
    <w:p>
      <w:pPr>
        <w:numPr>
          <w:ilvl w:val="0"/>
          <w:numId w:val="25"/>
        </w:numPr>
        <w:spacing w:line="400" w:lineRule="exact"/>
        <w:rPr>
          <w:rFonts w:hAnsi="宋体"/>
          <w:szCs w:val="21"/>
        </w:rPr>
      </w:pPr>
      <w:r>
        <w:rPr>
          <w:rFonts w:hint="eastAsia" w:hAnsi="宋体"/>
          <w:szCs w:val="21"/>
        </w:rPr>
        <w:t>浙江省《居住建筑节能设计标准》</w:t>
      </w:r>
      <w:r>
        <w:rPr>
          <w:rFonts w:hAnsi="宋体"/>
          <w:szCs w:val="21"/>
        </w:rPr>
        <w:t>DB 33/1015</w:t>
      </w:r>
      <w:r>
        <w:rPr>
          <w:rFonts w:hint="eastAsia" w:hAnsi="宋体"/>
          <w:szCs w:val="21"/>
        </w:rPr>
        <w:t>-2</w:t>
      </w:r>
      <w:r>
        <w:rPr>
          <w:rFonts w:hAnsi="宋体"/>
          <w:szCs w:val="21"/>
        </w:rPr>
        <w:t>01</w:t>
      </w:r>
      <w:r>
        <w:rPr>
          <w:rFonts w:hint="eastAsia" w:hAnsi="宋体"/>
          <w:szCs w:val="21"/>
        </w:rPr>
        <w:t>21；</w:t>
      </w:r>
    </w:p>
    <w:p>
      <w:pPr>
        <w:numPr>
          <w:ilvl w:val="0"/>
          <w:numId w:val="25"/>
        </w:numPr>
        <w:spacing w:line="400" w:lineRule="exact"/>
        <w:rPr>
          <w:rFonts w:hAnsi="宋体"/>
          <w:szCs w:val="21"/>
        </w:rPr>
      </w:pPr>
      <w:r>
        <w:rPr>
          <w:rFonts w:hint="eastAsia" w:hAnsi="宋体"/>
          <w:szCs w:val="21"/>
        </w:rPr>
        <w:t>《民用建筑雨水控制与利用设计规程》</w:t>
      </w:r>
      <w:r>
        <w:rPr>
          <w:rFonts w:hAnsi="宋体"/>
          <w:szCs w:val="21"/>
        </w:rPr>
        <w:t>DB 33/</w:t>
      </w:r>
      <w:r>
        <w:rPr>
          <w:rFonts w:hint="eastAsia" w:hAnsi="宋体"/>
          <w:szCs w:val="21"/>
        </w:rPr>
        <w:t>T</w:t>
      </w:r>
      <w:r>
        <w:rPr>
          <w:rFonts w:hAnsi="宋体"/>
          <w:szCs w:val="21"/>
        </w:rPr>
        <w:t>1167-2019</w:t>
      </w:r>
      <w:r>
        <w:rPr>
          <w:rFonts w:hint="eastAsia" w:hAnsi="宋体"/>
          <w:szCs w:val="21"/>
        </w:rPr>
        <w:t>；</w:t>
      </w:r>
    </w:p>
    <w:p>
      <w:pPr>
        <w:numPr>
          <w:ilvl w:val="0"/>
          <w:numId w:val="25"/>
        </w:numPr>
        <w:spacing w:line="400" w:lineRule="exact"/>
        <w:rPr>
          <w:rFonts w:hAnsi="宋体"/>
          <w:szCs w:val="21"/>
        </w:rPr>
      </w:pPr>
      <w:r>
        <w:rPr>
          <w:rFonts w:hint="eastAsia" w:hAnsi="宋体"/>
          <w:szCs w:val="21"/>
        </w:rPr>
        <w:t>《全国民用建筑工程设计技术措施</w:t>
      </w:r>
      <w:r>
        <w:rPr>
          <w:rFonts w:hAnsi="宋体"/>
          <w:szCs w:val="21"/>
        </w:rPr>
        <w:t>—</w:t>
      </w:r>
      <w:r>
        <w:rPr>
          <w:rFonts w:hint="eastAsia" w:hAnsi="宋体"/>
          <w:szCs w:val="21"/>
        </w:rPr>
        <w:t>节能专篇（给水排水）》(</w:t>
      </w:r>
      <w:r>
        <w:rPr>
          <w:rFonts w:hAnsi="宋体"/>
          <w:szCs w:val="21"/>
        </w:rPr>
        <w:t>2007</w:t>
      </w:r>
      <w:r>
        <w:rPr>
          <w:rFonts w:hint="eastAsia" w:hAnsi="宋体"/>
          <w:szCs w:val="21"/>
        </w:rPr>
        <w:t>)；</w:t>
      </w:r>
    </w:p>
    <w:p>
      <w:pPr>
        <w:numPr>
          <w:ilvl w:val="0"/>
          <w:numId w:val="25"/>
        </w:numPr>
        <w:spacing w:line="400" w:lineRule="exact"/>
        <w:rPr>
          <w:rFonts w:hAnsi="宋体"/>
          <w:szCs w:val="21"/>
        </w:rPr>
      </w:pPr>
      <w:r>
        <w:rPr>
          <w:rFonts w:hAnsi="宋体"/>
          <w:szCs w:val="21"/>
        </w:rPr>
        <w:t>《节水型生活用水器具》 CJ</w:t>
      </w:r>
      <w:r>
        <w:rPr>
          <w:rFonts w:hint="eastAsia" w:hAnsi="宋体"/>
          <w:szCs w:val="21"/>
        </w:rPr>
        <w:t>/T</w:t>
      </w:r>
      <w:r>
        <w:rPr>
          <w:rFonts w:hAnsi="宋体"/>
          <w:szCs w:val="21"/>
        </w:rPr>
        <w:t xml:space="preserve"> 164-2014</w:t>
      </w:r>
      <w:r>
        <w:rPr>
          <w:rFonts w:hint="eastAsia" w:hAnsi="宋体"/>
          <w:szCs w:val="21"/>
        </w:rPr>
        <w:t>；</w:t>
      </w:r>
    </w:p>
    <w:p>
      <w:pPr>
        <w:numPr>
          <w:ilvl w:val="0"/>
          <w:numId w:val="25"/>
        </w:numPr>
        <w:spacing w:line="400" w:lineRule="exact"/>
        <w:rPr>
          <w:rFonts w:hAnsi="宋体"/>
          <w:szCs w:val="21"/>
        </w:rPr>
      </w:pPr>
      <w:r>
        <w:rPr>
          <w:rFonts w:hint="eastAsia" w:hAnsi="宋体"/>
          <w:szCs w:val="21"/>
        </w:rPr>
        <w:t>《清水离心泵能效限定值及节能评价值》GB 19762-2007；</w:t>
      </w:r>
    </w:p>
    <w:p>
      <w:pPr>
        <w:numPr>
          <w:ilvl w:val="0"/>
          <w:numId w:val="25"/>
        </w:numPr>
        <w:spacing w:line="400" w:lineRule="exact"/>
        <w:rPr>
          <w:rFonts w:hAnsi="宋体"/>
          <w:szCs w:val="21"/>
        </w:rPr>
      </w:pPr>
      <w:r>
        <w:rPr>
          <w:rFonts w:hint="eastAsia" w:hAnsi="宋体"/>
          <w:szCs w:val="21"/>
        </w:rPr>
        <w:t>《浙江省建设领域推广应用技术公告》和《浙江省建设领域禁止和限制使用技术公告》 （浙建发〔2014〕284号）；</w:t>
      </w:r>
    </w:p>
    <w:p>
      <w:pPr>
        <w:numPr>
          <w:ilvl w:val="0"/>
          <w:numId w:val="25"/>
        </w:numPr>
        <w:spacing w:line="454" w:lineRule="exact"/>
        <w:rPr>
          <w:rFonts w:hAnsi="宋体" w:cs="宋体"/>
          <w:kern w:val="0"/>
          <w:szCs w:val="21"/>
        </w:rPr>
      </w:pPr>
      <w:r>
        <w:rPr>
          <w:rFonts w:hint="eastAsia" w:hAnsi="宋体" w:cs="宋体"/>
          <w:kern w:val="0"/>
          <w:szCs w:val="21"/>
        </w:rPr>
        <w:t>项目环境影响评价报告:</w:t>
      </w:r>
      <w:r>
        <w:rPr>
          <w:rFonts w:hAnsi="宋体" w:cs="宋体"/>
          <w:kern w:val="0"/>
          <w:szCs w:val="21"/>
        </w:rPr>
        <w:t>__________________</w:t>
      </w:r>
      <w:r>
        <w:rPr>
          <w:rFonts w:hint="eastAsia" w:hAnsi="宋体" w:cs="宋体"/>
          <w:kern w:val="0"/>
          <w:szCs w:val="21"/>
        </w:rPr>
        <w:t>；</w:t>
      </w:r>
    </w:p>
    <w:p>
      <w:pPr>
        <w:numPr>
          <w:ilvl w:val="0"/>
          <w:numId w:val="25"/>
        </w:numPr>
        <w:spacing w:line="454" w:lineRule="exact"/>
        <w:rPr>
          <w:rFonts w:hAnsi="宋体" w:cs="宋体"/>
          <w:kern w:val="0"/>
          <w:szCs w:val="21"/>
        </w:rPr>
      </w:pPr>
      <w:r>
        <w:rPr>
          <w:rFonts w:hint="eastAsia" w:asciiTheme="minorEastAsia" w:hAnsiTheme="minorEastAsia" w:eastAsiaTheme="minorEastAsia"/>
          <w:szCs w:val="21"/>
          <w:lang w:eastAsia="zh-CN"/>
        </w:rPr>
        <w:t>节</w:t>
      </w:r>
      <w:r>
        <w:rPr>
          <w:rFonts w:hint="eastAsia" w:asciiTheme="minorEastAsia" w:hAnsiTheme="minorEastAsia" w:eastAsiaTheme="minorEastAsia"/>
          <w:szCs w:val="21"/>
        </w:rPr>
        <w:t>能评估报告书（表）；</w:t>
      </w:r>
    </w:p>
    <w:p>
      <w:pPr>
        <w:numPr>
          <w:ilvl w:val="0"/>
          <w:numId w:val="25"/>
        </w:numPr>
        <w:spacing w:line="454" w:lineRule="exact"/>
        <w:rPr>
          <w:rFonts w:hAnsi="宋体" w:cs="宋体"/>
          <w:kern w:val="0"/>
          <w:szCs w:val="21"/>
        </w:rPr>
      </w:pPr>
      <w:r>
        <w:rPr>
          <w:rFonts w:hint="eastAsia" w:hAnsi="宋体" w:cs="宋体"/>
          <w:kern w:val="0"/>
          <w:szCs w:val="21"/>
        </w:rPr>
        <w:t>建设单位提供的文件资料要求；</w:t>
      </w:r>
    </w:p>
    <w:p>
      <w:pPr>
        <w:numPr>
          <w:ilvl w:val="0"/>
          <w:numId w:val="25"/>
        </w:numPr>
        <w:spacing w:line="454" w:lineRule="exact"/>
        <w:rPr>
          <w:rFonts w:hAnsi="宋体" w:cs="宋体"/>
          <w:kern w:val="0"/>
          <w:szCs w:val="21"/>
        </w:rPr>
      </w:pPr>
      <w:r>
        <w:rPr>
          <w:rFonts w:hAnsi="宋体" w:cs="宋体"/>
          <w:kern w:val="0"/>
          <w:szCs w:val="21"/>
        </w:rPr>
        <w:t>现行国家、</w:t>
      </w:r>
      <w:r>
        <w:rPr>
          <w:rFonts w:hint="eastAsia" w:hAnsi="宋体" w:cs="宋体"/>
          <w:kern w:val="0"/>
          <w:szCs w:val="21"/>
        </w:rPr>
        <w:t>行业、地方</w:t>
      </w:r>
      <w:r>
        <w:rPr>
          <w:rFonts w:hAnsi="宋体" w:cs="宋体"/>
          <w:kern w:val="0"/>
          <w:szCs w:val="21"/>
        </w:rPr>
        <w:t>相关</w:t>
      </w:r>
      <w:r>
        <w:rPr>
          <w:rFonts w:hint="eastAsia" w:hAnsi="宋体" w:cs="宋体"/>
          <w:kern w:val="0"/>
          <w:szCs w:val="21"/>
        </w:rPr>
        <w:t>绿色建筑与</w:t>
      </w:r>
      <w:r>
        <w:rPr>
          <w:rFonts w:hAnsi="宋体" w:cs="宋体"/>
          <w:kern w:val="0"/>
          <w:szCs w:val="21"/>
        </w:rPr>
        <w:t>节能</w:t>
      </w:r>
      <w:r>
        <w:rPr>
          <w:rFonts w:hint="eastAsia" w:hAnsi="宋体" w:cs="宋体"/>
          <w:kern w:val="0"/>
          <w:szCs w:val="21"/>
        </w:rPr>
        <w:t>的</w:t>
      </w:r>
      <w:r>
        <w:rPr>
          <w:rFonts w:hAnsi="宋体" w:cs="宋体"/>
          <w:kern w:val="0"/>
          <w:szCs w:val="21"/>
        </w:rPr>
        <w:t>法律、法规</w:t>
      </w:r>
      <w:r>
        <w:rPr>
          <w:rFonts w:hint="eastAsia" w:hAnsi="宋体" w:cs="宋体"/>
          <w:kern w:val="0"/>
          <w:szCs w:val="21"/>
        </w:rPr>
        <w:t>和规范性文件。</w:t>
      </w:r>
    </w:p>
    <w:p>
      <w:pPr>
        <w:spacing w:line="400" w:lineRule="exact"/>
        <w:ind w:left="704"/>
        <w:rPr>
          <w:rFonts w:hAnsi="宋体"/>
          <w:szCs w:val="21"/>
        </w:rPr>
      </w:pPr>
    </w:p>
    <w:p>
      <w:pPr>
        <w:pStyle w:val="63"/>
        <w:ind w:firstLine="0"/>
        <w:rPr>
          <w:rFonts w:asciiTheme="minorEastAsia" w:hAnsiTheme="minorEastAsia" w:eastAsiaTheme="minorEastAsia"/>
          <w:b/>
        </w:rPr>
      </w:pPr>
      <w:bookmarkStart w:id="13" w:name="_Toc109325905"/>
      <w:bookmarkStart w:id="14" w:name="_Toc109325269"/>
      <w:r>
        <w:rPr>
          <w:rFonts w:hint="eastAsia" w:asciiTheme="minorEastAsia" w:hAnsiTheme="minorEastAsia" w:eastAsiaTheme="minorEastAsia"/>
          <w:b/>
        </w:rPr>
        <w:t>二、给排水</w:t>
      </w:r>
      <w:r>
        <w:rPr>
          <w:rFonts w:asciiTheme="minorEastAsia" w:hAnsiTheme="minorEastAsia" w:eastAsiaTheme="minorEastAsia"/>
          <w:b/>
        </w:rPr>
        <w:t>设计技术措施</w:t>
      </w:r>
      <w:r>
        <w:rPr>
          <w:rFonts w:hint="eastAsia" w:asciiTheme="minorEastAsia" w:hAnsiTheme="minorEastAsia" w:eastAsiaTheme="minorEastAsia"/>
          <w:b/>
        </w:rPr>
        <w:t>:</w:t>
      </w:r>
      <w:bookmarkEnd w:id="13"/>
      <w:bookmarkEnd w:id="14"/>
    </w:p>
    <w:p>
      <w:pPr>
        <w:spacing w:line="360" w:lineRule="auto"/>
        <w:rPr>
          <w:rFonts w:hAnsi="宋体"/>
          <w:b/>
          <w:sz w:val="24"/>
        </w:rPr>
      </w:pPr>
      <w:r>
        <w:rPr>
          <w:rFonts w:hAnsi="宋体"/>
          <w:b/>
          <w:sz w:val="24"/>
        </w:rPr>
        <w:t>可达绿色</w:t>
      </w:r>
      <w:r>
        <w:rPr>
          <w:rFonts w:hAnsi="宋体"/>
          <w:b/>
          <w:sz w:val="24"/>
          <w:lang w:val="en-GB"/>
        </w:rPr>
        <w:t>建筑</w:t>
      </w:r>
      <w:r>
        <w:rPr>
          <w:rFonts w:hint="eastAsia" w:hAnsi="宋体"/>
          <w:b/>
          <w:sz w:val="24"/>
          <w:lang w:val="en-GB"/>
        </w:rPr>
        <w:t>预评价</w:t>
      </w:r>
      <w:r>
        <w:rPr>
          <w:rFonts w:hAnsi="宋体"/>
          <w:b/>
          <w:sz w:val="24"/>
        </w:rPr>
        <w:t>等级</w:t>
      </w:r>
      <w:r>
        <w:rPr>
          <w:rFonts w:hint="eastAsia" w:hAnsi="宋体"/>
          <w:b/>
          <w:sz w:val="24"/>
        </w:rPr>
        <w:t>：</w:t>
      </w:r>
      <w:r>
        <w:rPr>
          <w:rFonts w:hint="eastAsia" w:asciiTheme="minorEastAsia" w:hAnsiTheme="minorEastAsia" w:eastAsiaTheme="minorEastAsia"/>
          <w:b/>
          <w:sz w:val="24"/>
        </w:rPr>
        <w:t>□ 一星级，</w:t>
      </w:r>
      <w:r>
        <w:rPr>
          <w:rFonts w:hAnsi="宋体"/>
          <w:b/>
          <w:sz w:val="24"/>
        </w:rPr>
        <w:t>□ 二星级</w:t>
      </w:r>
      <w:r>
        <w:rPr>
          <w:rFonts w:hint="eastAsia" w:hAnsi="宋体"/>
          <w:b/>
          <w:sz w:val="24"/>
        </w:rPr>
        <w:t>，</w:t>
      </w:r>
      <w:r>
        <w:rPr>
          <w:rFonts w:hAnsi="宋体"/>
          <w:b/>
          <w:sz w:val="24"/>
        </w:rPr>
        <w:t xml:space="preserve">□ </w:t>
      </w:r>
      <w:r>
        <w:rPr>
          <w:rFonts w:hint="eastAsia" w:hAnsi="宋体"/>
          <w:b/>
          <w:sz w:val="24"/>
        </w:rPr>
        <w:t>三</w:t>
      </w:r>
      <w:r>
        <w:rPr>
          <w:rFonts w:hAnsi="宋体"/>
          <w:b/>
          <w:sz w:val="24"/>
        </w:rPr>
        <w:t>星级</w:t>
      </w:r>
      <w:r>
        <w:rPr>
          <w:rFonts w:hint="eastAsia" w:hAnsi="宋体"/>
          <w:b/>
          <w:sz w:val="24"/>
        </w:rPr>
        <w:t>。</w:t>
      </w: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rPr>
      </w:pPr>
      <w:r>
        <w:rPr>
          <w:rFonts w:hint="eastAsia" w:hAnsi="宋体"/>
          <w:b/>
          <w:sz w:val="24"/>
          <w:lang w:val="en-GB"/>
        </w:rPr>
        <w:t>给排水设计技术措施</w:t>
      </w: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rPr>
      </w:pPr>
      <w:r>
        <w:rPr>
          <w:rFonts w:hint="eastAsia" w:hAnsi="宋体"/>
          <w:b/>
          <w:sz w:val="24"/>
          <w:lang w:val="en-GB"/>
        </w:rPr>
        <w:t>控制项内容</w:t>
      </w:r>
    </w:p>
    <w:p>
      <w:pPr>
        <w:pStyle w:val="90"/>
        <w:numPr>
          <w:ilvl w:val="0"/>
          <w:numId w:val="26"/>
        </w:numPr>
      </w:pPr>
      <w:r>
        <w:rPr>
          <w:rFonts w:hint="eastAsia"/>
        </w:rPr>
        <w:t>本工程施工图落实方案及初步设计，按规范要求的内容制定水资源利用方案，统筹利用各种水资源。给水排水系统的设置符合下列规定：</w:t>
      </w:r>
    </w:p>
    <w:p>
      <w:pPr>
        <w:pStyle w:val="90"/>
        <w:ind w:left="851" w:hanging="420"/>
        <w:rPr>
          <w:rFonts w:asciiTheme="minorEastAsia" w:hAnsiTheme="minorEastAsia" w:eastAsiaTheme="minorEastAsia"/>
        </w:rPr>
      </w:pPr>
      <w:r>
        <w:rPr>
          <w:rFonts w:hint="eastAsia" w:asciiTheme="minorEastAsia" w:hAnsiTheme="minorEastAsia" w:eastAsiaTheme="minorEastAsia"/>
        </w:rPr>
        <w:t>1.1 生活饮用水水质满足现行国家标准《生活饮用水卫生标准》</w:t>
      </w:r>
      <w:r>
        <w:rPr>
          <w:rFonts w:asciiTheme="minorEastAsia" w:hAnsiTheme="minorEastAsia" w:eastAsiaTheme="minorEastAsia"/>
        </w:rPr>
        <w:t xml:space="preserve">GB 5749-2006 </w:t>
      </w:r>
      <w:r>
        <w:rPr>
          <w:rFonts w:hint="eastAsia" w:asciiTheme="minorEastAsia" w:hAnsiTheme="minorEastAsia" w:eastAsiaTheme="minorEastAsia"/>
        </w:rPr>
        <w:t>的要求；生活用水水池、水箱等储水设施设置消毒设施，应制定水池、水箱等储水设施定期清洗消毒计划，且生活饮用水储水设施每半年清洗消毒不应少于1次；</w:t>
      </w:r>
    </w:p>
    <w:p>
      <w:pPr>
        <w:pStyle w:val="90"/>
        <w:ind w:left="851" w:hanging="420"/>
        <w:rPr>
          <w:rFonts w:asciiTheme="minorEastAsia" w:hAnsiTheme="minorEastAsia" w:eastAsiaTheme="minorEastAsia"/>
        </w:rPr>
      </w:pPr>
      <w:r>
        <w:rPr>
          <w:rFonts w:hint="eastAsia" w:asciiTheme="minorEastAsia" w:hAnsiTheme="minorEastAsia" w:eastAsiaTheme="minorEastAsia"/>
        </w:rPr>
        <w:t>1.2 按使用用途、付费或管理单元，分别设置用水计量装置；</w:t>
      </w:r>
    </w:p>
    <w:p>
      <w:pPr>
        <w:pStyle w:val="90"/>
        <w:ind w:left="851" w:hanging="420"/>
        <w:rPr>
          <w:rFonts w:asciiTheme="minorEastAsia" w:hAnsiTheme="minorEastAsia" w:eastAsiaTheme="minorEastAsia"/>
        </w:rPr>
      </w:pPr>
      <w:r>
        <w:rPr>
          <w:rFonts w:asciiTheme="minorEastAsia" w:hAnsiTheme="minorEastAsia" w:eastAsiaTheme="minorEastAsia"/>
        </w:rPr>
        <w:t xml:space="preserve">1.3 </w:t>
      </w:r>
      <w:r>
        <w:rPr>
          <w:rFonts w:hint="eastAsia" w:asciiTheme="minorEastAsia" w:hAnsiTheme="minorEastAsia" w:eastAsiaTheme="minorEastAsia"/>
        </w:rPr>
        <w:t>给水系统充分利用室外给水管网压力直接供水，用水点处水压大于</w:t>
      </w:r>
      <w:r>
        <w:rPr>
          <w:rFonts w:asciiTheme="minorEastAsia" w:hAnsiTheme="minorEastAsia" w:eastAsiaTheme="minorEastAsia"/>
        </w:rPr>
        <w:t xml:space="preserve">0.2MPa </w:t>
      </w:r>
      <w:r>
        <w:rPr>
          <w:rFonts w:hint="eastAsia" w:asciiTheme="minorEastAsia" w:hAnsiTheme="minorEastAsia" w:eastAsiaTheme="minorEastAsia"/>
        </w:rPr>
        <w:t>的配水支管应设置减压设施，并满足给水配件最低工作压力的要求；</w:t>
      </w:r>
    </w:p>
    <w:p>
      <w:pPr>
        <w:pStyle w:val="90"/>
        <w:ind w:left="851" w:hanging="420"/>
        <w:rPr>
          <w:rFonts w:asciiTheme="minorEastAsia" w:hAnsiTheme="minorEastAsia" w:eastAsiaTheme="minorEastAsia"/>
        </w:rPr>
      </w:pPr>
      <w:r>
        <w:rPr>
          <w:rFonts w:asciiTheme="minorEastAsia" w:hAnsiTheme="minorEastAsia" w:eastAsiaTheme="minorEastAsia"/>
        </w:rPr>
        <w:t xml:space="preserve">1.4 </w:t>
      </w:r>
      <w:r>
        <w:rPr>
          <w:rFonts w:hint="eastAsia" w:asciiTheme="minorEastAsia" w:hAnsiTheme="minorEastAsia" w:eastAsiaTheme="minorEastAsia"/>
        </w:rPr>
        <w:t>用水器具和设备满足节水节能型产品的要求，公共场所的洗手盆水嘴采用非接触式或延时自闭式水嘴；</w:t>
      </w:r>
    </w:p>
    <w:p>
      <w:pPr>
        <w:pStyle w:val="90"/>
        <w:ind w:left="851" w:hanging="420"/>
        <w:rPr>
          <w:rFonts w:asciiTheme="minorEastAsia" w:hAnsiTheme="minorEastAsia" w:eastAsiaTheme="minorEastAsia"/>
        </w:rPr>
      </w:pPr>
      <w:r>
        <w:rPr>
          <w:rFonts w:asciiTheme="minorEastAsia" w:hAnsiTheme="minorEastAsia" w:eastAsiaTheme="minorEastAsia"/>
        </w:rPr>
        <w:t xml:space="preserve">1.5 </w:t>
      </w:r>
      <w:r>
        <w:rPr>
          <w:rFonts w:hint="eastAsia" w:asciiTheme="minorEastAsia" w:hAnsiTheme="minorEastAsia" w:eastAsiaTheme="minorEastAsia"/>
        </w:rPr>
        <w:t>使用构造内自带水封的便器，且其水封深度不应小于</w:t>
      </w:r>
      <w:r>
        <w:rPr>
          <w:rFonts w:asciiTheme="minorEastAsia" w:hAnsiTheme="minorEastAsia" w:eastAsiaTheme="minorEastAsia"/>
        </w:rPr>
        <w:t>50mm</w:t>
      </w:r>
      <w:r>
        <w:rPr>
          <w:rFonts w:hint="eastAsia" w:asciiTheme="minorEastAsia" w:hAnsiTheme="minorEastAsia" w:eastAsiaTheme="minorEastAsia"/>
        </w:rPr>
        <w:t>；</w:t>
      </w:r>
    </w:p>
    <w:p>
      <w:pPr>
        <w:pStyle w:val="90"/>
        <w:ind w:left="851" w:hanging="42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6</w:t>
      </w:r>
      <w:r>
        <w:rPr>
          <w:rFonts w:asciiTheme="minorEastAsia" w:hAnsiTheme="minorEastAsia" w:eastAsiaTheme="minorEastAsia"/>
        </w:rPr>
        <w:t xml:space="preserve"> </w:t>
      </w:r>
      <w:r>
        <w:rPr>
          <w:rFonts w:hint="eastAsia" w:asciiTheme="minorEastAsia" w:hAnsiTheme="minorEastAsia" w:eastAsiaTheme="minorEastAsia"/>
        </w:rPr>
        <w:t>给水系统使用耐腐蚀、耐久性能好的管材、管件和阀门等；</w:t>
      </w:r>
    </w:p>
    <w:p>
      <w:pPr>
        <w:pStyle w:val="90"/>
        <w:ind w:left="851" w:hanging="42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7</w:t>
      </w:r>
      <w:r>
        <w:rPr>
          <w:rFonts w:asciiTheme="minorEastAsia" w:hAnsiTheme="minorEastAsia" w:eastAsiaTheme="minorEastAsia"/>
        </w:rPr>
        <w:t xml:space="preserve"> </w:t>
      </w:r>
      <w:r>
        <w:rPr>
          <w:rFonts w:hint="eastAsia" w:asciiTheme="minorEastAsia" w:hAnsiTheme="minorEastAsia" w:eastAsiaTheme="minorEastAsia"/>
        </w:rPr>
        <w:t>给水水池（箱）设置水位控制和溢流报警装置；</w:t>
      </w:r>
    </w:p>
    <w:p>
      <w:pPr>
        <w:pStyle w:val="90"/>
        <w:ind w:left="851" w:hanging="42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8</w:t>
      </w:r>
      <w:r>
        <w:rPr>
          <w:rFonts w:asciiTheme="minorEastAsia" w:hAnsiTheme="minorEastAsia" w:eastAsiaTheme="minorEastAsia"/>
        </w:rPr>
        <w:t xml:space="preserve"> </w:t>
      </w:r>
      <w:r>
        <w:rPr>
          <w:rFonts w:hint="eastAsia" w:asciiTheme="minorEastAsia" w:hAnsiTheme="minorEastAsia" w:eastAsiaTheme="minorEastAsia"/>
        </w:rPr>
        <w:t>集中空调冷却水、游泳池水、洗车场洗车用水循环使用；</w:t>
      </w:r>
    </w:p>
    <w:p>
      <w:pPr>
        <w:pStyle w:val="90"/>
        <w:ind w:left="851" w:hanging="42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9</w:t>
      </w:r>
      <w:r>
        <w:rPr>
          <w:rFonts w:asciiTheme="minorEastAsia" w:hAnsiTheme="minorEastAsia" w:eastAsiaTheme="minorEastAsia"/>
        </w:rPr>
        <w:t xml:space="preserve"> </w:t>
      </w:r>
      <w:r>
        <w:rPr>
          <w:rFonts w:hint="eastAsia" w:asciiTheme="minorEastAsia" w:hAnsiTheme="minorEastAsia" w:eastAsiaTheme="minorEastAsia"/>
        </w:rPr>
        <w:t>绿化浇洒采用高效节水灌溉方式；</w:t>
      </w:r>
    </w:p>
    <w:p>
      <w:pPr>
        <w:pStyle w:val="90"/>
        <w:ind w:left="851" w:hanging="42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10</w:t>
      </w:r>
      <w:r>
        <w:rPr>
          <w:rFonts w:asciiTheme="minorEastAsia" w:hAnsiTheme="minorEastAsia" w:eastAsiaTheme="minorEastAsia"/>
        </w:rPr>
        <w:t xml:space="preserve"> </w:t>
      </w:r>
      <w:r>
        <w:rPr>
          <w:rFonts w:hint="eastAsia" w:asciiTheme="minorEastAsia" w:hAnsiTheme="minorEastAsia" w:eastAsiaTheme="minorEastAsia"/>
        </w:rPr>
        <w:t>非亲水性的室外景观水体用水水源不采用市政自来水和地下室。</w:t>
      </w:r>
    </w:p>
    <w:p>
      <w:pPr>
        <w:pStyle w:val="90"/>
        <w:ind w:left="851" w:hanging="420"/>
        <w:rPr>
          <w:rFonts w:asciiTheme="minorEastAsia" w:hAnsiTheme="minorEastAsia" w:eastAsiaTheme="minorEastAsia"/>
        </w:rPr>
      </w:pPr>
      <w:r>
        <w:rPr>
          <w:rFonts w:asciiTheme="minorEastAsia" w:hAnsiTheme="minorEastAsia" w:eastAsiaTheme="minorEastAsia"/>
        </w:rPr>
        <w:t>1.</w:t>
      </w:r>
      <w:r>
        <w:rPr>
          <w:rFonts w:hint="eastAsia" w:asciiTheme="minorEastAsia" w:hAnsiTheme="minorEastAsia" w:eastAsiaTheme="minorEastAsia"/>
        </w:rPr>
        <w:t>11</w:t>
      </w:r>
      <w:r>
        <w:rPr>
          <w:rFonts w:asciiTheme="minorEastAsia" w:hAnsiTheme="minorEastAsia" w:eastAsiaTheme="minorEastAsia"/>
        </w:rPr>
        <w:t xml:space="preserve"> </w:t>
      </w:r>
      <w:r>
        <w:rPr>
          <w:rFonts w:hint="eastAsia" w:asciiTheme="minorEastAsia" w:hAnsiTheme="minorEastAsia" w:eastAsiaTheme="minorEastAsia"/>
        </w:rPr>
        <w:t>非传统水源利用设施与建筑物同时规划设计、同时施工、同时使用；非传统水源管道和设备设置明确、清晰的永久性标识。</w:t>
      </w:r>
    </w:p>
    <w:p>
      <w:pPr>
        <w:pStyle w:val="90"/>
        <w:numPr>
          <w:ilvl w:val="0"/>
          <w:numId w:val="26"/>
        </w:numPr>
      </w:pPr>
      <w:r>
        <w:rPr>
          <w:rFonts w:hint="eastAsia"/>
        </w:rPr>
        <w:t>本新建居住建筑按照国家和省有关标准利用可再生能源。可再生能源利用设施应当与建筑主体一体化设计，同步施工、同步验收。</w:t>
      </w:r>
    </w:p>
    <w:p>
      <w:pPr>
        <w:pStyle w:val="90"/>
        <w:numPr>
          <w:ilvl w:val="0"/>
          <w:numId w:val="26"/>
        </w:numPr>
      </w:pPr>
      <w:r>
        <w:rPr>
          <w:rFonts w:hint="eastAsia"/>
        </w:rPr>
        <w:t>本项目为建设用地面积二万平方米以上的新建民用建筑，按照国家和浙江省有关标准同步建设雨水收集利用系统。</w:t>
      </w:r>
    </w:p>
    <w:p>
      <w:pPr>
        <w:pStyle w:val="90"/>
        <w:ind w:left="420" w:hanging="420"/>
        <w:rPr>
          <w:kern w:val="0"/>
          <w:sz w:val="24"/>
        </w:rPr>
      </w:pP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lang w:val="en-GB"/>
        </w:rPr>
      </w:pPr>
      <w:r>
        <w:rPr>
          <w:rFonts w:hint="eastAsia" w:hAnsi="宋体"/>
          <w:b/>
          <w:sz w:val="24"/>
          <w:lang w:val="en-GB"/>
        </w:rPr>
        <w:t>一般项内容</w:t>
      </w:r>
    </w:p>
    <w:p>
      <w:pPr>
        <w:pStyle w:val="87"/>
        <w:numPr>
          <w:ilvl w:val="0"/>
          <w:numId w:val="27"/>
        </w:numPr>
      </w:pPr>
      <w:r>
        <w:rPr>
          <w:rFonts w:hint="eastAsia"/>
        </w:rPr>
        <w:t>热水系统可再生能源利用</w:t>
      </w:r>
    </w:p>
    <w:p>
      <w:pPr>
        <w:pStyle w:val="88"/>
      </w:pPr>
      <w:r>
        <w:rPr>
          <w:rFonts w:hint="eastAsia"/>
        </w:rPr>
        <w:t>热水系统形式：□分户系统，□集中系统，□分户系统与集中系统结合；热水系统是否使用可再生能源：□是，□否。</w:t>
      </w:r>
    </w:p>
    <w:p>
      <w:pPr>
        <w:pStyle w:val="88"/>
      </w:pPr>
      <w:r>
        <w:rPr>
          <w:rFonts w:hint="eastAsia"/>
        </w:rPr>
        <w:t>使用可再生能源形式：</w:t>
      </w:r>
    </w:p>
    <w:p>
      <w:pPr>
        <w:pStyle w:val="89"/>
      </w:pPr>
      <w:r>
        <w:rPr>
          <w:rFonts w:hint="eastAsia"/>
        </w:rPr>
        <w:t>设有太阳能热水系统：□是，□否；太阳能集热系统换热形式：□直接换热，□间接换热；太阳能集热器设置总面积：_______m²。</w:t>
      </w:r>
    </w:p>
    <w:p>
      <w:pPr>
        <w:pStyle w:val="89"/>
      </w:pPr>
      <w:r>
        <w:rPr>
          <w:rFonts w:hint="eastAsia"/>
        </w:rPr>
        <w:t>设有空气源热泵热水系统：□是，□否；空气源热泵热水机组总装机容量：_______KW；空气源热泵热水机组能效等级：□一级，□二级，□三级。</w:t>
      </w:r>
    </w:p>
    <w:p>
      <w:pPr>
        <w:pStyle w:val="89"/>
      </w:pPr>
      <w:r>
        <w:rPr>
          <w:rFonts w:hint="eastAsia"/>
        </w:rPr>
        <w:t>其他</w:t>
      </w:r>
      <w:r>
        <w:t>可再生能源利用</w:t>
      </w:r>
      <w:r>
        <w:rPr>
          <w:rFonts w:hint="eastAsia"/>
        </w:rPr>
        <w:t>：</w:t>
      </w:r>
    </w:p>
    <w:p>
      <w:pPr>
        <w:pStyle w:val="88"/>
      </w:pPr>
      <w:r>
        <w:rPr>
          <w:rFonts w:hint="eastAsia"/>
        </w:rPr>
        <w:t>可再生能源利用量（年节能量折合标煤）</w:t>
      </w:r>
      <w:r>
        <w:rPr>
          <w:rFonts w:hint="eastAsia"/>
          <w:b/>
          <w:u w:val="single"/>
        </w:rPr>
        <w:t xml:space="preserve">            </w:t>
      </w:r>
      <w:r>
        <w:t>tce/a</w:t>
      </w:r>
      <w:r>
        <w:rPr>
          <w:rFonts w:hint="eastAsia"/>
        </w:rPr>
        <w:t>；</w:t>
      </w:r>
    </w:p>
    <w:p>
      <w:pPr>
        <w:pStyle w:val="88"/>
      </w:pPr>
      <w:r>
        <w:rPr>
          <w:rFonts w:hint="eastAsia"/>
        </w:rPr>
        <w:t>热水系统可再生能源应用量应满足浙江省《民用建筑可再能源应用核算标准》DB33/1105-2014要求：□是，□否。</w:t>
      </w:r>
    </w:p>
    <w:p>
      <w:pPr>
        <w:pStyle w:val="88"/>
      </w:pPr>
      <w:r>
        <w:rPr>
          <w:rFonts w:hint="eastAsia"/>
        </w:rPr>
        <w:t>居住建筑住户配置太阳能热水系统：□全体住户，□部分住户，□否。</w:t>
      </w:r>
    </w:p>
    <w:p>
      <w:pPr>
        <w:pStyle w:val="88"/>
      </w:pPr>
      <w:r>
        <w:rPr>
          <w:rFonts w:hint="eastAsia"/>
        </w:rPr>
        <w:t>居住建筑为住户配置空气源热泵热水系统：□全体住户，□部分住户，□否。</w:t>
      </w:r>
    </w:p>
    <w:p>
      <w:pPr>
        <w:pStyle w:val="88"/>
      </w:pPr>
      <w:r>
        <w:rPr>
          <w:rFonts w:hint="eastAsia"/>
        </w:rPr>
        <w:t>热水系统最大日用水量_______m³/d，平均日用水量_______m³/d，由可再生能源提供的生活热水比例_______。</w:t>
      </w:r>
    </w:p>
    <w:p>
      <w:pPr>
        <w:pStyle w:val="87"/>
      </w:pPr>
      <w:r>
        <w:rPr>
          <w:rFonts w:hint="eastAsia"/>
        </w:rPr>
        <w:t>安全耐久健康舒适</w:t>
      </w:r>
    </w:p>
    <w:p>
      <w:pPr>
        <w:pStyle w:val="88"/>
      </w:pPr>
      <w:r>
        <w:rPr>
          <w:rFonts w:hint="eastAsia"/>
        </w:rPr>
        <w:t>直饮水、集中生活热水、游泳池水、采暖空调系统用水、景观水体等的水质满足国家现行有关标准的要求：□是，□否。</w:t>
      </w:r>
    </w:p>
    <w:p>
      <w:pPr>
        <w:pStyle w:val="88"/>
      </w:pPr>
      <w:r>
        <w:rPr>
          <w:rFonts w:hint="eastAsia"/>
        </w:rPr>
        <w:t>采用二次加压供水时，生活饮用水水池、水箱等储水设施采取下列措施满足卫生要求：</w:t>
      </w:r>
    </w:p>
    <w:p>
      <w:pPr>
        <w:pStyle w:val="89"/>
      </w:pPr>
      <w:r>
        <w:rPr>
          <w:rFonts w:hint="eastAsia"/>
        </w:rPr>
        <w:t>采用符合国家现行有关标准要求的成品水箱：□是，□否。</w:t>
      </w:r>
    </w:p>
    <w:p>
      <w:pPr>
        <w:pStyle w:val="89"/>
      </w:pPr>
      <w:r>
        <w:rPr>
          <w:rFonts w:hint="eastAsia"/>
        </w:rPr>
        <w:t>采取保证储水不变质的措施：□是，□否。</w:t>
      </w:r>
    </w:p>
    <w:p>
      <w:pPr>
        <w:pStyle w:val="88"/>
      </w:pPr>
      <w:r>
        <w:rPr>
          <w:rFonts w:hint="eastAsia"/>
        </w:rPr>
        <w:t>使用符合现行国家标准或采用符合通过鉴定的企业标准并符合相关管理部门规定耐腐蚀、抗老化、耐久性能好的管材、管线、管件：□是，□否。</w:t>
      </w:r>
    </w:p>
    <w:p>
      <w:pPr>
        <w:pStyle w:val="88"/>
      </w:pPr>
      <w:r>
        <w:rPr>
          <w:rFonts w:hint="eastAsia"/>
        </w:rPr>
        <w:t>活动配件选用长寿命产品，并考虑部品组合的同寿命性；不同使用寿命的部品组合时，采用便于分别拆换、更新和升级的构造：□是，□否。</w:t>
      </w:r>
    </w:p>
    <w:p>
      <w:pPr>
        <w:pStyle w:val="88"/>
      </w:pPr>
      <w:r>
        <w:rPr>
          <w:rFonts w:hint="eastAsia"/>
        </w:rPr>
        <w:t>所有给水排水管道、设备、设施设置明确、清晰的永久性标识：□是，□否。</w:t>
      </w:r>
    </w:p>
    <w:p>
      <w:pPr>
        <w:pStyle w:val="87"/>
      </w:pPr>
      <w:r>
        <w:rPr>
          <w:rFonts w:hint="eastAsia"/>
        </w:rPr>
        <w:t>给水系统</w:t>
      </w:r>
    </w:p>
    <w:p>
      <w:pPr>
        <w:pStyle w:val="88"/>
      </w:pPr>
      <w:r>
        <w:rPr>
          <w:rFonts w:hint="eastAsia"/>
        </w:rPr>
        <w:t>当生活给水系统分区供水时，各分区的最大静水压力</w:t>
      </w:r>
      <w:r>
        <w:rPr>
          <w:u w:val="single"/>
        </w:rPr>
        <w:t xml:space="preserve">     </w:t>
      </w:r>
      <w:r>
        <w:rPr>
          <w:rFonts w:hint="eastAsia"/>
        </w:rPr>
        <w:t>MPa，给水系统竖向分区是否符合现行规范《建筑给水排水设计标准》GB</w:t>
      </w:r>
      <w:r>
        <w:t xml:space="preserve"> 50015-2019</w:t>
      </w:r>
      <w:r>
        <w:rPr>
          <w:rFonts w:hint="eastAsia"/>
        </w:rPr>
        <w:t>要求 ：□是，□否。</w:t>
      </w:r>
    </w:p>
    <w:p>
      <w:pPr>
        <w:pStyle w:val="88"/>
      </w:pPr>
      <w:r>
        <w:rPr>
          <w:rFonts w:hint="eastAsia"/>
        </w:rPr>
        <w:t xml:space="preserve">市政供水管网到达本项目的供水压力 </w:t>
      </w:r>
      <w:r>
        <w:rPr>
          <w:rFonts w:hint="eastAsia"/>
          <w:u w:val="single"/>
        </w:rPr>
        <w:t xml:space="preserve">    </w:t>
      </w:r>
      <w:r>
        <w:rPr>
          <w:rFonts w:hint="eastAsia"/>
        </w:rPr>
        <w:t>MPa，地面</w:t>
      </w:r>
      <w:r>
        <w:rPr>
          <w:rFonts w:hint="eastAsia"/>
          <w:u w:val="single"/>
        </w:rPr>
        <w:t xml:space="preserve">    </w:t>
      </w:r>
      <w:r>
        <w:rPr>
          <w:rFonts w:hint="eastAsia"/>
        </w:rPr>
        <w:t>层及以下各层给水由市政供水管网压力直接供水。</w:t>
      </w:r>
    </w:p>
    <w:p>
      <w:pPr>
        <w:pStyle w:val="88"/>
      </w:pPr>
      <w:r>
        <w:rPr>
          <w:rFonts w:hint="eastAsia"/>
        </w:rPr>
        <w:t>本工程是否设有生活给水加压泵房：□是，□否；生活给水加压泵房设在_______，泵房服务半径_______米。</w:t>
      </w:r>
    </w:p>
    <w:p>
      <w:pPr>
        <w:pStyle w:val="88"/>
      </w:pPr>
      <w:r>
        <w:rPr>
          <w:rFonts w:hint="eastAsia"/>
        </w:rPr>
        <w:t>给水泵能效达到：□泵目标能效限定值，□泵节能评价值。</w:t>
      </w:r>
    </w:p>
    <w:p>
      <w:pPr>
        <w:pStyle w:val="87"/>
      </w:pPr>
      <w:r>
        <w:rPr>
          <w:rFonts w:hint="eastAsia"/>
        </w:rPr>
        <w:t>节水与水资源利用</w:t>
      </w:r>
    </w:p>
    <w:p>
      <w:pPr>
        <w:pStyle w:val="88"/>
      </w:pPr>
      <w:r>
        <w:rPr>
          <w:rFonts w:hint="eastAsia"/>
        </w:rPr>
        <w:t>给水系统计量水表设置：</w:t>
      </w:r>
    </w:p>
    <w:p>
      <w:pPr>
        <w:pStyle w:val="89"/>
      </w:pPr>
      <w:r>
        <w:rPr>
          <w:rFonts w:asciiTheme="minorEastAsia" w:hAnsiTheme="minorEastAsia" w:eastAsiaTheme="minorEastAsia"/>
        </w:rPr>
        <w:t>按使用用途</w:t>
      </w:r>
      <w:r>
        <w:rPr>
          <w:rFonts w:hint="eastAsia" w:asciiTheme="minorEastAsia" w:hAnsiTheme="minorEastAsia" w:eastAsiaTheme="minorEastAsia"/>
        </w:rPr>
        <w:t>、付费或管理单元，</w:t>
      </w:r>
      <w:r>
        <w:rPr>
          <w:rFonts w:asciiTheme="minorEastAsia" w:hAnsiTheme="minorEastAsia" w:eastAsiaTheme="minorEastAsia"/>
        </w:rPr>
        <w:t>设置</w:t>
      </w:r>
      <w:r>
        <w:rPr>
          <w:rFonts w:hint="eastAsia" w:asciiTheme="minorEastAsia" w:hAnsiTheme="minorEastAsia" w:eastAsiaTheme="minorEastAsia"/>
        </w:rPr>
        <w:t>用水量远传计量系统，能分类、分级记录、统计分析各种用水情况: □是，□否。</w:t>
      </w:r>
    </w:p>
    <w:p>
      <w:pPr>
        <w:pStyle w:val="89"/>
      </w:pPr>
      <w:r>
        <w:t>根据水量平衡测试</w:t>
      </w:r>
      <w:r>
        <w:rPr>
          <w:rFonts w:hint="eastAsia"/>
        </w:rPr>
        <w:t>及</w:t>
      </w:r>
      <w:r>
        <w:t>管网漏损检测要求安装分级计量系统</w:t>
      </w:r>
      <w:r>
        <w:rPr>
          <w:rFonts w:hint="eastAsia"/>
        </w:rPr>
        <w:t>: □是，□否。</w:t>
      </w:r>
    </w:p>
    <w:p>
      <w:pPr>
        <w:pStyle w:val="89"/>
      </w:pPr>
      <w:r>
        <w:rPr>
          <w:rFonts w:hint="eastAsia"/>
        </w:rPr>
        <w:t>设置水质在线监测系统，监测生活饮用水、管道直饮水、游泳池水、非传统水源、空调冷却水的水质指标，记录并保存水质监测结果，且能随时供用户查询: □是，□否。</w:t>
      </w:r>
    </w:p>
    <w:p>
      <w:pPr>
        <w:pStyle w:val="88"/>
      </w:pPr>
      <w:r>
        <w:rPr>
          <w:rFonts w:hint="eastAsia"/>
        </w:rPr>
        <w:t xml:space="preserve">采用符合现行标准《节水型生活用水器具》CJ/T 164和《节水型产品通用技术条件》GB/T 18870要求的节水型卫生器具： </w:t>
      </w:r>
    </w:p>
    <w:p>
      <w:pPr>
        <w:pStyle w:val="89"/>
      </w:pPr>
      <w:r>
        <w:rPr>
          <w:rFonts w:hint="eastAsia" w:asciiTheme="minorEastAsia" w:hAnsiTheme="minorEastAsia" w:eastAsiaTheme="minorEastAsia"/>
        </w:rPr>
        <w:t>全部卫生器具的用水效率等级达到3</w:t>
      </w:r>
      <w:r>
        <w:rPr>
          <w:rFonts w:asciiTheme="minorEastAsia" w:hAnsiTheme="minorEastAsia" w:eastAsiaTheme="minorEastAsia"/>
        </w:rPr>
        <w:t xml:space="preserve"> </w:t>
      </w:r>
      <w:r>
        <w:rPr>
          <w:rFonts w:hint="eastAsia" w:asciiTheme="minorEastAsia" w:hAnsiTheme="minorEastAsia" w:eastAsiaTheme="minorEastAsia"/>
        </w:rPr>
        <w:t>级：□是，□否。</w:t>
      </w:r>
    </w:p>
    <w:p>
      <w:pPr>
        <w:pStyle w:val="89"/>
      </w:pPr>
      <w:r>
        <w:rPr>
          <w:rFonts w:hint="eastAsia"/>
        </w:rPr>
        <w:t>全部卫生器具的用水效率等级达到</w:t>
      </w:r>
      <w:r>
        <w:t xml:space="preserve">2 </w:t>
      </w:r>
      <w:r>
        <w:rPr>
          <w:rFonts w:hint="eastAsia"/>
        </w:rPr>
        <w:t>级：□是，□否。</w:t>
      </w:r>
    </w:p>
    <w:p>
      <w:pPr>
        <w:pStyle w:val="89"/>
      </w:pPr>
      <w:r>
        <w:t>50％</w:t>
      </w:r>
      <w:r>
        <w:rPr>
          <w:rFonts w:hint="eastAsia"/>
        </w:rPr>
        <w:t>以上卫生器具的用水效率等级达到</w:t>
      </w:r>
      <w:r>
        <w:t xml:space="preserve">1 </w:t>
      </w:r>
      <w:r>
        <w:rPr>
          <w:rFonts w:hint="eastAsia"/>
        </w:rPr>
        <w:t>级且其他达到</w:t>
      </w:r>
      <w:r>
        <w:t xml:space="preserve">2 </w:t>
      </w:r>
      <w:r>
        <w:rPr>
          <w:rFonts w:hint="eastAsia"/>
        </w:rPr>
        <w:t>级：□是，□否。</w:t>
      </w:r>
    </w:p>
    <w:p>
      <w:pPr>
        <w:pStyle w:val="89"/>
      </w:pPr>
      <w:r>
        <w:rPr>
          <w:rFonts w:hint="eastAsia"/>
        </w:rPr>
        <w:t>全部卫生器具的用水效率等级达到</w:t>
      </w:r>
      <w:r>
        <w:t xml:space="preserve">1 </w:t>
      </w:r>
      <w:r>
        <w:rPr>
          <w:rFonts w:hint="eastAsia"/>
        </w:rPr>
        <w:t>级：□是，□否。</w:t>
      </w:r>
    </w:p>
    <w:p>
      <w:pPr>
        <w:pStyle w:val="88"/>
      </w:pPr>
      <w:r>
        <w:rPr>
          <w:rFonts w:hint="eastAsia"/>
        </w:rPr>
        <w:t>绿化灌溉采用下列节水设备或技术：</w:t>
      </w:r>
    </w:p>
    <w:p>
      <w:pPr>
        <w:pStyle w:val="89"/>
      </w:pPr>
      <w:r>
        <w:rPr>
          <w:rFonts w:hint="eastAsia"/>
        </w:rPr>
        <w:t>采用节水灌溉系统：□是，□否。</w:t>
      </w:r>
    </w:p>
    <w:p>
      <w:pPr>
        <w:pStyle w:val="89"/>
      </w:pPr>
      <w:r>
        <w:rPr>
          <w:rFonts w:hint="eastAsia"/>
        </w:rPr>
        <w:t>在采用节水灌溉系统的基础上，设置土壤湿度感应器、雨天自动关闭装置等节水控制措施：□是；□否。</w:t>
      </w:r>
    </w:p>
    <w:p>
      <w:pPr>
        <w:pStyle w:val="89"/>
      </w:pPr>
      <w:r>
        <w:rPr>
          <w:rFonts w:hint="eastAsia"/>
        </w:rPr>
        <w:t>种植无须永久灌溉植物：□是，□否。</w:t>
      </w:r>
    </w:p>
    <w:p>
      <w:pPr>
        <w:pStyle w:val="88"/>
      </w:pPr>
      <w:r>
        <w:rPr>
          <w:rFonts w:hint="eastAsia"/>
        </w:rPr>
        <w:t>空调设备或系统采用下列节水设备或技术：</w:t>
      </w:r>
    </w:p>
    <w:p>
      <w:pPr>
        <w:pStyle w:val="89"/>
        <w:numPr>
          <w:ilvl w:val="0"/>
          <w:numId w:val="0"/>
        </w:numPr>
        <w:ind w:left="1050"/>
      </w:pPr>
      <w:r>
        <w:rPr>
          <w:rFonts w:hint="eastAsia"/>
        </w:rPr>
        <w:t>循环冷却水系统采取设置水处理措施、加大集水盘、设置平衡管或平衡水箱等方式，避免冷却水泵停泵时冷却水溢出：□是，□否。</w:t>
      </w:r>
    </w:p>
    <w:p>
      <w:pPr>
        <w:pStyle w:val="89"/>
      </w:pPr>
      <w:r>
        <w:rPr>
          <w:rFonts w:hint="eastAsia"/>
        </w:rPr>
        <w:t>采用无蒸发耗水量的冷却技术：□是，□否。</w:t>
      </w:r>
    </w:p>
    <w:p>
      <w:pPr>
        <w:pStyle w:val="87"/>
      </w:pPr>
      <w:r>
        <w:rPr>
          <w:rFonts w:hint="eastAsia"/>
        </w:rPr>
        <w:t>合理使用非传统水源</w:t>
      </w:r>
    </w:p>
    <w:p>
      <w:pPr>
        <w:pStyle w:val="88"/>
      </w:pPr>
      <w:r>
        <w:rPr>
          <w:rFonts w:hint="eastAsia" w:asciiTheme="minorEastAsia" w:hAnsiTheme="minorEastAsia" w:eastAsiaTheme="minorEastAsia"/>
        </w:rPr>
        <w:t>本项目建设用地面积是否为二万平方米以上：□是，□否；本项目设置非传统水源利用系统：□是，□否；设置非传统水源的种类为：□雨水，□冷凝水，□本建筑内部再生水，□市政再生水，□其它：</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9"/>
      </w:pPr>
      <w:r>
        <w:rPr>
          <w:rFonts w:hint="eastAsia"/>
        </w:rPr>
        <w:t>绿化灌溉、车库及道路冲洗、洗车用水采用非传统水源：□是，□否；用水量占其总用水量的比例不低于</w:t>
      </w:r>
      <w:r>
        <w:rPr>
          <w:rFonts w:hint="eastAsia"/>
          <w:u w:val="single"/>
        </w:rPr>
        <w:t xml:space="preserve">     </w:t>
      </w:r>
      <w:r>
        <w:rPr>
          <w:rFonts w:hint="eastAsia"/>
        </w:rPr>
        <w:t>％。</w:t>
      </w:r>
    </w:p>
    <w:p>
      <w:pPr>
        <w:pStyle w:val="89"/>
      </w:pPr>
      <w:r>
        <w:rPr>
          <w:rFonts w:hint="eastAsia"/>
        </w:rPr>
        <w:t>冲厕采用非传统水源：□是，□否；用水量占其总用水量的比例不低于</w:t>
      </w:r>
      <w:r>
        <w:rPr>
          <w:rFonts w:hint="eastAsia"/>
          <w:u w:val="single"/>
        </w:rPr>
        <w:t xml:space="preserve">     </w:t>
      </w:r>
      <w:r>
        <w:rPr>
          <w:rFonts w:hint="eastAsia"/>
        </w:rPr>
        <w:t>％。</w:t>
      </w:r>
      <w:r>
        <w:t xml:space="preserve"> </w:t>
      </w:r>
    </w:p>
    <w:p>
      <w:pPr>
        <w:pStyle w:val="89"/>
      </w:pPr>
      <w:r>
        <w:rPr>
          <w:rFonts w:hint="eastAsia"/>
        </w:rPr>
        <w:t>冷却水补水采用非传统水源：□是；□否；用水量占其总用水量的比例不低于</w:t>
      </w:r>
      <w:r>
        <w:rPr>
          <w:rFonts w:hint="eastAsia"/>
          <w:u w:val="single"/>
        </w:rPr>
        <w:t xml:space="preserve">     </w:t>
      </w:r>
      <w:r>
        <w:rPr>
          <w:rFonts w:hint="eastAsia"/>
        </w:rPr>
        <w:t>％。</w:t>
      </w:r>
    </w:p>
    <w:p>
      <w:pPr>
        <w:pStyle w:val="88"/>
      </w:pPr>
      <w:r>
        <w:rPr>
          <w:rFonts w:hint="eastAsia"/>
        </w:rPr>
        <w:t xml:space="preserve">使用非传统水源的供水系统采取下列安全措施： </w:t>
      </w:r>
    </w:p>
    <w:p>
      <w:pPr>
        <w:pStyle w:val="89"/>
      </w:pPr>
      <w:r>
        <w:rPr>
          <w:rFonts w:hint="eastAsia"/>
        </w:rPr>
        <w:t>使用非传统水源对人体健康与周围环境不产生不良影响：□是，□否。</w:t>
      </w:r>
    </w:p>
    <w:p>
      <w:pPr>
        <w:pStyle w:val="89"/>
      </w:pPr>
      <w:r>
        <w:rPr>
          <w:rFonts w:hint="eastAsia"/>
        </w:rPr>
        <w:t>非传统水源管道不与饮用水管道系统、自备水源供水系统连接：□是，□否。</w:t>
      </w:r>
    </w:p>
    <w:p>
      <w:pPr>
        <w:pStyle w:val="89"/>
      </w:pPr>
      <w:r>
        <w:rPr>
          <w:rFonts w:hint="eastAsia"/>
        </w:rPr>
        <w:t>非传统水源管道和设备设置明确、清晰的永久性标识，防止误接、误用、误饮：□是，□否。</w:t>
      </w:r>
    </w:p>
    <w:p>
      <w:pPr>
        <w:pStyle w:val="89"/>
      </w:pPr>
      <w:r>
        <w:rPr>
          <w:rFonts w:hint="eastAsia"/>
        </w:rPr>
        <w:t>采用再生水的绿化供水管网不使用易于产生水雾的喷头□是，□否。</w:t>
      </w:r>
    </w:p>
    <w:p>
      <w:pPr>
        <w:pStyle w:val="88"/>
      </w:pPr>
      <w:r>
        <w:rPr>
          <w:rFonts w:hint="eastAsia" w:asciiTheme="minorEastAsia" w:hAnsiTheme="minorEastAsia" w:eastAsiaTheme="minorEastAsia"/>
        </w:rPr>
        <w:t>景观水体设置：本项目设有景观水体：□是，□否；景观水体补充水水源为：_____；景观水体水面面积：_____m²；水体年蒸发量：_____m³</w:t>
      </w:r>
      <w:r>
        <w:rPr>
          <w:rFonts w:hint="eastAsia" w:asciiTheme="minorEastAsia" w:hAnsiTheme="minorEastAsia" w:eastAsiaTheme="minorEastAsia"/>
          <w:vertAlign w:val="superscript"/>
        </w:rPr>
        <w:t xml:space="preserve"> </w:t>
      </w:r>
      <w:r>
        <w:rPr>
          <w:rFonts w:asciiTheme="minorEastAsia" w:hAnsiTheme="minorEastAsia" w:eastAsiaTheme="minorEastAsia"/>
        </w:rPr>
        <w:t>/a</w:t>
      </w:r>
      <w:r>
        <w:rPr>
          <w:rFonts w:hint="eastAsia" w:asciiTheme="minorEastAsia" w:hAnsiTheme="minorEastAsia" w:eastAsiaTheme="minorEastAsia"/>
        </w:rPr>
        <w:t>；雨水补水量占蒸发量比例：_______％ 。</w:t>
      </w:r>
    </w:p>
    <w:p>
      <w:pPr>
        <w:pStyle w:val="89"/>
      </w:pPr>
      <w:r>
        <w:rPr>
          <w:rFonts w:hint="eastAsia"/>
        </w:rPr>
        <w:t>室外景观水体利用雨水的补水量大于水体蒸发量的</w:t>
      </w:r>
      <w:r>
        <w:t>60％</w:t>
      </w:r>
      <w:r>
        <w:rPr>
          <w:rFonts w:hint="eastAsia"/>
        </w:rPr>
        <w:t>：□是，□否。</w:t>
      </w:r>
    </w:p>
    <w:p>
      <w:pPr>
        <w:pStyle w:val="89"/>
      </w:pPr>
      <w:r>
        <w:rPr>
          <w:rFonts w:hint="eastAsia"/>
        </w:rPr>
        <w:t>景观水水源不采用市政自来水和地下井水：□是，□否。</w:t>
      </w:r>
    </w:p>
    <w:p>
      <w:pPr>
        <w:pStyle w:val="89"/>
      </w:pPr>
      <w:r>
        <w:rPr>
          <w:rFonts w:hint="eastAsia"/>
        </w:rPr>
        <w:t>对进入室外景观水体的雨水，利用生态设施削减径流污染：□是，□否。</w:t>
      </w:r>
    </w:p>
    <w:p>
      <w:pPr>
        <w:pStyle w:val="89"/>
      </w:pPr>
      <w:r>
        <w:rPr>
          <w:rFonts w:hint="eastAsia"/>
        </w:rPr>
        <w:t>利用水生动、植物保障室外景观水体水质：□是，□否。</w:t>
      </w:r>
    </w:p>
    <w:p>
      <w:pPr>
        <w:pStyle w:val="89"/>
        <w:numPr>
          <w:ilvl w:val="0"/>
          <w:numId w:val="0"/>
        </w:numPr>
        <w:ind w:left="1050"/>
      </w:pPr>
      <w:r>
        <w:rPr>
          <w:rFonts w:hint="eastAsia"/>
        </w:rPr>
        <w:t>简要说明水体水质保障措施：</w:t>
      </w:r>
    </w:p>
    <w:p>
      <w:pPr>
        <w:pStyle w:val="89"/>
        <w:numPr>
          <w:ilvl w:val="0"/>
          <w:numId w:val="0"/>
        </w:numPr>
        <w:ind w:left="1050"/>
      </w:pPr>
    </w:p>
    <w:p>
      <w:pPr>
        <w:pStyle w:val="89"/>
        <w:numPr>
          <w:ilvl w:val="0"/>
          <w:numId w:val="0"/>
        </w:numPr>
        <w:ind w:left="1050"/>
      </w:pPr>
    </w:p>
    <w:p>
      <w:pPr>
        <w:pStyle w:val="89"/>
        <w:numPr>
          <w:ilvl w:val="0"/>
          <w:numId w:val="0"/>
        </w:numPr>
        <w:ind w:left="1050"/>
      </w:pPr>
    </w:p>
    <w:p>
      <w:pPr>
        <w:pStyle w:val="87"/>
      </w:pPr>
      <w:r>
        <w:rPr>
          <w:rFonts w:hint="eastAsia"/>
        </w:rPr>
        <w:t>低影响开发雨水系统</w:t>
      </w:r>
    </w:p>
    <w:p>
      <w:pPr>
        <w:pStyle w:val="88"/>
      </w:pPr>
      <w:r>
        <w:rPr>
          <w:rFonts w:hint="eastAsia" w:asciiTheme="minorEastAsia" w:hAnsiTheme="minorEastAsia" w:eastAsiaTheme="minorEastAsia"/>
        </w:rPr>
        <w:t>项目建设用地内雨水年径流总量控制率和雨水综合雨量径流系数是否满足当地海绵城市规划控制指标要求：□是，□否。</w:t>
      </w:r>
    </w:p>
    <w:p>
      <w:pPr>
        <w:pStyle w:val="88"/>
        <w:rPr>
          <w:b/>
        </w:rPr>
      </w:pPr>
      <w:r>
        <w:rPr>
          <w:rFonts w:hint="eastAsia"/>
        </w:rPr>
        <w:t>本项目海绵城市规划控制指标为：雨水年径流总量控制率</w:t>
      </w:r>
      <w:r>
        <w:rPr>
          <w:u w:val="single"/>
        </w:rPr>
        <w:t xml:space="preserve">      </w:t>
      </w:r>
      <w:r>
        <w:rPr>
          <w:rFonts w:hint="eastAsia"/>
        </w:rPr>
        <w:t>％，外排雨水综合径流系数</w:t>
      </w:r>
      <w:r>
        <w:rPr>
          <w:u w:val="single"/>
        </w:rPr>
        <w:t xml:space="preserve">     </w:t>
      </w:r>
      <w:r>
        <w:rPr>
          <w:rFonts w:hint="eastAsia"/>
        </w:rPr>
        <w:t>；本项目实际达到：雨水年径流总量控制率</w:t>
      </w:r>
      <w:r>
        <w:rPr>
          <w:rFonts w:hint="eastAsia"/>
          <w:u w:val="single"/>
        </w:rPr>
        <w:t xml:space="preserve">     </w:t>
      </w:r>
      <w:r>
        <w:rPr>
          <w:rFonts w:hint="eastAsia"/>
        </w:rPr>
        <w:t xml:space="preserve"> ％，年径流总量控制率对应的日降雨量为</w:t>
      </w:r>
      <w:r>
        <w:rPr>
          <w:rFonts w:hint="eastAsia"/>
          <w:u w:val="single"/>
        </w:rPr>
        <w:t xml:space="preserve">     </w:t>
      </w:r>
      <w:r>
        <w:rPr>
          <w:rFonts w:hint="eastAsia"/>
        </w:rPr>
        <w:t xml:space="preserve"> mm，雨水综合雨量径流系数</w:t>
      </w:r>
      <w:r>
        <w:rPr>
          <w:rFonts w:hint="eastAsia"/>
          <w:u w:val="single"/>
        </w:rPr>
        <w:t xml:space="preserve">     </w:t>
      </w:r>
      <w:r>
        <w:rPr>
          <w:rFonts w:hint="eastAsia"/>
        </w:rPr>
        <w:t>。</w:t>
      </w:r>
    </w:p>
    <w:p>
      <w:pPr>
        <w:pStyle w:val="88"/>
        <w:numPr>
          <w:ilvl w:val="0"/>
          <w:numId w:val="0"/>
        </w:numPr>
        <w:ind w:left="992"/>
        <w:rPr>
          <w:lang w:val="en-GB"/>
        </w:rPr>
      </w:pPr>
      <w:r>
        <w:rPr>
          <w:rFonts w:hint="eastAsia" w:asciiTheme="minorEastAsia" w:hAnsiTheme="minorEastAsia" w:eastAsiaTheme="minorEastAsia"/>
        </w:rPr>
        <w:t>本工程满足年径流总量控制率要求的控制雨水总量为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m³，其中雨量径流系数控制的雨水量为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 m³，应设置的雨水控制与利用设施的总调蓄容量为 </w:t>
      </w:r>
      <w:r>
        <w:rPr>
          <w:rFonts w:hint="eastAsia" w:asciiTheme="minorEastAsia" w:hAnsiTheme="minorEastAsia" w:eastAsiaTheme="minorEastAsia"/>
          <w:u w:val="single"/>
        </w:rPr>
        <w:t xml:space="preserve">       </w:t>
      </w:r>
      <w:r>
        <w:rPr>
          <w:rFonts w:hint="eastAsia" w:asciiTheme="minorEastAsia" w:hAnsiTheme="minorEastAsia" w:eastAsiaTheme="minorEastAsia"/>
        </w:rPr>
        <w:t>m³，利用雨水</w:t>
      </w:r>
      <w:r>
        <w:rPr>
          <w:rFonts w:hint="eastAsia" w:asciiTheme="minorEastAsia" w:hAnsiTheme="minorEastAsia" w:eastAsiaTheme="minorEastAsia"/>
          <w:lang w:val="en-GB"/>
        </w:rPr>
        <w:t>收集设施的调蓄容量为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m³</w:t>
      </w:r>
      <w:r>
        <w:rPr>
          <w:rFonts w:hint="eastAsia" w:asciiTheme="minorEastAsia" w:hAnsiTheme="minorEastAsia" w:eastAsiaTheme="minorEastAsia"/>
          <w:lang w:val="en-GB"/>
        </w:rPr>
        <w:t>，</w:t>
      </w:r>
      <w:r>
        <w:rPr>
          <w:rFonts w:hint="eastAsia" w:asciiTheme="minorEastAsia" w:hAnsiTheme="minorEastAsia" w:eastAsiaTheme="minorEastAsia"/>
        </w:rPr>
        <w:t>其他</w:t>
      </w:r>
      <w:r>
        <w:rPr>
          <w:rFonts w:hint="eastAsia" w:asciiTheme="minorEastAsia" w:hAnsiTheme="minorEastAsia" w:eastAsiaTheme="minorEastAsia"/>
          <w:lang w:val="en-GB"/>
        </w:rPr>
        <w:t>调蓄设施的调蓄容量为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m³。</w:t>
      </w:r>
    </w:p>
    <w:p>
      <w:pPr>
        <w:pStyle w:val="88"/>
      </w:pPr>
      <w:r>
        <w:rPr>
          <w:rFonts w:hint="eastAsia"/>
        </w:rPr>
        <w:t>海绵城市低影响开发的技术措施： （应与建筑专业一致）</w:t>
      </w:r>
    </w:p>
    <w:p>
      <w:pPr>
        <w:pStyle w:val="89"/>
      </w:pPr>
      <w:r>
        <w:rPr>
          <w:rFonts w:hint="eastAsia"/>
        </w:rPr>
        <w:t>合理衔接和引导屋面、道路雨水进入地面生态设施，并采取相应的径流污染控制措施：□是；□否；衔接和引导不少于</w:t>
      </w:r>
      <w:r>
        <w:t xml:space="preserve">80％ </w:t>
      </w:r>
      <w:r>
        <w:rPr>
          <w:rFonts w:hint="eastAsia"/>
        </w:rPr>
        <w:t>的屋面雨水进入地面生态设施：□是；□否；衔接和引导不少于</w:t>
      </w:r>
      <w:r>
        <w:t xml:space="preserve">80％ </w:t>
      </w:r>
      <w:r>
        <w:rPr>
          <w:rFonts w:hint="eastAsia"/>
        </w:rPr>
        <w:t>的道路雨水进入地面生态设施：□是，□否。</w:t>
      </w:r>
    </w:p>
    <w:p>
      <w:pPr>
        <w:pStyle w:val="89"/>
      </w:pPr>
      <w:r>
        <w:rPr>
          <w:rFonts w:hint="eastAsia"/>
        </w:rPr>
        <w:t xml:space="preserve">设置屋顶绿化：屋顶绿化面积 </w:t>
      </w:r>
      <w:r>
        <w:rPr>
          <w:rFonts w:hint="eastAsia"/>
          <w:u w:val="single"/>
        </w:rPr>
        <w:t xml:space="preserve">       </w:t>
      </w:r>
      <w:r>
        <w:rPr>
          <w:rFonts w:hint="eastAsia"/>
        </w:rPr>
        <w:t xml:space="preserve">m²；  </w:t>
      </w:r>
    </w:p>
    <w:p>
      <w:pPr>
        <w:pStyle w:val="89"/>
      </w:pPr>
      <w:r>
        <w:rPr>
          <w:rFonts w:hint="eastAsia"/>
        </w:rPr>
        <w:t xml:space="preserve">设置透水铺装：透水铺装面积 </w:t>
      </w:r>
      <w:r>
        <w:rPr>
          <w:rFonts w:hint="eastAsia"/>
          <w:u w:val="single"/>
        </w:rPr>
        <w:t xml:space="preserve">       </w:t>
      </w:r>
      <w:r>
        <w:rPr>
          <w:rFonts w:hint="eastAsia"/>
        </w:rPr>
        <w:t xml:space="preserve">m²，硬质铺装地面中透水铺装的比例 </w:t>
      </w:r>
      <w:r>
        <w:rPr>
          <w:rFonts w:hint="eastAsia"/>
          <w:u w:val="single"/>
        </w:rPr>
        <w:t xml:space="preserve">       </w:t>
      </w:r>
      <w:r>
        <w:rPr>
          <w:rFonts w:hint="eastAsia"/>
        </w:rPr>
        <w:t xml:space="preserve">％； </w:t>
      </w:r>
    </w:p>
    <w:p>
      <w:pPr>
        <w:pStyle w:val="88"/>
      </w:pPr>
      <w:r>
        <w:rPr>
          <w:rFonts w:hint="eastAsia"/>
        </w:rPr>
        <w:t xml:space="preserve">设置下凹绿地、雨水花园等有调蓄雨水功能的绿地和水体：下凹绿地面积 </w:t>
      </w:r>
      <w:r>
        <w:rPr>
          <w:rFonts w:hint="eastAsia"/>
          <w:u w:val="single"/>
        </w:rPr>
        <w:t xml:space="preserve">        </w:t>
      </w:r>
      <w:r>
        <w:rPr>
          <w:rFonts w:hint="eastAsia"/>
        </w:rPr>
        <w:t>m²，下凹绿地深度</w:t>
      </w:r>
      <w:r>
        <w:rPr>
          <w:rFonts w:hint="eastAsia"/>
          <w:u w:val="single"/>
        </w:rPr>
        <w:t xml:space="preserve">       </w:t>
      </w:r>
      <w:r>
        <w:rPr>
          <w:rFonts w:hint="eastAsia"/>
        </w:rPr>
        <w:t>mm；</w:t>
      </w:r>
      <w:r>
        <w:rPr>
          <w:rFonts w:hint="eastAsia" w:asciiTheme="minorEastAsia" w:hAnsiTheme="minorEastAsia" w:eastAsiaTheme="minorEastAsia"/>
        </w:rPr>
        <w:t>雨水花园面积</w:t>
      </w:r>
      <w:r>
        <w:rPr>
          <w:rFonts w:hint="eastAsia"/>
        </w:rPr>
        <w:t xml:space="preserve"> </w:t>
      </w:r>
      <w:r>
        <w:rPr>
          <w:rFonts w:hint="eastAsia"/>
          <w:u w:val="single"/>
        </w:rPr>
        <w:t xml:space="preserve">        </w:t>
      </w:r>
      <w:r>
        <w:rPr>
          <w:rFonts w:hint="eastAsia" w:asciiTheme="minorEastAsia" w:hAnsiTheme="minorEastAsia" w:eastAsiaTheme="minorEastAsia"/>
        </w:rPr>
        <w:t xml:space="preserve"> m²，雨水花园下凹深度</w:t>
      </w:r>
      <w:r>
        <w:rPr>
          <w:rFonts w:hint="eastAsia"/>
        </w:rPr>
        <w:t xml:space="preserve"> </w:t>
      </w:r>
      <w:r>
        <w:rPr>
          <w:rFonts w:hint="eastAsia"/>
          <w:u w:val="single"/>
        </w:rPr>
        <w:t xml:space="preserve">        </w:t>
      </w:r>
      <w:r>
        <w:rPr>
          <w:rFonts w:hint="eastAsia" w:asciiTheme="minorEastAsia" w:hAnsiTheme="minorEastAsia" w:eastAsiaTheme="minorEastAsia"/>
        </w:rPr>
        <w:t xml:space="preserve"> mm；有调蓄雨水功能的水体</w:t>
      </w:r>
      <w:r>
        <w:rPr>
          <w:rFonts w:hint="eastAsia"/>
        </w:rPr>
        <w:t xml:space="preserve"> </w:t>
      </w:r>
      <w:r>
        <w:rPr>
          <w:rFonts w:hint="eastAsia"/>
          <w:u w:val="single"/>
        </w:rPr>
        <w:t xml:space="preserve">        </w:t>
      </w:r>
      <w:r>
        <w:rPr>
          <w:rFonts w:hint="eastAsia" w:asciiTheme="minorEastAsia" w:hAnsiTheme="minorEastAsia" w:eastAsiaTheme="minorEastAsia"/>
        </w:rPr>
        <w:t xml:space="preserve"> m²，调蓄液位</w:t>
      </w:r>
      <w:r>
        <w:rPr>
          <w:rFonts w:hint="eastAsia"/>
        </w:rPr>
        <w:t xml:space="preserve"> </w:t>
      </w:r>
      <w:r>
        <w:rPr>
          <w:rFonts w:hint="eastAsia"/>
          <w:u w:val="single"/>
        </w:rPr>
        <w:t xml:space="preserve">        </w:t>
      </w:r>
      <w:r>
        <w:rPr>
          <w:rFonts w:hint="eastAsia" w:asciiTheme="minorEastAsia" w:hAnsiTheme="minorEastAsia" w:eastAsiaTheme="minorEastAsia"/>
        </w:rPr>
        <w:t xml:space="preserve"> mm；</w:t>
      </w:r>
      <w:r>
        <w:rPr>
          <w:rFonts w:hint="eastAsia"/>
        </w:rPr>
        <w:t>下凹式绿地、雨水花园等有调蓄雨水功能的绿地和水体的面积之和占绿地面积的比例达到</w:t>
      </w:r>
      <w:r>
        <w:t>40％</w:t>
      </w:r>
      <w:r>
        <w:rPr>
          <w:rFonts w:hint="eastAsia"/>
        </w:rPr>
        <w:t>：□是，□否；下凹式绿地、雨水花园等有调蓄雨水功能的绿地和水体的面积之和占绿地面积的比例达到</w:t>
      </w:r>
      <w:r>
        <w:t>60％</w:t>
      </w:r>
      <w:r>
        <w:rPr>
          <w:rFonts w:hint="eastAsia"/>
        </w:rPr>
        <w:t>：□是，□否。</w:t>
      </w:r>
    </w:p>
    <w:p>
      <w:pPr>
        <w:pStyle w:val="88"/>
      </w:pPr>
      <w:r>
        <w:rPr>
          <w:rFonts w:hint="eastAsia"/>
        </w:rPr>
        <w:t>其他设施：</w:t>
      </w:r>
    </w:p>
    <w:p>
      <w:pPr>
        <w:spacing w:line="276" w:lineRule="auto"/>
        <w:jc w:val="left"/>
        <w:rPr>
          <w:rFonts w:hAnsi="宋体"/>
          <w:sz w:val="18"/>
          <w:szCs w:val="18"/>
        </w:rPr>
      </w:pPr>
    </w:p>
    <w:p>
      <w:pPr>
        <w:spacing w:line="276" w:lineRule="auto"/>
        <w:jc w:val="left"/>
        <w:rPr>
          <w:rFonts w:hAnsi="宋体"/>
          <w:sz w:val="18"/>
          <w:szCs w:val="18"/>
        </w:rPr>
      </w:pPr>
    </w:p>
    <w:p>
      <w:pPr>
        <w:spacing w:line="276" w:lineRule="auto"/>
        <w:jc w:val="left"/>
        <w:rPr>
          <w:rFonts w:hAnsi="宋体"/>
          <w:sz w:val="18"/>
          <w:szCs w:val="18"/>
        </w:rPr>
      </w:pPr>
    </w:p>
    <w:p>
      <w:pPr>
        <w:pStyle w:val="87"/>
      </w:pPr>
      <w:r>
        <w:rPr>
          <w:rFonts w:hint="eastAsia"/>
        </w:rPr>
        <w:t>热水系统</w:t>
      </w:r>
    </w:p>
    <w:p>
      <w:pPr>
        <w:pStyle w:val="88"/>
      </w:pPr>
      <w:r>
        <w:rPr>
          <w:rFonts w:hint="eastAsia"/>
        </w:rPr>
        <w:t>热水系统循环措施：</w:t>
      </w:r>
    </w:p>
    <w:p>
      <w:pPr>
        <w:pStyle w:val="89"/>
      </w:pPr>
      <w:r>
        <w:rPr>
          <w:rFonts w:hint="eastAsia"/>
        </w:rPr>
        <w:t>热源部分采用机械循环：□是，□否；热水系统供回水部分采用机械循环：□是，□否。</w:t>
      </w:r>
    </w:p>
    <w:p>
      <w:pPr>
        <w:pStyle w:val="89"/>
      </w:pPr>
      <w:r>
        <w:rPr>
          <w:rFonts w:hint="eastAsia"/>
        </w:rPr>
        <w:t>热源部分采用自然循环：□是，□否；热水系统供回水部分采用自然循环：□是，□否。</w:t>
      </w:r>
    </w:p>
    <w:p>
      <w:pPr>
        <w:pStyle w:val="89"/>
      </w:pPr>
      <w:r>
        <w:rPr>
          <w:rFonts w:hint="eastAsia" w:asciiTheme="minorEastAsia" w:hAnsiTheme="minorEastAsia" w:eastAsiaTheme="minorEastAsia"/>
        </w:rPr>
        <w:t>分户热水器热水供水至热水配水点出水温度达到46°C的出水时间是否不大于15s: □是，□否；集中热水配水点出水温度达到46°C的出水时间是否不大于10s: □是，□否。</w:t>
      </w:r>
    </w:p>
    <w:p>
      <w:pPr>
        <w:pStyle w:val="88"/>
      </w:pPr>
      <w:r>
        <w:rPr>
          <w:rFonts w:hint="eastAsia"/>
        </w:rPr>
        <w:t>用水点处冷、热水供水压力平衡措施：</w:t>
      </w:r>
    </w:p>
    <w:p>
      <w:pPr>
        <w:pStyle w:val="89"/>
      </w:pPr>
      <w:r>
        <w:rPr>
          <w:rFonts w:hint="eastAsia"/>
        </w:rPr>
        <w:t>冷热水同源：□是，□否。</w:t>
      </w:r>
    </w:p>
    <w:p>
      <w:pPr>
        <w:pStyle w:val="89"/>
      </w:pPr>
      <w:r>
        <w:rPr>
          <w:rFonts w:hint="eastAsia"/>
        </w:rPr>
        <w:t>采用配水支管设可调式减压阀：□是，□否。</w:t>
      </w:r>
    </w:p>
    <w:p>
      <w:pPr>
        <w:pStyle w:val="89"/>
      </w:pPr>
      <w:r>
        <w:rPr>
          <w:rFonts w:hint="eastAsia"/>
        </w:rPr>
        <w:t>用水点处设带调整压差功能的混合装置：□是，□否。</w:t>
      </w:r>
    </w:p>
    <w:p>
      <w:pPr>
        <w:pStyle w:val="89"/>
      </w:pPr>
      <w:r>
        <w:rPr>
          <w:rFonts w:hint="eastAsia"/>
        </w:rPr>
        <w:t>其他措施：</w:t>
      </w:r>
      <w:r>
        <w:rPr>
          <w:rFonts w:hint="eastAsia"/>
          <w:u w:val="single"/>
        </w:rPr>
        <w:t xml:space="preserve">        </w:t>
      </w:r>
      <w:r>
        <w:rPr>
          <w:rFonts w:hint="eastAsia"/>
        </w:rPr>
        <w:t>。</w:t>
      </w:r>
    </w:p>
    <w:p>
      <w:pPr>
        <w:pStyle w:val="88"/>
      </w:pPr>
      <w:r>
        <w:rPr>
          <w:rFonts w:hint="eastAsia"/>
        </w:rPr>
        <w:t>热水系统保温措施：</w:t>
      </w:r>
    </w:p>
    <w:p>
      <w:pPr>
        <w:pStyle w:val="89"/>
      </w:pPr>
      <w:r>
        <w:rPr>
          <w:rFonts w:hint="eastAsia"/>
        </w:rPr>
        <w:t>仅采用保温材料保温：□是，□否。</w:t>
      </w:r>
    </w:p>
    <w:p>
      <w:pPr>
        <w:pStyle w:val="89"/>
      </w:pPr>
      <w:r>
        <w:rPr>
          <w:rFonts w:hint="eastAsia"/>
        </w:rPr>
        <w:t>采用可控式电伴热保温：□是，□否。</w:t>
      </w:r>
    </w:p>
    <w:p>
      <w:pPr>
        <w:pStyle w:val="89"/>
      </w:pPr>
      <w:r>
        <w:rPr>
          <w:rFonts w:hint="eastAsia"/>
        </w:rPr>
        <w:t>其他保温措施：</w:t>
      </w:r>
      <w:r>
        <w:rPr>
          <w:rFonts w:hint="eastAsia"/>
          <w:u w:val="single"/>
        </w:rPr>
        <w:t xml:space="preserve">        </w:t>
      </w:r>
      <w:r>
        <w:rPr>
          <w:rFonts w:hint="eastAsia"/>
        </w:rPr>
        <w:t>。</w:t>
      </w:r>
    </w:p>
    <w:p>
      <w:pPr>
        <w:spacing w:line="276" w:lineRule="auto"/>
        <w:jc w:val="left"/>
        <w:rPr>
          <w:rFonts w:hAnsi="宋体"/>
          <w:sz w:val="18"/>
          <w:szCs w:val="18"/>
        </w:rPr>
      </w:pPr>
    </w:p>
    <w:p>
      <w:pPr>
        <w:spacing w:line="276" w:lineRule="auto"/>
        <w:jc w:val="left"/>
        <w:rPr>
          <w:rFonts w:hAnsi="宋体"/>
          <w:sz w:val="18"/>
          <w:szCs w:val="18"/>
        </w:rPr>
      </w:pPr>
    </w:p>
    <w:p>
      <w:pPr>
        <w:spacing w:line="276" w:lineRule="auto"/>
        <w:jc w:val="left"/>
        <w:rPr>
          <w:rFonts w:hAnsi="宋体"/>
          <w:sz w:val="18"/>
          <w:szCs w:val="18"/>
        </w:rPr>
      </w:pPr>
    </w:p>
    <w:p>
      <w:pPr>
        <w:spacing w:line="276" w:lineRule="auto"/>
        <w:jc w:val="left"/>
        <w:rPr>
          <w:rFonts w:hAnsi="宋体"/>
          <w:sz w:val="18"/>
          <w:szCs w:val="18"/>
        </w:rPr>
      </w:pPr>
    </w:p>
    <w:p>
      <w:pPr>
        <w:pStyle w:val="87"/>
      </w:pPr>
      <w:r>
        <w:rPr>
          <w:rFonts w:hint="eastAsia"/>
        </w:rPr>
        <w:t>分期建设项目可再生能源应用设施设置说明：</w:t>
      </w: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pStyle w:val="87"/>
      </w:pPr>
      <w:r>
        <w:rPr>
          <w:rFonts w:hint="eastAsia"/>
        </w:rPr>
        <w:t>如有采用其他绿色设计措施，请做简要说明：</w:t>
      </w: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r>
        <w:rPr>
          <w:rFonts w:hint="eastAsia"/>
        </w:rPr>
        <w:t>以上填写结果如有需要解释说明的事项，列出序号和说明内容：</w:t>
      </w: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spacing w:line="276" w:lineRule="auto"/>
        <w:jc w:val="left"/>
        <w:rPr>
          <w:rFonts w:hAnsi="宋体"/>
          <w:b/>
          <w:sz w:val="18"/>
          <w:szCs w:val="18"/>
        </w:rPr>
      </w:pPr>
    </w:p>
    <w:p>
      <w:pPr>
        <w:rPr>
          <w:rFonts w:hAnsi="宋体"/>
        </w:rPr>
      </w:pPr>
    </w:p>
    <w:p>
      <w:pPr>
        <w:rPr>
          <w:rFonts w:hAnsi="宋体"/>
        </w:rPr>
      </w:pPr>
    </w:p>
    <w:p>
      <w:pPr>
        <w:rPr>
          <w:rFonts w:hAnsi="宋体"/>
        </w:rPr>
      </w:pPr>
    </w:p>
    <w:p>
      <w:pPr>
        <w:rPr>
          <w:rFonts w:hAnsi="宋体"/>
        </w:rPr>
      </w:pPr>
    </w:p>
    <w:p>
      <w:pPr>
        <w:rPr>
          <w:rFonts w:hAnsi="宋体"/>
        </w:rPr>
      </w:pPr>
    </w:p>
    <w:p>
      <w:pPr>
        <w:rPr>
          <w:rFonts w:hAnsi="宋体"/>
        </w:rPr>
      </w:pPr>
    </w:p>
    <w:p>
      <w:pPr>
        <w:rPr>
          <w:rFonts w:hAnsi="宋体"/>
        </w:rPr>
      </w:pPr>
    </w:p>
    <w:p>
      <w:pPr>
        <w:rPr>
          <w:rFonts w:hAnsi="宋体"/>
        </w:rPr>
      </w:pPr>
    </w:p>
    <w:p>
      <w:pPr>
        <w:rPr>
          <w:rFonts w:hAnsi="宋体"/>
        </w:rPr>
      </w:pPr>
    </w:p>
    <w:p>
      <w:pPr>
        <w:rPr>
          <w:rFonts w:hAnsi="宋体"/>
        </w:rPr>
      </w:pPr>
    </w:p>
    <w:p>
      <w:pPr>
        <w:rPr>
          <w:rFonts w:hAnsi="宋体"/>
        </w:rPr>
      </w:pPr>
    </w:p>
    <w:p>
      <w:pPr>
        <w:rPr>
          <w:rFonts w:hAnsi="宋体"/>
        </w:rPr>
      </w:pPr>
    </w:p>
    <w:p>
      <w:pPr>
        <w:widowControl/>
        <w:spacing w:line="360" w:lineRule="auto"/>
        <w:jc w:val="left"/>
        <w:outlineLvl w:val="0"/>
        <w:rPr>
          <w:rFonts w:hAnsi="宋体"/>
          <w:b/>
          <w:bCs/>
          <w:kern w:val="0"/>
          <w:sz w:val="24"/>
        </w:rPr>
        <w:sectPr>
          <w:headerReference r:id="rId8" w:type="default"/>
          <w:pgSz w:w="23814" w:h="16840" w:orient="landscape"/>
          <w:pgMar w:top="1134" w:right="1134" w:bottom="1134" w:left="1134" w:header="851" w:footer="992" w:gutter="0"/>
          <w:cols w:space="630" w:num="2"/>
          <w:docGrid w:type="lines" w:linePitch="312" w:charSpace="0"/>
        </w:sectPr>
      </w:pPr>
    </w:p>
    <w:p>
      <w:pPr>
        <w:pStyle w:val="63"/>
        <w:ind w:firstLine="0"/>
        <w:rPr>
          <w:rFonts w:asciiTheme="minorEastAsia" w:hAnsiTheme="minorEastAsia" w:eastAsiaTheme="minorEastAsia"/>
          <w:b/>
        </w:rPr>
      </w:pPr>
      <w:bookmarkStart w:id="15" w:name="_Toc109325270"/>
      <w:bookmarkStart w:id="16" w:name="_Toc109325906"/>
      <w:r>
        <w:rPr>
          <w:rFonts w:hint="eastAsia" w:asciiTheme="minorEastAsia" w:hAnsiTheme="minorEastAsia" w:eastAsiaTheme="minorEastAsia"/>
          <w:b/>
        </w:rPr>
        <w:t>一、暖通主要设计依据</w:t>
      </w:r>
      <w:bookmarkEnd w:id="15"/>
      <w:bookmarkEnd w:id="16"/>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《浙江省绿色建筑条例》；</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《杭州市民用建筑节能条例》；</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《绿色建筑评价标准》GB/T 50378-2019；</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《民用建筑供暖通风与空气调节设计规范》 </w:t>
      </w:r>
      <w:r>
        <w:rPr>
          <w:rFonts w:asciiTheme="minorEastAsia" w:hAnsiTheme="minorEastAsia" w:eastAsiaTheme="minorEastAsia"/>
          <w:szCs w:val="21"/>
        </w:rPr>
        <w:t>GB</w:t>
      </w:r>
      <w:r>
        <w:rPr>
          <w:rFonts w:hint="eastAsia" w:asciiTheme="minorEastAsia" w:hAnsiTheme="minorEastAsia" w:eastAsiaTheme="minorEastAsia"/>
          <w:szCs w:val="21"/>
        </w:rPr>
        <w:t xml:space="preserve"> </w:t>
      </w:r>
      <w:r>
        <w:rPr>
          <w:rFonts w:asciiTheme="minorEastAsia" w:hAnsiTheme="minorEastAsia" w:eastAsiaTheme="minorEastAsia"/>
          <w:szCs w:val="21"/>
        </w:rPr>
        <w:t>50736-</w:t>
      </w:r>
      <w:r>
        <w:rPr>
          <w:rFonts w:hint="eastAsia" w:asciiTheme="minorEastAsia" w:hAnsiTheme="minorEastAsia" w:eastAsiaTheme="minorEastAsia"/>
          <w:szCs w:val="21"/>
        </w:rPr>
        <w:t>2012；</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《锅炉房设计规范》 GB 50041-2020；</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《民用建筑设计统一标准》GB 50352-2019；</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《建筑节能与可再生能源利用通用规范》GB 55015-2021；</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《公共建筑节能设计标准》 GB 50189-2015；</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浙江省《公共建筑节能设计标准》DB 33/1036-2021；</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浙江省《居住建筑节能设计标准》DB 33/1015-2021；</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《民用建筑热工设计规范》 </w:t>
      </w:r>
      <w:r>
        <w:rPr>
          <w:rFonts w:asciiTheme="minorEastAsia" w:hAnsiTheme="minorEastAsia" w:eastAsiaTheme="minorEastAsia"/>
          <w:szCs w:val="21"/>
        </w:rPr>
        <w:t>GB</w:t>
      </w:r>
      <w:r>
        <w:rPr>
          <w:rFonts w:hint="eastAsia" w:asciiTheme="minorEastAsia" w:hAnsiTheme="minorEastAsia" w:eastAsiaTheme="minorEastAsia"/>
          <w:szCs w:val="21"/>
        </w:rPr>
        <w:t xml:space="preserve"> </w:t>
      </w:r>
      <w:r>
        <w:rPr>
          <w:rFonts w:asciiTheme="minorEastAsia" w:hAnsiTheme="minorEastAsia" w:eastAsiaTheme="minorEastAsia"/>
          <w:szCs w:val="21"/>
        </w:rPr>
        <w:t>50176-</w:t>
      </w:r>
      <w:r>
        <w:rPr>
          <w:rFonts w:hint="eastAsia" w:asciiTheme="minorEastAsia" w:hAnsiTheme="minorEastAsia" w:eastAsiaTheme="minorEastAsia"/>
          <w:szCs w:val="21"/>
        </w:rPr>
        <w:t>2016；</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 xml:space="preserve">浙江省《绿色建筑设计标准》 </w:t>
      </w:r>
      <w:r>
        <w:rPr>
          <w:rFonts w:asciiTheme="minorEastAsia" w:hAnsiTheme="minorEastAsia" w:eastAsiaTheme="minorEastAsia"/>
          <w:szCs w:val="21"/>
        </w:rPr>
        <w:t>DB</w:t>
      </w:r>
      <w:r>
        <w:rPr>
          <w:rFonts w:hint="eastAsia" w:asciiTheme="minorEastAsia" w:hAnsiTheme="minorEastAsia" w:eastAsiaTheme="minorEastAsia"/>
          <w:szCs w:val="21"/>
        </w:rPr>
        <w:t xml:space="preserve"> </w:t>
      </w:r>
      <w:r>
        <w:rPr>
          <w:rFonts w:asciiTheme="minorEastAsia" w:hAnsiTheme="minorEastAsia" w:eastAsiaTheme="minorEastAsia"/>
          <w:szCs w:val="21"/>
        </w:rPr>
        <w:t>33/1092</w:t>
      </w:r>
      <w:r>
        <w:rPr>
          <w:rFonts w:hint="eastAsia" w:asciiTheme="minorEastAsia" w:hAnsiTheme="minorEastAsia" w:eastAsiaTheme="minorEastAsia"/>
          <w:szCs w:val="21"/>
        </w:rPr>
        <w:t>-</w:t>
      </w:r>
      <w:r>
        <w:rPr>
          <w:rFonts w:asciiTheme="minorEastAsia" w:hAnsiTheme="minorEastAsia" w:eastAsiaTheme="minorEastAsia"/>
          <w:szCs w:val="21"/>
        </w:rPr>
        <w:t>2021</w:t>
      </w:r>
      <w:r>
        <w:rPr>
          <w:rFonts w:hint="eastAsia" w:asciiTheme="minorEastAsia" w:hAnsiTheme="minorEastAsia" w:eastAsiaTheme="minorEastAsia"/>
          <w:szCs w:val="21"/>
        </w:rPr>
        <w:t>；</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w:t>
      </w:r>
      <w:r>
        <w:fldChar w:fldCharType="begin"/>
      </w:r>
      <w:r>
        <w:instrText xml:space="preserve"> HYPERLINK "http://www.jianbiaoku.com/webarbs/book/152877/4702815.shtml" \t "_self" </w:instrText>
      </w:r>
      <w:r>
        <w:fldChar w:fldCharType="separate"/>
      </w:r>
      <w:r>
        <w:rPr>
          <w:rFonts w:hint="eastAsia" w:asciiTheme="minorEastAsia" w:hAnsiTheme="minorEastAsia" w:eastAsiaTheme="minorEastAsia"/>
          <w:szCs w:val="21"/>
        </w:rPr>
        <w:t>通风机能效限定值及能效等级》GB</w:t>
      </w:r>
      <w:r>
        <w:rPr>
          <w:rFonts w:asciiTheme="minorEastAsia" w:hAnsiTheme="minorEastAsia" w:eastAsiaTheme="minorEastAsia"/>
          <w:szCs w:val="21"/>
        </w:rPr>
        <w:t xml:space="preserve"> </w:t>
      </w:r>
      <w:r>
        <w:rPr>
          <w:rFonts w:hint="eastAsia" w:asciiTheme="minorEastAsia" w:hAnsiTheme="minorEastAsia" w:eastAsiaTheme="minorEastAsia"/>
          <w:szCs w:val="21"/>
        </w:rPr>
        <w:t>19761-2020</w:t>
      </w:r>
      <w:r>
        <w:rPr>
          <w:rFonts w:hint="eastAsia" w:asciiTheme="minorEastAsia" w:hAnsiTheme="minorEastAsia" w:eastAsiaTheme="minorEastAsia"/>
          <w:szCs w:val="21"/>
        </w:rPr>
        <w:fldChar w:fldCharType="end"/>
      </w:r>
      <w:r>
        <w:rPr>
          <w:rFonts w:hint="eastAsia" w:asciiTheme="minorEastAsia" w:hAnsiTheme="minorEastAsia" w:eastAsiaTheme="minorEastAsia"/>
          <w:szCs w:val="21"/>
        </w:rPr>
        <w:t>；</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《清水离心泵能效限定值及节能评价值》GB 19762-2007；</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节能评估报告书（表）；</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hint="eastAsia" w:asciiTheme="minorEastAsia" w:hAnsiTheme="minorEastAsia" w:eastAsiaTheme="minorEastAsia"/>
          <w:szCs w:val="21"/>
        </w:rPr>
        <w:t>建设单位提供的文件资料要求；</w:t>
      </w:r>
    </w:p>
    <w:p>
      <w:pPr>
        <w:numPr>
          <w:ilvl w:val="0"/>
          <w:numId w:val="28"/>
        </w:numPr>
        <w:autoSpaceDE w:val="0"/>
        <w:autoSpaceDN w:val="0"/>
        <w:adjustRightInd w:val="0"/>
        <w:spacing w:line="400" w:lineRule="exact"/>
        <w:jc w:val="left"/>
        <w:rPr>
          <w:rFonts w:asciiTheme="minorEastAsia" w:hAnsiTheme="minorEastAsia" w:eastAsiaTheme="minorEastAsia"/>
          <w:szCs w:val="21"/>
        </w:rPr>
      </w:pPr>
      <w:r>
        <w:rPr>
          <w:rFonts w:cs="宋体" w:asciiTheme="minorEastAsia" w:hAnsiTheme="minorEastAsia" w:eastAsiaTheme="minorEastAsia"/>
          <w:kern w:val="0"/>
          <w:szCs w:val="21"/>
        </w:rPr>
        <w:t>现行国家、</w:t>
      </w:r>
      <w:r>
        <w:rPr>
          <w:rFonts w:hint="eastAsia" w:cs="宋体" w:asciiTheme="minorEastAsia" w:hAnsiTheme="minorEastAsia" w:eastAsiaTheme="minorEastAsia"/>
          <w:kern w:val="0"/>
          <w:szCs w:val="21"/>
        </w:rPr>
        <w:t>行业、地方</w:t>
      </w:r>
      <w:r>
        <w:rPr>
          <w:rFonts w:cs="宋体" w:asciiTheme="minorEastAsia" w:hAnsiTheme="minorEastAsia" w:eastAsiaTheme="minorEastAsia"/>
          <w:kern w:val="0"/>
          <w:szCs w:val="21"/>
        </w:rPr>
        <w:t>相关</w:t>
      </w:r>
      <w:r>
        <w:rPr>
          <w:rFonts w:hint="eastAsia" w:cs="宋体" w:asciiTheme="minorEastAsia" w:hAnsiTheme="minorEastAsia" w:eastAsiaTheme="minorEastAsia"/>
          <w:kern w:val="0"/>
          <w:szCs w:val="21"/>
        </w:rPr>
        <w:t>绿色建筑与</w:t>
      </w:r>
      <w:r>
        <w:rPr>
          <w:rFonts w:cs="宋体" w:asciiTheme="minorEastAsia" w:hAnsiTheme="minorEastAsia" w:eastAsiaTheme="minorEastAsia"/>
          <w:kern w:val="0"/>
          <w:szCs w:val="21"/>
        </w:rPr>
        <w:t>节能</w:t>
      </w:r>
      <w:r>
        <w:rPr>
          <w:rFonts w:hint="eastAsia" w:cs="宋体" w:asciiTheme="minorEastAsia" w:hAnsiTheme="minorEastAsia" w:eastAsiaTheme="minorEastAsia"/>
          <w:kern w:val="0"/>
          <w:szCs w:val="21"/>
        </w:rPr>
        <w:t>的</w:t>
      </w:r>
      <w:r>
        <w:rPr>
          <w:rFonts w:cs="宋体" w:asciiTheme="minorEastAsia" w:hAnsiTheme="minorEastAsia" w:eastAsiaTheme="minorEastAsia"/>
          <w:kern w:val="0"/>
          <w:szCs w:val="21"/>
        </w:rPr>
        <w:t>法律、法规</w:t>
      </w:r>
      <w:r>
        <w:rPr>
          <w:rFonts w:hint="eastAsia" w:cs="宋体" w:asciiTheme="minorEastAsia" w:hAnsiTheme="minorEastAsia" w:eastAsiaTheme="minorEastAsia"/>
          <w:kern w:val="0"/>
          <w:szCs w:val="21"/>
        </w:rPr>
        <w:t>和规范性文件</w:t>
      </w:r>
      <w:r>
        <w:rPr>
          <w:rFonts w:hint="eastAsia" w:asciiTheme="minorEastAsia" w:hAnsiTheme="minorEastAsia" w:eastAsiaTheme="minorEastAsia"/>
          <w:szCs w:val="21"/>
        </w:rPr>
        <w:t>。</w:t>
      </w:r>
    </w:p>
    <w:p>
      <w:pPr>
        <w:pStyle w:val="63"/>
        <w:ind w:firstLine="0"/>
        <w:rPr>
          <w:rFonts w:asciiTheme="minorEastAsia" w:hAnsiTheme="minorEastAsia" w:eastAsiaTheme="minorEastAsia"/>
          <w:b/>
        </w:rPr>
      </w:pPr>
      <w:bookmarkStart w:id="17" w:name="_Toc109325271"/>
      <w:bookmarkStart w:id="18" w:name="_Toc109325907"/>
      <w:r>
        <w:rPr>
          <w:rFonts w:hint="eastAsia" w:asciiTheme="minorEastAsia" w:hAnsiTheme="minorEastAsia" w:eastAsiaTheme="minorEastAsia"/>
          <w:b/>
        </w:rPr>
        <w:t>二、暖通</w:t>
      </w:r>
      <w:r>
        <w:rPr>
          <w:rFonts w:asciiTheme="minorEastAsia" w:hAnsiTheme="minorEastAsia" w:eastAsiaTheme="minorEastAsia"/>
          <w:b/>
        </w:rPr>
        <w:t>设计技术措施</w:t>
      </w:r>
      <w:r>
        <w:rPr>
          <w:rFonts w:hint="eastAsia" w:asciiTheme="minorEastAsia" w:hAnsiTheme="minorEastAsia" w:eastAsiaTheme="minorEastAsia"/>
          <w:b/>
        </w:rPr>
        <w:t>:</w:t>
      </w:r>
      <w:bookmarkEnd w:id="17"/>
      <w:bookmarkEnd w:id="18"/>
    </w:p>
    <w:p>
      <w:pPr>
        <w:spacing w:line="360" w:lineRule="auto"/>
        <w:rPr>
          <w:rFonts w:asciiTheme="minorEastAsia" w:hAnsiTheme="minorEastAsia" w:eastAsiaTheme="minorEastAsia"/>
          <w:b/>
          <w:bCs/>
          <w:kern w:val="0"/>
          <w:sz w:val="24"/>
        </w:rPr>
      </w:pPr>
      <w:r>
        <w:rPr>
          <w:rFonts w:asciiTheme="minorEastAsia" w:hAnsiTheme="minorEastAsia" w:eastAsiaTheme="minorEastAsia"/>
          <w:b/>
          <w:sz w:val="24"/>
        </w:rPr>
        <w:t>可达绿色</w:t>
      </w:r>
      <w:r>
        <w:rPr>
          <w:rFonts w:asciiTheme="minorEastAsia" w:hAnsiTheme="minorEastAsia" w:eastAsiaTheme="minorEastAsia"/>
          <w:b/>
          <w:sz w:val="24"/>
          <w:lang w:val="en-GB"/>
        </w:rPr>
        <w:t>建筑</w:t>
      </w:r>
      <w:r>
        <w:rPr>
          <w:rFonts w:hint="eastAsia" w:asciiTheme="minorEastAsia" w:hAnsiTheme="minorEastAsia" w:eastAsiaTheme="minorEastAsia"/>
          <w:b/>
          <w:sz w:val="24"/>
          <w:lang w:val="en-GB"/>
        </w:rPr>
        <w:t>预评价</w:t>
      </w:r>
      <w:r>
        <w:rPr>
          <w:rFonts w:asciiTheme="minorEastAsia" w:hAnsiTheme="minorEastAsia" w:eastAsiaTheme="minorEastAsia"/>
          <w:b/>
          <w:sz w:val="24"/>
        </w:rPr>
        <w:t>等级</w:t>
      </w:r>
      <w:r>
        <w:rPr>
          <w:rFonts w:hint="eastAsia" w:asciiTheme="minorEastAsia" w:hAnsiTheme="minorEastAsia" w:eastAsiaTheme="minorEastAsia"/>
          <w:b/>
          <w:sz w:val="24"/>
        </w:rPr>
        <w:t>：</w:t>
      </w:r>
      <w:r>
        <w:rPr>
          <w:rFonts w:asciiTheme="minorEastAsia" w:hAnsiTheme="minorEastAsia"/>
          <w:b/>
          <w:sz w:val="24"/>
        </w:rPr>
        <w:t xml:space="preserve">□ </w:t>
      </w:r>
      <w:r>
        <w:rPr>
          <w:rFonts w:hint="eastAsia" w:asciiTheme="minorEastAsia" w:hAnsiTheme="minorEastAsia"/>
          <w:b/>
          <w:sz w:val="24"/>
        </w:rPr>
        <w:t>一</w:t>
      </w:r>
      <w:r>
        <w:rPr>
          <w:rFonts w:asciiTheme="minorEastAsia" w:hAnsiTheme="minorEastAsia"/>
          <w:b/>
          <w:sz w:val="24"/>
        </w:rPr>
        <w:t>星级</w:t>
      </w:r>
      <w:r>
        <w:rPr>
          <w:rFonts w:hint="eastAsia" w:asciiTheme="minorEastAsia" w:hAnsiTheme="minorEastAsia"/>
          <w:b/>
          <w:sz w:val="24"/>
        </w:rPr>
        <w:t>；</w:t>
      </w:r>
      <w:r>
        <w:rPr>
          <w:rFonts w:asciiTheme="minorEastAsia" w:hAnsiTheme="minorEastAsia" w:eastAsiaTheme="minorEastAsia"/>
          <w:b/>
          <w:sz w:val="24"/>
        </w:rPr>
        <w:t>□ 二星级</w:t>
      </w:r>
      <w:r>
        <w:rPr>
          <w:rFonts w:hint="eastAsia" w:asciiTheme="minorEastAsia" w:hAnsiTheme="minorEastAsia" w:eastAsiaTheme="minorEastAsia"/>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三</w:t>
      </w:r>
      <w:r>
        <w:rPr>
          <w:rFonts w:asciiTheme="minorEastAsia" w:hAnsiTheme="minorEastAsia" w:eastAsiaTheme="minorEastAsia"/>
          <w:b/>
          <w:sz w:val="24"/>
        </w:rPr>
        <w:t>星级</w:t>
      </w:r>
      <w:r>
        <w:rPr>
          <w:rFonts w:hint="eastAsia" w:asciiTheme="minorEastAsia" w:hAnsiTheme="minorEastAsia" w:eastAsiaTheme="minorEastAsia"/>
          <w:b/>
          <w:sz w:val="24"/>
        </w:rPr>
        <w:t>。</w:t>
      </w: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rPr>
        <w:t>暖通</w:t>
      </w:r>
      <w:r>
        <w:rPr>
          <w:rFonts w:hint="eastAsia" w:asciiTheme="minorEastAsia" w:hAnsiTheme="minorEastAsia" w:eastAsiaTheme="minorEastAsia"/>
          <w:b/>
          <w:sz w:val="24"/>
          <w:lang w:val="en-GB"/>
        </w:rPr>
        <w:t>设计技术措施</w:t>
      </w: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asciiTheme="minorEastAsia" w:hAnsiTheme="minorEastAsia" w:eastAsiaTheme="minorEastAsia"/>
          <w:b/>
          <w:sz w:val="24"/>
        </w:rPr>
      </w:pPr>
      <w:r>
        <w:rPr>
          <w:rFonts w:hint="eastAsia" w:asciiTheme="minorEastAsia" w:hAnsiTheme="minorEastAsia" w:eastAsiaTheme="minorEastAsia"/>
          <w:b/>
          <w:sz w:val="24"/>
          <w:lang w:val="en-GB"/>
        </w:rPr>
        <w:t>控制项内容</w:t>
      </w:r>
    </w:p>
    <w:p>
      <w:pPr>
        <w:pStyle w:val="90"/>
        <w:numPr>
          <w:ilvl w:val="0"/>
          <w:numId w:val="29"/>
        </w:numPr>
        <w:rPr>
          <w:rFonts w:asciiTheme="minorEastAsia" w:hAnsiTheme="minorEastAsia" w:eastAsiaTheme="minorEastAsia"/>
          <w:kern w:val="24"/>
        </w:rPr>
      </w:pPr>
      <w:r>
        <w:rPr>
          <w:rFonts w:hint="eastAsia" w:asciiTheme="minorEastAsia" w:hAnsiTheme="minorEastAsia" w:eastAsiaTheme="minorEastAsia"/>
          <w:kern w:val="24"/>
        </w:rPr>
        <w:t>暖通空调设计满足现行国家与浙江省规范与标准的强制性条文要求。</w:t>
      </w:r>
    </w:p>
    <w:p>
      <w:pPr>
        <w:pStyle w:val="90"/>
        <w:rPr>
          <w:rFonts w:asciiTheme="minorEastAsia" w:hAnsiTheme="minorEastAsia" w:eastAsiaTheme="minorEastAsia"/>
          <w:kern w:val="24"/>
        </w:rPr>
      </w:pPr>
      <w:r>
        <w:rPr>
          <w:rFonts w:hint="eastAsia" w:asciiTheme="minorEastAsia" w:hAnsiTheme="minorEastAsia" w:eastAsiaTheme="minorEastAsia"/>
          <w:kern w:val="24"/>
        </w:rPr>
        <w:t>未采用电直接加热设备作为供暖空调系统的供暖热源和空气加湿热源。</w:t>
      </w:r>
    </w:p>
    <w:p>
      <w:pPr>
        <w:pStyle w:val="90"/>
        <w:rPr>
          <w:rFonts w:asciiTheme="minorEastAsia" w:hAnsiTheme="minorEastAsia" w:eastAsiaTheme="minorEastAsia"/>
          <w:bCs/>
          <w:kern w:val="0"/>
        </w:rPr>
      </w:pPr>
      <w:r>
        <w:rPr>
          <w:rFonts w:hint="eastAsia" w:asciiTheme="minorEastAsia" w:hAnsiTheme="minorEastAsia" w:eastAsiaTheme="minorEastAsia"/>
          <w:kern w:val="24"/>
        </w:rPr>
        <w:t>冷热源、输配系统和照明等各部分能耗进行独立分项计量。</w:t>
      </w:r>
    </w:p>
    <w:p>
      <w:pPr>
        <w:pStyle w:val="90"/>
        <w:rPr>
          <w:rFonts w:asciiTheme="minorEastAsia" w:hAnsiTheme="minorEastAsia" w:eastAsiaTheme="minorEastAsia"/>
          <w:bCs/>
          <w:kern w:val="0"/>
        </w:rPr>
      </w:pPr>
      <w:r>
        <w:rPr>
          <w:rFonts w:hint="eastAsia" w:asciiTheme="minorEastAsia" w:hAnsiTheme="minorEastAsia" w:eastAsiaTheme="minorEastAsia"/>
        </w:rPr>
        <w:t>采用集中供暖空调系统的建筑，房间内的温度、湿度、新风量等设计参数符合现行国家标准《民用建筑供暖通风与空气调节设计规范》</w:t>
      </w:r>
      <w:r>
        <w:rPr>
          <w:rFonts w:asciiTheme="minorEastAsia" w:hAnsiTheme="minorEastAsia" w:eastAsiaTheme="minorEastAsia"/>
        </w:rPr>
        <w:t>GB 50736</w:t>
      </w:r>
      <w:r>
        <w:rPr>
          <w:rFonts w:hint="eastAsia" w:asciiTheme="minorEastAsia" w:hAnsiTheme="minorEastAsia" w:eastAsiaTheme="minorEastAsia"/>
        </w:rPr>
        <w:t>的规定。</w:t>
      </w:r>
      <w:r>
        <w:rPr>
          <w:rFonts w:hint="eastAsia" w:asciiTheme="minorEastAsia" w:hAnsiTheme="minorEastAsia" w:eastAsiaTheme="minorEastAsia"/>
          <w:kern w:val="24"/>
        </w:rPr>
        <w:t>根据建筑空间功能设置分区温度，合理降低室内过渡区空间的温度设定标准。</w:t>
      </w:r>
    </w:p>
    <w:p>
      <w:pPr>
        <w:pStyle w:val="90"/>
        <w:rPr>
          <w:rFonts w:asciiTheme="minorEastAsia" w:hAnsiTheme="minorEastAsia" w:eastAsiaTheme="minorEastAsia"/>
          <w:bCs/>
          <w:kern w:val="0"/>
        </w:rPr>
      </w:pPr>
      <w:r>
        <w:rPr>
          <w:rFonts w:hint="eastAsia" w:asciiTheme="minorEastAsia" w:hAnsiTheme="minorEastAsia" w:eastAsiaTheme="minorEastAsia"/>
          <w:bCs/>
          <w:kern w:val="0"/>
        </w:rPr>
        <w:t>根据房间的朝向及内部功能，合理划分供暖、空调区域，对系统进行分区控制。</w:t>
      </w:r>
    </w:p>
    <w:p>
      <w:pPr>
        <w:pStyle w:val="90"/>
        <w:rPr>
          <w:rFonts w:asciiTheme="minorEastAsia" w:hAnsiTheme="minorEastAsia" w:eastAsiaTheme="minorEastAsia"/>
          <w:bCs/>
          <w:kern w:val="0"/>
        </w:rPr>
      </w:pPr>
      <w:r>
        <w:rPr>
          <w:rFonts w:hint="eastAsia" w:asciiTheme="minorEastAsia" w:hAnsiTheme="minorEastAsia" w:eastAsiaTheme="minorEastAsia"/>
          <w:bCs/>
          <w:kern w:val="0"/>
        </w:rPr>
        <w:t>采取措施避免吸烟室、复印室、打印室、垃圾间、清洁间、公共卫生间、地下车库等产生的异味或污染物影响人员活动区域。住宅厨房及卫生间的排气道的设计符合相关国家标准，并采取防倒灌的措施。</w:t>
      </w:r>
    </w:p>
    <w:p>
      <w:pPr>
        <w:pStyle w:val="90"/>
        <w:rPr>
          <w:rFonts w:asciiTheme="minorEastAsia" w:hAnsiTheme="minorEastAsia" w:eastAsiaTheme="minorEastAsia"/>
          <w:bCs/>
          <w:kern w:val="0"/>
        </w:rPr>
      </w:pP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asciiTheme="minorEastAsia" w:hAnsiTheme="minorEastAsia" w:eastAsiaTheme="minorEastAsia"/>
          <w:b/>
          <w:sz w:val="24"/>
          <w:lang w:val="en-GB"/>
        </w:rPr>
      </w:pPr>
      <w:r>
        <w:rPr>
          <w:rFonts w:hint="eastAsia" w:asciiTheme="minorEastAsia" w:hAnsiTheme="minorEastAsia" w:eastAsiaTheme="minorEastAsia"/>
          <w:b/>
          <w:sz w:val="24"/>
          <w:lang w:val="en-GB"/>
        </w:rPr>
        <w:t>一般项内容</w:t>
      </w:r>
    </w:p>
    <w:p>
      <w:pPr>
        <w:pStyle w:val="87"/>
        <w:numPr>
          <w:ilvl w:val="0"/>
          <w:numId w:val="30"/>
        </w:numPr>
        <w:spacing w:before="156" w:beforeLines="50"/>
        <w:rPr>
          <w:rFonts w:asciiTheme="minorEastAsia" w:hAnsiTheme="minorEastAsia" w:eastAsiaTheme="minorEastAsia"/>
          <w:kern w:val="24"/>
          <w:u w:val="single"/>
        </w:rPr>
      </w:pPr>
      <w:r>
        <w:rPr>
          <w:rFonts w:hint="eastAsia" w:asciiTheme="minorEastAsia" w:hAnsiTheme="minorEastAsia" w:eastAsiaTheme="minorEastAsia"/>
          <w:kern w:val="24"/>
        </w:rPr>
        <w:t xml:space="preserve">室外空气计算参数 </w:t>
      </w:r>
      <w:r>
        <w:rPr>
          <w:rFonts w:asciiTheme="minorEastAsia" w:hAnsiTheme="minorEastAsia" w:eastAsiaTheme="minorEastAsia"/>
          <w:kern w:val="24"/>
        </w:rPr>
        <w:t>(</w:t>
      </w:r>
      <w:r>
        <w:rPr>
          <w:rFonts w:hint="eastAsia" w:asciiTheme="minorEastAsia" w:hAnsiTheme="minorEastAsia" w:eastAsiaTheme="minorEastAsia"/>
          <w:kern w:val="24"/>
        </w:rPr>
        <w:t>杭州市气象参数</w:t>
      </w:r>
      <w:r>
        <w:rPr>
          <w:rFonts w:asciiTheme="minorEastAsia" w:hAnsiTheme="minorEastAsia" w:eastAsiaTheme="minorEastAsia"/>
          <w:kern w:val="24"/>
        </w:rPr>
        <w:t>)</w:t>
      </w:r>
      <w:r>
        <w:rPr>
          <w:rFonts w:hint="eastAsia" w:asciiTheme="minorEastAsia" w:hAnsiTheme="minorEastAsia" w:eastAsiaTheme="minorEastAsia"/>
          <w:kern w:val="24"/>
        </w:rPr>
        <w:t>：</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6"/>
        <w:gridCol w:w="1262"/>
        <w:gridCol w:w="3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设计用室外气象参数</w:t>
            </w:r>
          </w:p>
        </w:tc>
        <w:tc>
          <w:tcPr>
            <w:tcW w:w="591" w:type="pct"/>
            <w:shd w:val="clear" w:color="auto" w:fill="auto"/>
            <w:vAlign w:val="bottom"/>
          </w:tcPr>
          <w:p>
            <w:pPr>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单位</w:t>
            </w:r>
          </w:p>
        </w:tc>
        <w:tc>
          <w:tcPr>
            <w:tcW w:w="1456" w:type="pct"/>
            <w:shd w:val="clear" w:color="auto" w:fill="auto"/>
            <w:vAlign w:val="bottom"/>
          </w:tcPr>
          <w:p>
            <w:pPr>
              <w:jc w:val="center"/>
              <w:rPr>
                <w:rFonts w:cs="宋体" w:asciiTheme="minorEastAsia" w:hAnsiTheme="minorEastAsia" w:eastAsiaTheme="minorEastAsia"/>
                <w:b/>
                <w:bCs/>
                <w:szCs w:val="21"/>
              </w:rPr>
            </w:pPr>
            <w:r>
              <w:rPr>
                <w:rFonts w:hint="eastAsia" w:cs="宋体" w:asciiTheme="minorEastAsia" w:hAnsiTheme="minorEastAsia" w:eastAsiaTheme="minorEastAsia"/>
                <w:b/>
                <w:bCs/>
                <w:szCs w:val="21"/>
              </w:rPr>
              <w:t>数值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rPr>
                <w:rFonts w:cs="宋体" w:asciiTheme="minorEastAsia" w:hAnsiTheme="minorEastAsia" w:eastAsiaTheme="minorEastAsia"/>
                <w:szCs w:val="21"/>
              </w:rPr>
            </w:pPr>
            <w:r>
              <w:rPr>
                <w:rFonts w:hint="eastAsia" w:cs="宋体" w:asciiTheme="minorEastAsia" w:hAnsiTheme="minorEastAsia" w:eastAsiaTheme="minorEastAsia"/>
                <w:szCs w:val="21"/>
              </w:rPr>
              <w:t>采暖室外计算温度</w:t>
            </w:r>
          </w:p>
        </w:tc>
        <w:tc>
          <w:tcPr>
            <w:tcW w:w="591"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rPr>
                <w:rFonts w:cs="宋体" w:asciiTheme="minorEastAsia" w:hAnsiTheme="minorEastAsia" w:eastAsiaTheme="minorEastAsia"/>
                <w:szCs w:val="21"/>
              </w:rPr>
            </w:pPr>
            <w:r>
              <w:rPr>
                <w:rFonts w:hint="eastAsia" w:cs="宋体" w:asciiTheme="minorEastAsia" w:hAnsiTheme="minorEastAsia" w:eastAsiaTheme="minorEastAsia"/>
                <w:szCs w:val="21"/>
              </w:rPr>
              <w:t>冬季通风室外计算温度</w:t>
            </w:r>
          </w:p>
        </w:tc>
        <w:tc>
          <w:tcPr>
            <w:tcW w:w="591"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rPr>
                <w:rFonts w:cs="宋体" w:asciiTheme="minorEastAsia" w:hAnsiTheme="minorEastAsia" w:eastAsiaTheme="minorEastAsia"/>
                <w:szCs w:val="21"/>
              </w:rPr>
            </w:pPr>
            <w:r>
              <w:rPr>
                <w:rFonts w:hint="eastAsia" w:cs="宋体" w:asciiTheme="minorEastAsia" w:hAnsiTheme="minorEastAsia" w:eastAsiaTheme="minorEastAsia"/>
                <w:szCs w:val="21"/>
              </w:rPr>
              <w:t>夏季通风室外计算温度</w:t>
            </w:r>
          </w:p>
        </w:tc>
        <w:tc>
          <w:tcPr>
            <w:tcW w:w="591"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32.3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rPr>
                <w:rFonts w:cs="宋体" w:asciiTheme="minorEastAsia" w:hAnsiTheme="minorEastAsia" w:eastAsiaTheme="minorEastAsia"/>
                <w:szCs w:val="21"/>
              </w:rPr>
            </w:pPr>
            <w:r>
              <w:rPr>
                <w:rFonts w:hint="eastAsia" w:cs="宋体" w:asciiTheme="minorEastAsia" w:hAnsiTheme="minorEastAsia" w:eastAsiaTheme="minorEastAsia"/>
                <w:szCs w:val="21"/>
              </w:rPr>
              <w:t>夏季通风室外计算相对湿度</w:t>
            </w:r>
          </w:p>
        </w:tc>
        <w:tc>
          <w:tcPr>
            <w:tcW w:w="591"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rPr>
                <w:rFonts w:cs="宋体" w:asciiTheme="minorEastAsia" w:hAnsiTheme="minorEastAsia" w:eastAsiaTheme="minorEastAsia"/>
                <w:szCs w:val="21"/>
              </w:rPr>
            </w:pPr>
            <w:r>
              <w:rPr>
                <w:rFonts w:hint="eastAsia" w:cs="宋体" w:asciiTheme="minorEastAsia" w:hAnsiTheme="minorEastAsia" w:eastAsiaTheme="minorEastAsia"/>
                <w:szCs w:val="21"/>
              </w:rPr>
              <w:t>冬季空气调节室外计算温度</w:t>
            </w:r>
          </w:p>
        </w:tc>
        <w:tc>
          <w:tcPr>
            <w:tcW w:w="591"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rPr>
                <w:rFonts w:cs="宋体" w:asciiTheme="minorEastAsia" w:hAnsiTheme="minorEastAsia" w:eastAsiaTheme="minorEastAsia"/>
                <w:szCs w:val="21"/>
              </w:rPr>
            </w:pPr>
            <w:r>
              <w:rPr>
                <w:rFonts w:hint="eastAsia" w:cs="宋体" w:asciiTheme="minorEastAsia" w:hAnsiTheme="minorEastAsia" w:eastAsiaTheme="minorEastAsia"/>
                <w:szCs w:val="21"/>
              </w:rPr>
              <w:t>冬季空气调节室外计算相对湿度</w:t>
            </w:r>
          </w:p>
        </w:tc>
        <w:tc>
          <w:tcPr>
            <w:tcW w:w="591"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rPr>
                <w:rFonts w:cs="宋体" w:asciiTheme="minorEastAsia" w:hAnsiTheme="minorEastAsia" w:eastAsiaTheme="minorEastAsia"/>
                <w:szCs w:val="21"/>
              </w:rPr>
            </w:pPr>
            <w:r>
              <w:rPr>
                <w:rFonts w:hint="eastAsia" w:cs="宋体" w:asciiTheme="minorEastAsia" w:hAnsiTheme="minorEastAsia" w:eastAsiaTheme="minorEastAsia"/>
                <w:szCs w:val="21"/>
              </w:rPr>
              <w:t>夏季空气调节室外计算干球温度</w:t>
            </w:r>
          </w:p>
        </w:tc>
        <w:tc>
          <w:tcPr>
            <w:tcW w:w="591"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35.6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rPr>
                <w:rFonts w:cs="宋体" w:asciiTheme="minorEastAsia" w:hAnsiTheme="minorEastAsia" w:eastAsiaTheme="minorEastAsia"/>
                <w:szCs w:val="21"/>
              </w:rPr>
            </w:pPr>
            <w:r>
              <w:rPr>
                <w:rFonts w:hint="eastAsia" w:cs="宋体" w:asciiTheme="minorEastAsia" w:hAnsiTheme="minorEastAsia" w:eastAsiaTheme="minorEastAsia"/>
                <w:szCs w:val="21"/>
              </w:rPr>
              <w:t>夏季空气调节室外计算湿球温度</w:t>
            </w:r>
          </w:p>
        </w:tc>
        <w:tc>
          <w:tcPr>
            <w:tcW w:w="591"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c>
          <w:tcPr>
            <w:tcW w:w="1456"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rPr>
                <w:rFonts w:cs="宋体" w:asciiTheme="minorEastAsia" w:hAnsiTheme="minorEastAsia" w:eastAsiaTheme="minorEastAsia"/>
                <w:szCs w:val="21"/>
              </w:rPr>
            </w:pPr>
            <w:r>
              <w:rPr>
                <w:rFonts w:hint="eastAsia" w:cs="宋体" w:asciiTheme="minorEastAsia" w:hAnsiTheme="minorEastAsia" w:eastAsiaTheme="minorEastAsia"/>
                <w:szCs w:val="21"/>
              </w:rPr>
              <w:t>冬季室外大气压力</w:t>
            </w:r>
          </w:p>
        </w:tc>
        <w:tc>
          <w:tcPr>
            <w:tcW w:w="591"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hPa</w:t>
            </w:r>
          </w:p>
        </w:tc>
        <w:tc>
          <w:tcPr>
            <w:tcW w:w="1456"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1021.1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954" w:type="pct"/>
            <w:shd w:val="clear" w:color="auto" w:fill="auto"/>
            <w:vAlign w:val="bottom"/>
          </w:tcPr>
          <w:p>
            <w:pPr>
              <w:rPr>
                <w:rFonts w:cs="宋体" w:asciiTheme="minorEastAsia" w:hAnsiTheme="minorEastAsia" w:eastAsiaTheme="minorEastAsia"/>
                <w:szCs w:val="21"/>
              </w:rPr>
            </w:pPr>
            <w:r>
              <w:rPr>
                <w:rFonts w:hint="eastAsia" w:cs="宋体" w:asciiTheme="minorEastAsia" w:hAnsiTheme="minorEastAsia" w:eastAsiaTheme="minorEastAsia"/>
                <w:szCs w:val="21"/>
              </w:rPr>
              <w:t>夏季室外大气压力</w:t>
            </w:r>
          </w:p>
        </w:tc>
        <w:tc>
          <w:tcPr>
            <w:tcW w:w="591"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hPa</w:t>
            </w:r>
          </w:p>
        </w:tc>
        <w:tc>
          <w:tcPr>
            <w:tcW w:w="1456" w:type="pct"/>
            <w:shd w:val="clear" w:color="auto" w:fill="auto"/>
            <w:vAlign w:val="bottom"/>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1000.9</w:t>
            </w:r>
          </w:p>
        </w:tc>
      </w:tr>
    </w:tbl>
    <w:p>
      <w:pPr>
        <w:pStyle w:val="87"/>
        <w:spacing w:before="156" w:beforeLines="50"/>
        <w:ind w:left="424" w:hanging="424" w:hangingChars="202"/>
        <w:rPr>
          <w:rFonts w:asciiTheme="minorEastAsia" w:hAnsiTheme="minorEastAsia" w:eastAsiaTheme="minorEastAsia"/>
          <w:kern w:val="24"/>
        </w:rPr>
      </w:pPr>
      <w:r>
        <w:rPr>
          <w:rFonts w:hint="eastAsia" w:asciiTheme="minorEastAsia" w:hAnsiTheme="minorEastAsia" w:eastAsiaTheme="minorEastAsia"/>
          <w:kern w:val="24"/>
        </w:rPr>
        <w:t>本项目空调房间的设计参数[主要依据</w:t>
      </w:r>
      <w:r>
        <w:rPr>
          <w:rFonts w:asciiTheme="minorEastAsia" w:hAnsiTheme="minorEastAsia" w:eastAsiaTheme="minorEastAsia"/>
          <w:kern w:val="24"/>
        </w:rPr>
        <w:t>DB33/1036-</w:t>
      </w:r>
      <w:r>
        <w:rPr>
          <w:rFonts w:hint="eastAsia" w:cs="宋体" w:asciiTheme="minorEastAsia" w:hAnsiTheme="minorEastAsia" w:eastAsiaTheme="minorEastAsia"/>
        </w:rPr>
        <w:t>(     )</w:t>
      </w:r>
      <w:r>
        <w:rPr>
          <w:rFonts w:hint="eastAsia" w:asciiTheme="minorEastAsia" w:hAnsiTheme="minorEastAsia" w:eastAsiaTheme="minorEastAsia"/>
          <w:kern w:val="24"/>
        </w:rPr>
        <w:t>和</w:t>
      </w:r>
      <w:r>
        <w:rPr>
          <w:rFonts w:asciiTheme="minorEastAsia" w:hAnsiTheme="minorEastAsia" w:eastAsiaTheme="minorEastAsia"/>
          <w:kern w:val="24"/>
        </w:rPr>
        <w:t>GB50736-</w:t>
      </w:r>
      <w:r>
        <w:rPr>
          <w:rFonts w:hint="eastAsia" w:cs="宋体" w:asciiTheme="minorEastAsia" w:hAnsiTheme="minorEastAsia" w:eastAsiaTheme="minorEastAsia"/>
        </w:rPr>
        <w:t>(     )</w:t>
      </w:r>
      <w:r>
        <w:rPr>
          <w:rFonts w:hint="eastAsia" w:asciiTheme="minorEastAsia" w:hAnsiTheme="minorEastAsia" w:eastAsiaTheme="minorEastAsia"/>
          <w:kern w:val="24"/>
        </w:rPr>
        <w:t>执行]：</w:t>
      </w:r>
    </w:p>
    <w:tbl>
      <w:tblPr>
        <w:tblStyle w:val="44"/>
        <w:tblW w:w="5000" w:type="pct"/>
        <w:jc w:val="center"/>
        <w:tblLayout w:type="fixed"/>
        <w:tblCellMar>
          <w:top w:w="0" w:type="dxa"/>
          <w:left w:w="108" w:type="dxa"/>
          <w:bottom w:w="0" w:type="dxa"/>
          <w:right w:w="108" w:type="dxa"/>
        </w:tblCellMar>
      </w:tblPr>
      <w:tblGrid>
        <w:gridCol w:w="755"/>
        <w:gridCol w:w="1224"/>
        <w:gridCol w:w="1030"/>
        <w:gridCol w:w="1060"/>
        <w:gridCol w:w="910"/>
        <w:gridCol w:w="915"/>
        <w:gridCol w:w="1219"/>
        <w:gridCol w:w="1373"/>
        <w:gridCol w:w="1065"/>
        <w:gridCol w:w="1123"/>
      </w:tblGrid>
      <w:tr>
        <w:tblPrEx>
          <w:tblCellMar>
            <w:top w:w="0" w:type="dxa"/>
            <w:left w:w="108" w:type="dxa"/>
            <w:bottom w:w="0" w:type="dxa"/>
            <w:right w:w="108" w:type="dxa"/>
          </w:tblCellMar>
        </w:tblPrEx>
        <w:trPr>
          <w:trHeight w:val="648" w:hRule="exact"/>
          <w:tblHeader/>
          <w:jc w:val="center"/>
        </w:trPr>
        <w:tc>
          <w:tcPr>
            <w:tcW w:w="353" w:type="pct"/>
            <w:vMerge w:val="restart"/>
            <w:tcBorders>
              <w:top w:val="single" w:color="auto" w:sz="8" w:space="0"/>
              <w:left w:val="single" w:color="auto" w:sz="8" w:space="0"/>
              <w:bottom w:val="single" w:color="000000"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序号</w:t>
            </w:r>
          </w:p>
        </w:tc>
        <w:tc>
          <w:tcPr>
            <w:tcW w:w="573" w:type="pct"/>
            <w:vMerge w:val="restart"/>
            <w:tcBorders>
              <w:top w:val="single" w:color="auto" w:sz="8" w:space="0"/>
              <w:left w:val="single" w:color="auto" w:sz="8" w:space="0"/>
              <w:bottom w:val="single" w:color="000000"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房间名称</w:t>
            </w:r>
          </w:p>
        </w:tc>
        <w:tc>
          <w:tcPr>
            <w:tcW w:w="978" w:type="pct"/>
            <w:gridSpan w:val="2"/>
            <w:tcBorders>
              <w:top w:val="single" w:color="auto" w:sz="8" w:space="0"/>
              <w:left w:val="nil"/>
              <w:bottom w:val="single" w:color="auto" w:sz="8" w:space="0"/>
              <w:right w:val="single" w:color="000000"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温度（℃）</w:t>
            </w:r>
          </w:p>
        </w:tc>
        <w:tc>
          <w:tcPr>
            <w:tcW w:w="854" w:type="pct"/>
            <w:gridSpan w:val="2"/>
            <w:tcBorders>
              <w:top w:val="single" w:color="auto" w:sz="8" w:space="0"/>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相对湿度（％）</w:t>
            </w: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人员密度</w:t>
            </w:r>
          </w:p>
        </w:tc>
        <w:tc>
          <w:tcPr>
            <w:tcW w:w="642" w:type="pct"/>
            <w:tcBorders>
              <w:top w:val="single" w:color="auto" w:sz="8"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新风量</w:t>
            </w:r>
          </w:p>
        </w:tc>
        <w:tc>
          <w:tcPr>
            <w:tcW w:w="499" w:type="pct"/>
            <w:tcBorders>
              <w:top w:val="single" w:color="auto" w:sz="8" w:space="0"/>
              <w:left w:val="single" w:color="auto" w:sz="4" w:space="0"/>
              <w:bottom w:val="single" w:color="auto" w:sz="4" w:space="0"/>
              <w:right w:val="single" w:color="auto" w:sz="8" w:space="0"/>
            </w:tcBorders>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照明功率密度</w:t>
            </w:r>
          </w:p>
        </w:tc>
        <w:tc>
          <w:tcPr>
            <w:tcW w:w="526" w:type="pct"/>
            <w:tcBorders>
              <w:top w:val="single" w:color="auto" w:sz="8" w:space="0"/>
              <w:left w:val="nil"/>
              <w:bottom w:val="single" w:color="auto" w:sz="4" w:space="0"/>
              <w:right w:val="single" w:color="auto" w:sz="8" w:space="0"/>
            </w:tcBorders>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噪声声级</w:t>
            </w:r>
          </w:p>
        </w:tc>
      </w:tr>
      <w:tr>
        <w:tblPrEx>
          <w:tblCellMar>
            <w:top w:w="0" w:type="dxa"/>
            <w:left w:w="108" w:type="dxa"/>
            <w:bottom w:w="0" w:type="dxa"/>
            <w:right w:w="108" w:type="dxa"/>
          </w:tblCellMar>
        </w:tblPrEx>
        <w:trPr>
          <w:trHeight w:val="700" w:hRule="exact"/>
          <w:tblHeader/>
          <w:jc w:val="center"/>
        </w:trPr>
        <w:tc>
          <w:tcPr>
            <w:tcW w:w="353" w:type="pct"/>
            <w:vMerge w:val="continue"/>
            <w:tcBorders>
              <w:top w:val="single" w:color="auto" w:sz="8" w:space="0"/>
              <w:left w:val="single" w:color="auto" w:sz="8" w:space="0"/>
              <w:bottom w:val="single" w:color="000000" w:sz="8" w:space="0"/>
              <w:right w:val="single" w:color="auto" w:sz="8" w:space="0"/>
            </w:tcBorders>
            <w:vAlign w:val="center"/>
          </w:tcPr>
          <w:p>
            <w:pPr>
              <w:jc w:val="center"/>
              <w:rPr>
                <w:rFonts w:cs="宋体" w:asciiTheme="minorEastAsia" w:hAnsiTheme="minorEastAsia" w:eastAsiaTheme="minorEastAsia"/>
                <w:szCs w:val="21"/>
              </w:rPr>
            </w:pPr>
          </w:p>
        </w:tc>
        <w:tc>
          <w:tcPr>
            <w:tcW w:w="573" w:type="pct"/>
            <w:vMerge w:val="continue"/>
            <w:tcBorders>
              <w:top w:val="single" w:color="auto" w:sz="8" w:space="0"/>
              <w:left w:val="single" w:color="auto" w:sz="8" w:space="0"/>
              <w:bottom w:val="single" w:color="000000" w:sz="8" w:space="0"/>
              <w:right w:val="single" w:color="auto" w:sz="8" w:space="0"/>
            </w:tcBorders>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夏季</w:t>
            </w: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冬季</w:t>
            </w:r>
          </w:p>
        </w:tc>
        <w:tc>
          <w:tcPr>
            <w:tcW w:w="42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夏季</w:t>
            </w:r>
          </w:p>
        </w:tc>
        <w:tc>
          <w:tcPr>
            <w:tcW w:w="427"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冬季</w:t>
            </w:r>
          </w:p>
        </w:tc>
        <w:tc>
          <w:tcPr>
            <w:tcW w:w="571" w:type="pct"/>
            <w:tcBorders>
              <w:top w:val="single" w:color="auto" w:sz="4" w:space="0"/>
              <w:left w:val="single" w:color="auto" w:sz="4" w:space="0"/>
              <w:bottom w:val="single" w:color="auto" w:sz="4" w:space="0"/>
              <w:right w:val="single" w:color="auto" w:sz="4" w:space="0"/>
            </w:tcBorders>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(人/ m²)</w:t>
            </w:r>
          </w:p>
        </w:tc>
        <w:tc>
          <w:tcPr>
            <w:tcW w:w="642" w:type="pct"/>
            <w:tcBorders>
              <w:top w:val="single" w:color="auto" w:sz="4" w:space="0"/>
              <w:left w:val="single" w:color="auto" w:sz="4" w:space="0"/>
              <w:bottom w:val="single" w:color="000000" w:sz="8" w:space="0"/>
              <w:right w:val="single" w:color="auto" w:sz="4" w:space="0"/>
            </w:tcBorders>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(m³/h/人)</w:t>
            </w:r>
          </w:p>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次/h</w:t>
            </w:r>
          </w:p>
        </w:tc>
        <w:tc>
          <w:tcPr>
            <w:tcW w:w="499" w:type="pct"/>
            <w:tcBorders>
              <w:top w:val="single" w:color="auto" w:sz="4" w:space="0"/>
              <w:left w:val="single" w:color="auto" w:sz="4" w:space="0"/>
              <w:bottom w:val="single" w:color="000000" w:sz="8" w:space="0"/>
              <w:right w:val="single" w:color="auto" w:sz="8" w:space="0"/>
            </w:tcBorders>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r>
              <w:rPr>
                <w:rFonts w:cs="宋体" w:asciiTheme="minorEastAsia" w:hAnsiTheme="minorEastAsia" w:eastAsiaTheme="minorEastAsia"/>
                <w:szCs w:val="21"/>
              </w:rPr>
              <w:t>W/m</w:t>
            </w:r>
            <w:r>
              <w:rPr>
                <w:rFonts w:hint="eastAsia" w:cs="宋体" w:asciiTheme="minorEastAsia" w:hAnsiTheme="minorEastAsia" w:eastAsiaTheme="minorEastAsia"/>
                <w:szCs w:val="21"/>
                <w:vertAlign w:val="superscript"/>
              </w:rPr>
              <w:t>2</w:t>
            </w:r>
            <w:r>
              <w:rPr>
                <w:rFonts w:hint="eastAsia" w:cs="宋体" w:asciiTheme="minorEastAsia" w:hAnsiTheme="minorEastAsia" w:eastAsiaTheme="minorEastAsia"/>
                <w:szCs w:val="21"/>
              </w:rPr>
              <w:t>)</w:t>
            </w:r>
          </w:p>
        </w:tc>
        <w:tc>
          <w:tcPr>
            <w:tcW w:w="526" w:type="pct"/>
            <w:tcBorders>
              <w:top w:val="single" w:color="auto" w:sz="4" w:space="0"/>
              <w:left w:val="nil"/>
              <w:bottom w:val="single" w:color="000000" w:sz="8" w:space="0"/>
              <w:right w:val="single" w:color="auto" w:sz="8" w:space="0"/>
            </w:tcBorders>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dB（A）</w:t>
            </w:r>
          </w:p>
        </w:tc>
      </w:tr>
      <w:tr>
        <w:tblPrEx>
          <w:tblCellMar>
            <w:top w:w="0" w:type="dxa"/>
            <w:left w:w="108" w:type="dxa"/>
            <w:bottom w:w="0" w:type="dxa"/>
            <w:right w:w="108" w:type="dxa"/>
          </w:tblCellMar>
        </w:tblPrEx>
        <w:trPr>
          <w:trHeight w:val="340" w:hRule="exact"/>
          <w:jc w:val="center"/>
        </w:trPr>
        <w:tc>
          <w:tcPr>
            <w:tcW w:w="353" w:type="pct"/>
            <w:tcBorders>
              <w:top w:val="nil"/>
              <w:left w:val="single" w:color="auto" w:sz="8"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1</w:t>
            </w:r>
          </w:p>
        </w:tc>
        <w:tc>
          <w:tcPr>
            <w:tcW w:w="573"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7"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p>
        </w:tc>
        <w:tc>
          <w:tcPr>
            <w:tcW w:w="642" w:type="pct"/>
            <w:tcBorders>
              <w:top w:val="nil"/>
              <w:left w:val="single" w:color="auto" w:sz="4" w:space="0"/>
              <w:bottom w:val="single" w:color="auto" w:sz="8" w:space="0"/>
              <w:right w:val="single" w:color="auto" w:sz="4" w:space="0"/>
            </w:tcBorders>
          </w:tcPr>
          <w:p>
            <w:pPr>
              <w:jc w:val="center"/>
              <w:rPr>
                <w:rFonts w:cs="宋体" w:asciiTheme="minorEastAsia" w:hAnsiTheme="minorEastAsia" w:eastAsiaTheme="minorEastAsia"/>
                <w:szCs w:val="21"/>
              </w:rPr>
            </w:pPr>
          </w:p>
        </w:tc>
        <w:tc>
          <w:tcPr>
            <w:tcW w:w="499" w:type="pct"/>
            <w:tcBorders>
              <w:top w:val="nil"/>
              <w:left w:val="single" w:color="auto" w:sz="4"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52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340" w:hRule="exact"/>
          <w:jc w:val="center"/>
        </w:trPr>
        <w:tc>
          <w:tcPr>
            <w:tcW w:w="353" w:type="pct"/>
            <w:tcBorders>
              <w:top w:val="nil"/>
              <w:left w:val="single" w:color="auto" w:sz="8"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2</w:t>
            </w:r>
          </w:p>
        </w:tc>
        <w:tc>
          <w:tcPr>
            <w:tcW w:w="573"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7"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p>
        </w:tc>
        <w:tc>
          <w:tcPr>
            <w:tcW w:w="642" w:type="pct"/>
            <w:tcBorders>
              <w:top w:val="nil"/>
              <w:left w:val="single" w:color="auto" w:sz="4" w:space="0"/>
              <w:bottom w:val="single" w:color="auto" w:sz="8" w:space="0"/>
              <w:right w:val="single" w:color="auto" w:sz="4" w:space="0"/>
            </w:tcBorders>
          </w:tcPr>
          <w:p>
            <w:pPr>
              <w:jc w:val="center"/>
              <w:rPr>
                <w:rFonts w:cs="宋体" w:asciiTheme="minorEastAsia" w:hAnsiTheme="minorEastAsia" w:eastAsiaTheme="minorEastAsia"/>
                <w:szCs w:val="21"/>
              </w:rPr>
            </w:pPr>
          </w:p>
        </w:tc>
        <w:tc>
          <w:tcPr>
            <w:tcW w:w="499" w:type="pct"/>
            <w:tcBorders>
              <w:top w:val="nil"/>
              <w:left w:val="single" w:color="auto" w:sz="4"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52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340" w:hRule="exact"/>
          <w:jc w:val="center"/>
        </w:trPr>
        <w:tc>
          <w:tcPr>
            <w:tcW w:w="353" w:type="pct"/>
            <w:tcBorders>
              <w:top w:val="nil"/>
              <w:left w:val="single" w:color="auto" w:sz="8"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3</w:t>
            </w:r>
          </w:p>
        </w:tc>
        <w:tc>
          <w:tcPr>
            <w:tcW w:w="573"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7"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p>
        </w:tc>
        <w:tc>
          <w:tcPr>
            <w:tcW w:w="642" w:type="pct"/>
            <w:tcBorders>
              <w:top w:val="nil"/>
              <w:left w:val="single" w:color="auto" w:sz="4" w:space="0"/>
              <w:bottom w:val="single" w:color="auto" w:sz="8" w:space="0"/>
              <w:right w:val="single" w:color="auto" w:sz="4" w:space="0"/>
            </w:tcBorders>
          </w:tcPr>
          <w:p>
            <w:pPr>
              <w:jc w:val="center"/>
              <w:rPr>
                <w:rFonts w:cs="宋体" w:asciiTheme="minorEastAsia" w:hAnsiTheme="minorEastAsia" w:eastAsiaTheme="minorEastAsia"/>
                <w:szCs w:val="21"/>
              </w:rPr>
            </w:pPr>
          </w:p>
        </w:tc>
        <w:tc>
          <w:tcPr>
            <w:tcW w:w="499" w:type="pct"/>
            <w:tcBorders>
              <w:top w:val="nil"/>
              <w:left w:val="single" w:color="auto" w:sz="4"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52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340" w:hRule="exact"/>
          <w:jc w:val="center"/>
        </w:trPr>
        <w:tc>
          <w:tcPr>
            <w:tcW w:w="353" w:type="pct"/>
            <w:tcBorders>
              <w:top w:val="nil"/>
              <w:left w:val="single" w:color="auto" w:sz="8"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4</w:t>
            </w:r>
          </w:p>
        </w:tc>
        <w:tc>
          <w:tcPr>
            <w:tcW w:w="573"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6" w:type="pct"/>
            <w:tcBorders>
              <w:top w:val="nil"/>
              <w:left w:val="nil"/>
              <w:bottom w:val="single" w:color="auto" w:sz="8" w:space="0"/>
              <w:right w:val="single" w:color="auto" w:sz="8" w:space="0"/>
            </w:tcBorders>
            <w:shd w:val="clear" w:color="auto" w:fill="auto"/>
            <w:noWrap/>
          </w:tcPr>
          <w:p>
            <w:pPr>
              <w:jc w:val="center"/>
              <w:rPr>
                <w:rFonts w:cs="宋体" w:asciiTheme="minorEastAsia" w:hAnsiTheme="minorEastAsia" w:eastAsiaTheme="minorEastAsia"/>
                <w:szCs w:val="21"/>
              </w:rPr>
            </w:pPr>
          </w:p>
        </w:tc>
        <w:tc>
          <w:tcPr>
            <w:tcW w:w="427"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p>
        </w:tc>
        <w:tc>
          <w:tcPr>
            <w:tcW w:w="642" w:type="pct"/>
            <w:tcBorders>
              <w:top w:val="nil"/>
              <w:left w:val="single" w:color="auto" w:sz="4" w:space="0"/>
              <w:bottom w:val="single" w:color="auto" w:sz="8" w:space="0"/>
              <w:right w:val="single" w:color="auto" w:sz="4" w:space="0"/>
            </w:tcBorders>
          </w:tcPr>
          <w:p>
            <w:pPr>
              <w:jc w:val="center"/>
              <w:rPr>
                <w:rFonts w:cs="宋体" w:asciiTheme="minorEastAsia" w:hAnsiTheme="minorEastAsia" w:eastAsiaTheme="minorEastAsia"/>
                <w:szCs w:val="21"/>
              </w:rPr>
            </w:pPr>
          </w:p>
        </w:tc>
        <w:tc>
          <w:tcPr>
            <w:tcW w:w="499" w:type="pct"/>
            <w:tcBorders>
              <w:top w:val="nil"/>
              <w:left w:val="single" w:color="auto" w:sz="4"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52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340" w:hRule="exact"/>
          <w:jc w:val="center"/>
        </w:trPr>
        <w:tc>
          <w:tcPr>
            <w:tcW w:w="353" w:type="pct"/>
            <w:tcBorders>
              <w:top w:val="nil"/>
              <w:left w:val="single" w:color="auto" w:sz="8"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5</w:t>
            </w:r>
          </w:p>
        </w:tc>
        <w:tc>
          <w:tcPr>
            <w:tcW w:w="573"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6" w:type="pct"/>
            <w:tcBorders>
              <w:top w:val="nil"/>
              <w:left w:val="nil"/>
              <w:bottom w:val="single" w:color="auto" w:sz="8" w:space="0"/>
              <w:right w:val="single" w:color="auto" w:sz="8" w:space="0"/>
            </w:tcBorders>
            <w:shd w:val="clear" w:color="auto" w:fill="auto"/>
            <w:noWrap/>
          </w:tcPr>
          <w:p>
            <w:pPr>
              <w:jc w:val="center"/>
              <w:rPr>
                <w:rFonts w:cs="宋体" w:asciiTheme="minorEastAsia" w:hAnsiTheme="minorEastAsia" w:eastAsiaTheme="minorEastAsia"/>
                <w:szCs w:val="21"/>
              </w:rPr>
            </w:pPr>
          </w:p>
        </w:tc>
        <w:tc>
          <w:tcPr>
            <w:tcW w:w="427"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p>
        </w:tc>
        <w:tc>
          <w:tcPr>
            <w:tcW w:w="642" w:type="pct"/>
            <w:tcBorders>
              <w:top w:val="nil"/>
              <w:left w:val="single" w:color="auto" w:sz="4" w:space="0"/>
              <w:bottom w:val="single" w:color="auto" w:sz="8" w:space="0"/>
              <w:right w:val="single" w:color="auto" w:sz="4" w:space="0"/>
            </w:tcBorders>
          </w:tcPr>
          <w:p>
            <w:pPr>
              <w:jc w:val="center"/>
              <w:rPr>
                <w:rFonts w:cs="宋体" w:asciiTheme="minorEastAsia" w:hAnsiTheme="minorEastAsia" w:eastAsiaTheme="minorEastAsia"/>
                <w:szCs w:val="21"/>
              </w:rPr>
            </w:pPr>
          </w:p>
        </w:tc>
        <w:tc>
          <w:tcPr>
            <w:tcW w:w="499" w:type="pct"/>
            <w:tcBorders>
              <w:top w:val="nil"/>
              <w:left w:val="single" w:color="auto" w:sz="4"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52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340" w:hRule="exact"/>
          <w:jc w:val="center"/>
        </w:trPr>
        <w:tc>
          <w:tcPr>
            <w:tcW w:w="353" w:type="pct"/>
            <w:tcBorders>
              <w:top w:val="nil"/>
              <w:left w:val="single" w:color="auto" w:sz="8"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6</w:t>
            </w:r>
          </w:p>
        </w:tc>
        <w:tc>
          <w:tcPr>
            <w:tcW w:w="573"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6" w:type="pct"/>
            <w:tcBorders>
              <w:top w:val="nil"/>
              <w:left w:val="nil"/>
              <w:bottom w:val="single" w:color="auto" w:sz="8" w:space="0"/>
              <w:right w:val="single" w:color="auto" w:sz="8" w:space="0"/>
            </w:tcBorders>
            <w:shd w:val="clear" w:color="auto" w:fill="auto"/>
            <w:noWrap/>
          </w:tcPr>
          <w:p>
            <w:pPr>
              <w:jc w:val="center"/>
              <w:rPr>
                <w:rFonts w:cs="宋体" w:asciiTheme="minorEastAsia" w:hAnsiTheme="minorEastAsia" w:eastAsiaTheme="minorEastAsia"/>
                <w:szCs w:val="21"/>
              </w:rPr>
            </w:pPr>
          </w:p>
        </w:tc>
        <w:tc>
          <w:tcPr>
            <w:tcW w:w="427"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p>
        </w:tc>
        <w:tc>
          <w:tcPr>
            <w:tcW w:w="642" w:type="pct"/>
            <w:tcBorders>
              <w:top w:val="nil"/>
              <w:left w:val="single" w:color="auto" w:sz="4" w:space="0"/>
              <w:bottom w:val="single" w:color="auto" w:sz="8" w:space="0"/>
              <w:right w:val="single" w:color="auto" w:sz="4" w:space="0"/>
            </w:tcBorders>
          </w:tcPr>
          <w:p>
            <w:pPr>
              <w:jc w:val="center"/>
              <w:rPr>
                <w:rFonts w:cs="宋体" w:asciiTheme="minorEastAsia" w:hAnsiTheme="minorEastAsia" w:eastAsiaTheme="minorEastAsia"/>
                <w:szCs w:val="21"/>
              </w:rPr>
            </w:pPr>
          </w:p>
        </w:tc>
        <w:tc>
          <w:tcPr>
            <w:tcW w:w="499" w:type="pct"/>
            <w:tcBorders>
              <w:top w:val="nil"/>
              <w:left w:val="single" w:color="auto" w:sz="4"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52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340" w:hRule="exact"/>
          <w:jc w:val="center"/>
        </w:trPr>
        <w:tc>
          <w:tcPr>
            <w:tcW w:w="353" w:type="pct"/>
            <w:tcBorders>
              <w:top w:val="nil"/>
              <w:left w:val="single" w:color="auto" w:sz="8"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7</w:t>
            </w:r>
          </w:p>
        </w:tc>
        <w:tc>
          <w:tcPr>
            <w:tcW w:w="573"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82"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9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426" w:type="pct"/>
            <w:tcBorders>
              <w:top w:val="nil"/>
              <w:left w:val="nil"/>
              <w:bottom w:val="single" w:color="auto" w:sz="8" w:space="0"/>
              <w:right w:val="single" w:color="auto" w:sz="8" w:space="0"/>
            </w:tcBorders>
            <w:shd w:val="clear" w:color="auto" w:fill="auto"/>
            <w:noWrap/>
          </w:tcPr>
          <w:p>
            <w:pPr>
              <w:jc w:val="center"/>
              <w:rPr>
                <w:rFonts w:cs="宋体" w:asciiTheme="minorEastAsia" w:hAnsiTheme="minorEastAsia" w:eastAsiaTheme="minorEastAsia"/>
                <w:szCs w:val="21"/>
              </w:rPr>
            </w:pPr>
          </w:p>
        </w:tc>
        <w:tc>
          <w:tcPr>
            <w:tcW w:w="427" w:type="pct"/>
            <w:tcBorders>
              <w:top w:val="nil"/>
              <w:left w:val="nil"/>
              <w:bottom w:val="single" w:color="auto" w:sz="8"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571" w:type="pct"/>
            <w:tcBorders>
              <w:top w:val="single" w:color="auto" w:sz="4" w:space="0"/>
              <w:left w:val="single" w:color="auto" w:sz="4" w:space="0"/>
              <w:bottom w:val="single" w:color="auto" w:sz="4" w:space="0"/>
              <w:right w:val="single" w:color="auto" w:sz="4" w:space="0"/>
            </w:tcBorders>
          </w:tcPr>
          <w:p>
            <w:pPr>
              <w:jc w:val="center"/>
              <w:rPr>
                <w:rFonts w:cs="宋体" w:asciiTheme="minorEastAsia" w:hAnsiTheme="minorEastAsia" w:eastAsiaTheme="minorEastAsia"/>
                <w:szCs w:val="21"/>
              </w:rPr>
            </w:pPr>
          </w:p>
        </w:tc>
        <w:tc>
          <w:tcPr>
            <w:tcW w:w="642" w:type="pct"/>
            <w:tcBorders>
              <w:top w:val="nil"/>
              <w:left w:val="single" w:color="auto" w:sz="4" w:space="0"/>
              <w:bottom w:val="single" w:color="auto" w:sz="8" w:space="0"/>
              <w:right w:val="single" w:color="auto" w:sz="4" w:space="0"/>
            </w:tcBorders>
          </w:tcPr>
          <w:p>
            <w:pPr>
              <w:jc w:val="center"/>
              <w:rPr>
                <w:rFonts w:cs="宋体" w:asciiTheme="minorEastAsia" w:hAnsiTheme="minorEastAsia" w:eastAsiaTheme="minorEastAsia"/>
                <w:szCs w:val="21"/>
              </w:rPr>
            </w:pPr>
          </w:p>
        </w:tc>
        <w:tc>
          <w:tcPr>
            <w:tcW w:w="499" w:type="pct"/>
            <w:tcBorders>
              <w:top w:val="nil"/>
              <w:left w:val="single" w:color="auto" w:sz="4" w:space="0"/>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c>
          <w:tcPr>
            <w:tcW w:w="526" w:type="pct"/>
            <w:tcBorders>
              <w:top w:val="nil"/>
              <w:left w:val="nil"/>
              <w:bottom w:val="single" w:color="auto" w:sz="8" w:space="0"/>
              <w:right w:val="single" w:color="auto" w:sz="8" w:space="0"/>
            </w:tcBorders>
            <w:shd w:val="clear" w:color="auto" w:fill="auto"/>
            <w:noWrap/>
            <w:vAlign w:val="center"/>
          </w:tcPr>
          <w:p>
            <w:pPr>
              <w:jc w:val="center"/>
              <w:rPr>
                <w:rFonts w:cs="宋体" w:asciiTheme="minorEastAsia" w:hAnsiTheme="minorEastAsia" w:eastAsiaTheme="minorEastAsia"/>
                <w:szCs w:val="21"/>
              </w:rPr>
            </w:pPr>
          </w:p>
        </w:tc>
      </w:tr>
    </w:tbl>
    <w:p>
      <w:pPr>
        <w:pStyle w:val="87"/>
        <w:spacing w:before="156" w:beforeLines="50"/>
        <w:ind w:left="424" w:hanging="424" w:hangingChars="202"/>
        <w:rPr>
          <w:rFonts w:asciiTheme="minorEastAsia" w:hAnsiTheme="minorEastAsia" w:eastAsiaTheme="minorEastAsia"/>
          <w:kern w:val="24"/>
        </w:rPr>
      </w:pPr>
      <w:r>
        <w:rPr>
          <w:rFonts w:hint="eastAsia" w:asciiTheme="minorEastAsia" w:hAnsiTheme="minorEastAsia" w:eastAsiaTheme="minorEastAsia"/>
          <w:kern w:val="24"/>
        </w:rPr>
        <w:t>室内通风换气设计参数：</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3"/>
        <w:gridCol w:w="1648"/>
        <w:gridCol w:w="1499"/>
        <w:gridCol w:w="1595"/>
        <w:gridCol w:w="1885"/>
        <w:gridCol w:w="1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79" w:type="pct"/>
            <w:vMerge w:val="restart"/>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名称</w:t>
            </w:r>
          </w:p>
        </w:tc>
        <w:tc>
          <w:tcPr>
            <w:tcW w:w="1474" w:type="pct"/>
            <w:gridSpan w:val="2"/>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排风</w:t>
            </w:r>
          </w:p>
        </w:tc>
        <w:tc>
          <w:tcPr>
            <w:tcW w:w="1630" w:type="pct"/>
            <w:gridSpan w:val="2"/>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送风</w:t>
            </w:r>
          </w:p>
        </w:tc>
        <w:tc>
          <w:tcPr>
            <w:tcW w:w="818" w:type="pct"/>
            <w:vMerge w:val="restart"/>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79" w:type="pct"/>
            <w:vMerge w:val="continue"/>
            <w:vAlign w:val="center"/>
          </w:tcPr>
          <w:p>
            <w:pPr>
              <w:rPr>
                <w:rFonts w:cs="宋体" w:asciiTheme="minorEastAsia" w:hAnsiTheme="minorEastAsia" w:eastAsiaTheme="minorEastAsia"/>
                <w:szCs w:val="21"/>
              </w:rPr>
            </w:pPr>
          </w:p>
        </w:tc>
        <w:tc>
          <w:tcPr>
            <w:tcW w:w="772" w:type="pct"/>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风量指标</w:t>
            </w:r>
          </w:p>
        </w:tc>
        <w:tc>
          <w:tcPr>
            <w:tcW w:w="702" w:type="pct"/>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方式</w:t>
            </w:r>
          </w:p>
        </w:tc>
        <w:tc>
          <w:tcPr>
            <w:tcW w:w="747" w:type="pct"/>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风量指标</w:t>
            </w:r>
          </w:p>
        </w:tc>
        <w:tc>
          <w:tcPr>
            <w:tcW w:w="883" w:type="pct"/>
            <w:shd w:val="clear" w:color="auto" w:fill="auto"/>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方式</w:t>
            </w:r>
          </w:p>
        </w:tc>
        <w:tc>
          <w:tcPr>
            <w:tcW w:w="818" w:type="pct"/>
            <w:vMerge w:val="continue"/>
            <w:vAlign w:val="center"/>
          </w:tcPr>
          <w:p>
            <w:pP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79" w:type="pct"/>
            <w:shd w:val="clear" w:color="auto" w:fill="auto"/>
            <w:vAlign w:val="center"/>
          </w:tcPr>
          <w:p>
            <w:pPr>
              <w:jc w:val="center"/>
              <w:rPr>
                <w:rFonts w:cs="宋体" w:asciiTheme="minorEastAsia" w:hAnsiTheme="minorEastAsia" w:eastAsiaTheme="minorEastAsia"/>
                <w:szCs w:val="21"/>
              </w:rPr>
            </w:pPr>
          </w:p>
        </w:tc>
        <w:tc>
          <w:tcPr>
            <w:tcW w:w="772" w:type="pct"/>
            <w:shd w:val="clear" w:color="auto" w:fill="auto"/>
            <w:vAlign w:val="center"/>
          </w:tcPr>
          <w:p>
            <w:pPr>
              <w:jc w:val="center"/>
              <w:rPr>
                <w:rFonts w:cs="宋体" w:asciiTheme="minorEastAsia" w:hAnsiTheme="minorEastAsia" w:eastAsiaTheme="minorEastAsia"/>
                <w:szCs w:val="21"/>
              </w:rPr>
            </w:pPr>
          </w:p>
        </w:tc>
        <w:tc>
          <w:tcPr>
            <w:tcW w:w="702" w:type="pct"/>
            <w:shd w:val="clear" w:color="auto" w:fill="auto"/>
            <w:vAlign w:val="center"/>
          </w:tcPr>
          <w:p>
            <w:pPr>
              <w:jc w:val="center"/>
              <w:rPr>
                <w:rFonts w:cs="宋体" w:asciiTheme="minorEastAsia" w:hAnsiTheme="minorEastAsia" w:eastAsiaTheme="minorEastAsia"/>
                <w:szCs w:val="21"/>
              </w:rPr>
            </w:pPr>
          </w:p>
        </w:tc>
        <w:tc>
          <w:tcPr>
            <w:tcW w:w="747" w:type="pct"/>
            <w:shd w:val="clear" w:color="auto" w:fill="auto"/>
            <w:vAlign w:val="center"/>
          </w:tcPr>
          <w:p>
            <w:pPr>
              <w:jc w:val="center"/>
              <w:rPr>
                <w:rFonts w:cs="宋体" w:asciiTheme="minorEastAsia" w:hAnsiTheme="minorEastAsia" w:eastAsiaTheme="minorEastAsia"/>
                <w:szCs w:val="21"/>
              </w:rPr>
            </w:pPr>
          </w:p>
        </w:tc>
        <w:tc>
          <w:tcPr>
            <w:tcW w:w="883" w:type="pct"/>
            <w:shd w:val="clear" w:color="auto" w:fill="auto"/>
            <w:vAlign w:val="center"/>
          </w:tcPr>
          <w:p>
            <w:pPr>
              <w:jc w:val="center"/>
              <w:rPr>
                <w:rFonts w:cs="宋体" w:asciiTheme="minorEastAsia" w:hAnsiTheme="minorEastAsia" w:eastAsiaTheme="minorEastAsia"/>
                <w:szCs w:val="21"/>
              </w:rPr>
            </w:pPr>
          </w:p>
        </w:tc>
        <w:tc>
          <w:tcPr>
            <w:tcW w:w="818" w:type="pct"/>
            <w:shd w:val="clear" w:color="auto" w:fill="auto"/>
            <w:vAlign w:val="center"/>
          </w:tcPr>
          <w:p>
            <w:pPr>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79" w:type="pct"/>
            <w:shd w:val="clear" w:color="auto" w:fill="auto"/>
            <w:vAlign w:val="center"/>
          </w:tcPr>
          <w:p>
            <w:pPr>
              <w:jc w:val="center"/>
              <w:rPr>
                <w:rFonts w:cs="宋体" w:asciiTheme="minorEastAsia" w:hAnsiTheme="minorEastAsia" w:eastAsiaTheme="minorEastAsia"/>
                <w:szCs w:val="21"/>
              </w:rPr>
            </w:pPr>
          </w:p>
        </w:tc>
        <w:tc>
          <w:tcPr>
            <w:tcW w:w="772" w:type="pct"/>
            <w:shd w:val="clear" w:color="auto" w:fill="auto"/>
            <w:vAlign w:val="center"/>
          </w:tcPr>
          <w:p>
            <w:pPr>
              <w:jc w:val="center"/>
              <w:rPr>
                <w:rFonts w:cs="宋体" w:asciiTheme="minorEastAsia" w:hAnsiTheme="minorEastAsia" w:eastAsiaTheme="minorEastAsia"/>
                <w:szCs w:val="21"/>
              </w:rPr>
            </w:pPr>
          </w:p>
        </w:tc>
        <w:tc>
          <w:tcPr>
            <w:tcW w:w="702" w:type="pct"/>
            <w:shd w:val="clear" w:color="auto" w:fill="auto"/>
            <w:vAlign w:val="center"/>
          </w:tcPr>
          <w:p>
            <w:pPr>
              <w:jc w:val="center"/>
              <w:rPr>
                <w:rFonts w:cs="宋体" w:asciiTheme="minorEastAsia" w:hAnsiTheme="minorEastAsia" w:eastAsiaTheme="minorEastAsia"/>
                <w:szCs w:val="21"/>
              </w:rPr>
            </w:pPr>
          </w:p>
        </w:tc>
        <w:tc>
          <w:tcPr>
            <w:tcW w:w="747" w:type="pct"/>
            <w:shd w:val="clear" w:color="auto" w:fill="auto"/>
            <w:vAlign w:val="center"/>
          </w:tcPr>
          <w:p>
            <w:pPr>
              <w:jc w:val="center"/>
              <w:rPr>
                <w:rFonts w:cs="宋体" w:asciiTheme="minorEastAsia" w:hAnsiTheme="minorEastAsia" w:eastAsiaTheme="minorEastAsia"/>
                <w:szCs w:val="21"/>
              </w:rPr>
            </w:pPr>
          </w:p>
        </w:tc>
        <w:tc>
          <w:tcPr>
            <w:tcW w:w="883" w:type="pct"/>
            <w:shd w:val="clear" w:color="auto" w:fill="auto"/>
            <w:vAlign w:val="center"/>
          </w:tcPr>
          <w:p>
            <w:pPr>
              <w:jc w:val="center"/>
              <w:rPr>
                <w:rFonts w:cs="宋体" w:asciiTheme="minorEastAsia" w:hAnsiTheme="minorEastAsia" w:eastAsiaTheme="minorEastAsia"/>
                <w:szCs w:val="21"/>
              </w:rPr>
            </w:pPr>
          </w:p>
        </w:tc>
        <w:tc>
          <w:tcPr>
            <w:tcW w:w="818" w:type="pct"/>
            <w:shd w:val="clear" w:color="auto" w:fill="auto"/>
            <w:vAlign w:val="center"/>
          </w:tcPr>
          <w:p>
            <w:pPr>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79" w:type="pct"/>
            <w:shd w:val="clear" w:color="auto" w:fill="auto"/>
            <w:vAlign w:val="center"/>
          </w:tcPr>
          <w:p>
            <w:pPr>
              <w:jc w:val="center"/>
              <w:rPr>
                <w:rFonts w:cs="宋体" w:asciiTheme="minorEastAsia" w:hAnsiTheme="minorEastAsia" w:eastAsiaTheme="minorEastAsia"/>
                <w:szCs w:val="21"/>
              </w:rPr>
            </w:pPr>
          </w:p>
        </w:tc>
        <w:tc>
          <w:tcPr>
            <w:tcW w:w="772" w:type="pct"/>
            <w:shd w:val="clear" w:color="auto" w:fill="auto"/>
            <w:vAlign w:val="center"/>
          </w:tcPr>
          <w:p>
            <w:pPr>
              <w:jc w:val="center"/>
              <w:rPr>
                <w:rFonts w:cs="宋体" w:asciiTheme="minorEastAsia" w:hAnsiTheme="minorEastAsia" w:eastAsiaTheme="minorEastAsia"/>
                <w:szCs w:val="21"/>
              </w:rPr>
            </w:pPr>
          </w:p>
        </w:tc>
        <w:tc>
          <w:tcPr>
            <w:tcW w:w="702" w:type="pct"/>
            <w:shd w:val="clear" w:color="auto" w:fill="auto"/>
            <w:vAlign w:val="center"/>
          </w:tcPr>
          <w:p>
            <w:pPr>
              <w:jc w:val="center"/>
              <w:rPr>
                <w:rFonts w:cs="宋体" w:asciiTheme="minorEastAsia" w:hAnsiTheme="minorEastAsia" w:eastAsiaTheme="minorEastAsia"/>
                <w:szCs w:val="21"/>
              </w:rPr>
            </w:pPr>
          </w:p>
        </w:tc>
        <w:tc>
          <w:tcPr>
            <w:tcW w:w="747" w:type="pct"/>
            <w:shd w:val="clear" w:color="auto" w:fill="auto"/>
            <w:vAlign w:val="center"/>
          </w:tcPr>
          <w:p>
            <w:pPr>
              <w:jc w:val="center"/>
              <w:rPr>
                <w:rFonts w:cs="宋体" w:asciiTheme="minorEastAsia" w:hAnsiTheme="minorEastAsia" w:eastAsiaTheme="minorEastAsia"/>
                <w:szCs w:val="21"/>
              </w:rPr>
            </w:pPr>
          </w:p>
        </w:tc>
        <w:tc>
          <w:tcPr>
            <w:tcW w:w="883" w:type="pct"/>
            <w:shd w:val="clear" w:color="auto" w:fill="auto"/>
            <w:vAlign w:val="center"/>
          </w:tcPr>
          <w:p>
            <w:pPr>
              <w:jc w:val="center"/>
              <w:rPr>
                <w:rFonts w:cs="宋体" w:asciiTheme="minorEastAsia" w:hAnsiTheme="minorEastAsia" w:eastAsiaTheme="minorEastAsia"/>
                <w:szCs w:val="21"/>
              </w:rPr>
            </w:pPr>
          </w:p>
        </w:tc>
        <w:tc>
          <w:tcPr>
            <w:tcW w:w="818" w:type="pct"/>
            <w:shd w:val="clear" w:color="auto" w:fill="auto"/>
            <w:vAlign w:val="center"/>
          </w:tcPr>
          <w:p>
            <w:pPr>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79" w:type="pct"/>
            <w:shd w:val="clear" w:color="auto" w:fill="auto"/>
            <w:vAlign w:val="center"/>
          </w:tcPr>
          <w:p>
            <w:pPr>
              <w:jc w:val="center"/>
              <w:rPr>
                <w:rFonts w:cs="宋体" w:asciiTheme="minorEastAsia" w:hAnsiTheme="minorEastAsia" w:eastAsiaTheme="minorEastAsia"/>
                <w:szCs w:val="21"/>
              </w:rPr>
            </w:pPr>
          </w:p>
        </w:tc>
        <w:tc>
          <w:tcPr>
            <w:tcW w:w="772" w:type="pct"/>
            <w:shd w:val="clear" w:color="auto" w:fill="auto"/>
            <w:vAlign w:val="center"/>
          </w:tcPr>
          <w:p>
            <w:pPr>
              <w:jc w:val="center"/>
              <w:rPr>
                <w:rFonts w:cs="宋体" w:asciiTheme="minorEastAsia" w:hAnsiTheme="minorEastAsia" w:eastAsiaTheme="minorEastAsia"/>
                <w:szCs w:val="21"/>
              </w:rPr>
            </w:pPr>
          </w:p>
        </w:tc>
        <w:tc>
          <w:tcPr>
            <w:tcW w:w="702" w:type="pct"/>
            <w:shd w:val="clear" w:color="auto" w:fill="auto"/>
            <w:vAlign w:val="center"/>
          </w:tcPr>
          <w:p>
            <w:pPr>
              <w:jc w:val="center"/>
              <w:rPr>
                <w:rFonts w:cs="宋体" w:asciiTheme="minorEastAsia" w:hAnsiTheme="minorEastAsia" w:eastAsiaTheme="minorEastAsia"/>
                <w:szCs w:val="21"/>
              </w:rPr>
            </w:pPr>
          </w:p>
        </w:tc>
        <w:tc>
          <w:tcPr>
            <w:tcW w:w="747" w:type="pct"/>
            <w:shd w:val="clear" w:color="auto" w:fill="auto"/>
            <w:vAlign w:val="center"/>
          </w:tcPr>
          <w:p>
            <w:pPr>
              <w:jc w:val="center"/>
              <w:rPr>
                <w:rFonts w:cs="宋体" w:asciiTheme="minorEastAsia" w:hAnsiTheme="minorEastAsia" w:eastAsiaTheme="minorEastAsia"/>
                <w:szCs w:val="21"/>
              </w:rPr>
            </w:pPr>
          </w:p>
        </w:tc>
        <w:tc>
          <w:tcPr>
            <w:tcW w:w="883" w:type="pct"/>
            <w:shd w:val="clear" w:color="auto" w:fill="auto"/>
            <w:vAlign w:val="center"/>
          </w:tcPr>
          <w:p>
            <w:pPr>
              <w:jc w:val="center"/>
              <w:rPr>
                <w:rFonts w:cs="宋体" w:asciiTheme="minorEastAsia" w:hAnsiTheme="minorEastAsia" w:eastAsiaTheme="minorEastAsia"/>
                <w:szCs w:val="21"/>
              </w:rPr>
            </w:pPr>
          </w:p>
        </w:tc>
        <w:tc>
          <w:tcPr>
            <w:tcW w:w="818" w:type="pct"/>
            <w:shd w:val="clear" w:color="auto" w:fill="auto"/>
            <w:vAlign w:val="center"/>
          </w:tcPr>
          <w:p>
            <w:pPr>
              <w:jc w:val="center"/>
              <w:rPr>
                <w:rFonts w:cs="宋体"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1079" w:type="pct"/>
            <w:shd w:val="clear" w:color="auto" w:fill="auto"/>
            <w:vAlign w:val="center"/>
          </w:tcPr>
          <w:p>
            <w:pPr>
              <w:jc w:val="center"/>
              <w:rPr>
                <w:rFonts w:cs="宋体" w:asciiTheme="minorEastAsia" w:hAnsiTheme="minorEastAsia" w:eastAsiaTheme="minorEastAsia"/>
                <w:szCs w:val="21"/>
              </w:rPr>
            </w:pPr>
          </w:p>
        </w:tc>
        <w:tc>
          <w:tcPr>
            <w:tcW w:w="772" w:type="pct"/>
            <w:shd w:val="clear" w:color="auto" w:fill="auto"/>
            <w:vAlign w:val="center"/>
          </w:tcPr>
          <w:p>
            <w:pPr>
              <w:jc w:val="center"/>
              <w:rPr>
                <w:rFonts w:cs="宋体" w:asciiTheme="minorEastAsia" w:hAnsiTheme="minorEastAsia" w:eastAsiaTheme="minorEastAsia"/>
                <w:szCs w:val="21"/>
              </w:rPr>
            </w:pPr>
          </w:p>
        </w:tc>
        <w:tc>
          <w:tcPr>
            <w:tcW w:w="702" w:type="pct"/>
            <w:shd w:val="clear" w:color="auto" w:fill="auto"/>
            <w:vAlign w:val="center"/>
          </w:tcPr>
          <w:p>
            <w:pPr>
              <w:jc w:val="center"/>
              <w:rPr>
                <w:rFonts w:cs="宋体" w:asciiTheme="minorEastAsia" w:hAnsiTheme="minorEastAsia" w:eastAsiaTheme="minorEastAsia"/>
                <w:szCs w:val="21"/>
              </w:rPr>
            </w:pPr>
          </w:p>
        </w:tc>
        <w:tc>
          <w:tcPr>
            <w:tcW w:w="747" w:type="pct"/>
            <w:shd w:val="clear" w:color="auto" w:fill="auto"/>
            <w:vAlign w:val="center"/>
          </w:tcPr>
          <w:p>
            <w:pPr>
              <w:jc w:val="center"/>
              <w:rPr>
                <w:rFonts w:cs="宋体" w:asciiTheme="minorEastAsia" w:hAnsiTheme="minorEastAsia" w:eastAsiaTheme="minorEastAsia"/>
                <w:szCs w:val="21"/>
              </w:rPr>
            </w:pPr>
          </w:p>
        </w:tc>
        <w:tc>
          <w:tcPr>
            <w:tcW w:w="883" w:type="pct"/>
            <w:shd w:val="clear" w:color="auto" w:fill="auto"/>
            <w:vAlign w:val="center"/>
          </w:tcPr>
          <w:p>
            <w:pPr>
              <w:jc w:val="center"/>
              <w:rPr>
                <w:rFonts w:cs="宋体" w:asciiTheme="minorEastAsia" w:hAnsiTheme="minorEastAsia" w:eastAsiaTheme="minorEastAsia"/>
                <w:szCs w:val="21"/>
              </w:rPr>
            </w:pPr>
          </w:p>
        </w:tc>
        <w:tc>
          <w:tcPr>
            <w:tcW w:w="818" w:type="pct"/>
            <w:shd w:val="clear" w:color="auto" w:fill="auto"/>
            <w:vAlign w:val="center"/>
          </w:tcPr>
          <w:p>
            <w:pPr>
              <w:jc w:val="center"/>
              <w:rPr>
                <w:rFonts w:cs="宋体" w:asciiTheme="minorEastAsia" w:hAnsiTheme="minorEastAsia" w:eastAsiaTheme="minorEastAsia"/>
                <w:szCs w:val="21"/>
              </w:rPr>
            </w:pPr>
          </w:p>
        </w:tc>
      </w:tr>
    </w:tbl>
    <w:p>
      <w:pPr>
        <w:pStyle w:val="87"/>
        <w:spacing w:before="156" w:beforeLines="50"/>
        <w:ind w:left="424" w:hanging="424" w:hangingChars="202"/>
        <w:rPr>
          <w:rFonts w:asciiTheme="minorEastAsia" w:hAnsiTheme="minorEastAsia" w:eastAsiaTheme="minorEastAsia"/>
          <w:kern w:val="24"/>
        </w:rPr>
      </w:pPr>
      <w:r>
        <w:rPr>
          <w:rFonts w:hint="eastAsia" w:asciiTheme="minorEastAsia" w:hAnsiTheme="minorEastAsia" w:eastAsiaTheme="minorEastAsia"/>
          <w:kern w:val="24"/>
        </w:rPr>
        <w:t xml:space="preserve">本项目  </w:t>
      </w:r>
      <w:r>
        <w:rPr>
          <w:rFonts w:hint="eastAsia" w:asciiTheme="minorEastAsia" w:hAnsiTheme="minorEastAsia" w:eastAsiaTheme="minorEastAsia"/>
        </w:rPr>
        <w:t>□未设空调  □设计空调系统，并</w:t>
      </w:r>
      <w:r>
        <w:rPr>
          <w:rFonts w:hint="eastAsia" w:asciiTheme="minorEastAsia" w:hAnsiTheme="minorEastAsia" w:eastAsiaTheme="minorEastAsia"/>
          <w:kern w:val="24"/>
        </w:rPr>
        <w:t>逐时逐项空调冷负荷及空调热负荷均采用</w:t>
      </w:r>
      <w:r>
        <w:rPr>
          <w:rFonts w:hint="eastAsia" w:asciiTheme="minorEastAsia" w:hAnsiTheme="minorEastAsia" w:eastAsiaTheme="minorEastAsia"/>
          <w:kern w:val="24"/>
          <w:u w:val="single"/>
        </w:rPr>
        <w:t xml:space="preserve">          </w:t>
      </w:r>
      <w:r>
        <w:rPr>
          <w:rFonts w:hint="eastAsia" w:asciiTheme="minorEastAsia" w:hAnsiTheme="minorEastAsia" w:eastAsiaTheme="minorEastAsia"/>
          <w:kern w:val="24"/>
        </w:rPr>
        <w:t>计算</w:t>
      </w:r>
    </w:p>
    <w:p>
      <w:pPr>
        <w:pStyle w:val="70"/>
        <w:spacing w:line="380" w:lineRule="exact"/>
        <w:ind w:firstLine="0" w:firstLineChars="0"/>
        <w:rPr>
          <w:rFonts w:asciiTheme="minorEastAsia" w:hAnsiTheme="minorEastAsia" w:eastAsiaTheme="minorEastAsia"/>
          <w:szCs w:val="21"/>
        </w:rPr>
      </w:pPr>
      <w:r>
        <w:rPr>
          <w:rFonts w:hint="eastAsia" w:asciiTheme="minorEastAsia" w:hAnsiTheme="minorEastAsia" w:eastAsiaTheme="minorEastAsia"/>
          <w:szCs w:val="21"/>
          <w:u w:val="single"/>
        </w:rPr>
        <w:t>（鉴定情况：          ）</w:t>
      </w:r>
      <w:r>
        <w:rPr>
          <w:rFonts w:hint="eastAsia" w:asciiTheme="minorEastAsia" w:hAnsiTheme="minorEastAsia" w:eastAsiaTheme="minorEastAsia"/>
          <w:szCs w:val="21"/>
        </w:rPr>
        <w:t>。详细负荷见“负荷计算书”。</w:t>
      </w:r>
    </w:p>
    <w:p>
      <w:pPr>
        <w:pStyle w:val="70"/>
        <w:spacing w:line="380" w:lineRule="exact"/>
        <w:ind w:firstLine="0" w:firstLineChars="0"/>
        <w:rPr>
          <w:rFonts w:asciiTheme="minorEastAsia" w:hAnsiTheme="minorEastAsia" w:eastAsiaTheme="minorEastAsia"/>
          <w:szCs w:val="21"/>
        </w:rPr>
      </w:pPr>
      <w:r>
        <w:rPr>
          <w:rFonts w:hint="eastAsia" w:asciiTheme="minorEastAsia" w:hAnsiTheme="minorEastAsia" w:eastAsiaTheme="minorEastAsia"/>
          <w:szCs w:val="21"/>
        </w:rPr>
        <w:t>经逐时逐项计算，各空调区域夏季设计冷负荷与冬季设计热负荷分别如下：</w:t>
      </w:r>
    </w:p>
    <w:tbl>
      <w:tblPr>
        <w:tblStyle w:val="44"/>
        <w:tblW w:w="5000" w:type="pct"/>
        <w:jc w:val="center"/>
        <w:tblLayout w:type="autofit"/>
        <w:tblCellMar>
          <w:top w:w="0" w:type="dxa"/>
          <w:left w:w="108" w:type="dxa"/>
          <w:bottom w:w="0" w:type="dxa"/>
          <w:right w:w="108" w:type="dxa"/>
        </w:tblCellMar>
      </w:tblPr>
      <w:tblGrid>
        <w:gridCol w:w="2848"/>
        <w:gridCol w:w="1601"/>
        <w:gridCol w:w="1601"/>
        <w:gridCol w:w="1601"/>
        <w:gridCol w:w="1601"/>
        <w:gridCol w:w="1422"/>
      </w:tblGrid>
      <w:tr>
        <w:tblPrEx>
          <w:tblCellMar>
            <w:top w:w="0" w:type="dxa"/>
            <w:left w:w="108" w:type="dxa"/>
            <w:bottom w:w="0" w:type="dxa"/>
            <w:right w:w="108" w:type="dxa"/>
          </w:tblCellMar>
        </w:tblPrEx>
        <w:trPr>
          <w:trHeight w:val="270" w:hRule="atLeast"/>
          <w:jc w:val="center"/>
        </w:trPr>
        <w:tc>
          <w:tcPr>
            <w:tcW w:w="1334" w:type="pct"/>
            <w:vMerge w:val="restart"/>
            <w:tcBorders>
              <w:top w:val="single" w:color="auto" w:sz="4" w:space="0"/>
              <w:left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空调区域</w:t>
            </w:r>
          </w:p>
        </w:tc>
        <w:tc>
          <w:tcPr>
            <w:tcW w:w="750" w:type="pct"/>
            <w:tcBorders>
              <w:top w:val="single" w:color="auto" w:sz="4" w:space="0"/>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建筑面积</w:t>
            </w:r>
          </w:p>
        </w:tc>
        <w:tc>
          <w:tcPr>
            <w:tcW w:w="750" w:type="pct"/>
            <w:tcBorders>
              <w:top w:val="single" w:color="auto" w:sz="4" w:space="0"/>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设计冷负荷</w:t>
            </w:r>
          </w:p>
        </w:tc>
        <w:tc>
          <w:tcPr>
            <w:tcW w:w="750" w:type="pct"/>
            <w:tcBorders>
              <w:top w:val="single" w:color="auto" w:sz="4" w:space="0"/>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设计冷指标</w:t>
            </w:r>
          </w:p>
        </w:tc>
        <w:tc>
          <w:tcPr>
            <w:tcW w:w="750" w:type="pct"/>
            <w:tcBorders>
              <w:top w:val="single" w:color="auto" w:sz="4" w:space="0"/>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设计热负荷</w:t>
            </w:r>
          </w:p>
        </w:tc>
        <w:tc>
          <w:tcPr>
            <w:tcW w:w="666" w:type="pct"/>
            <w:tcBorders>
              <w:top w:val="single" w:color="auto" w:sz="4" w:space="0"/>
              <w:left w:val="nil"/>
              <w:bottom w:val="single" w:color="auto" w:sz="4" w:space="0"/>
              <w:right w:val="single" w:color="auto" w:sz="4" w:space="0"/>
            </w:tcBorders>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设计热指标</w:t>
            </w:r>
          </w:p>
        </w:tc>
      </w:tr>
      <w:tr>
        <w:tblPrEx>
          <w:tblCellMar>
            <w:top w:w="0" w:type="dxa"/>
            <w:left w:w="108" w:type="dxa"/>
            <w:bottom w:w="0" w:type="dxa"/>
            <w:right w:w="108" w:type="dxa"/>
          </w:tblCellMar>
        </w:tblPrEx>
        <w:trPr>
          <w:trHeight w:val="270" w:hRule="atLeast"/>
          <w:jc w:val="center"/>
        </w:trPr>
        <w:tc>
          <w:tcPr>
            <w:tcW w:w="1334" w:type="pct"/>
            <w:vMerge w:val="continue"/>
            <w:tcBorders>
              <w:left w:val="single" w:color="auto" w:sz="4" w:space="0"/>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cs="宋体" w:asciiTheme="minorEastAsia" w:hAnsiTheme="minorEastAsia" w:eastAsiaTheme="minorEastAsia"/>
                <w:szCs w:val="21"/>
              </w:rPr>
              <w:t>m²</w:t>
            </w: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k</w:t>
            </w:r>
            <w:r>
              <w:rPr>
                <w:rFonts w:cs="宋体" w:asciiTheme="minorEastAsia" w:hAnsiTheme="minorEastAsia" w:eastAsiaTheme="minorEastAsia"/>
                <w:szCs w:val="21"/>
              </w:rPr>
              <w:t>W</w:t>
            </w: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cs="宋体" w:asciiTheme="minorEastAsia" w:hAnsiTheme="minorEastAsia" w:eastAsiaTheme="minorEastAsia"/>
                <w:szCs w:val="21"/>
              </w:rPr>
              <w:t>W/m²</w:t>
            </w: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k</w:t>
            </w:r>
            <w:r>
              <w:rPr>
                <w:rFonts w:cs="宋体" w:asciiTheme="minorEastAsia" w:hAnsiTheme="minorEastAsia" w:eastAsiaTheme="minorEastAsia"/>
                <w:szCs w:val="21"/>
              </w:rPr>
              <w:t>W</w:t>
            </w:r>
          </w:p>
        </w:tc>
        <w:tc>
          <w:tcPr>
            <w:tcW w:w="666" w:type="pct"/>
            <w:tcBorders>
              <w:top w:val="nil"/>
              <w:left w:val="nil"/>
              <w:bottom w:val="single" w:color="auto" w:sz="4" w:space="0"/>
              <w:right w:val="single" w:color="auto" w:sz="4" w:space="0"/>
            </w:tcBorders>
            <w:vAlign w:val="center"/>
          </w:tcPr>
          <w:p>
            <w:pPr>
              <w:jc w:val="center"/>
              <w:rPr>
                <w:rFonts w:cs="宋体" w:asciiTheme="minorEastAsia" w:hAnsiTheme="minorEastAsia" w:eastAsiaTheme="minorEastAsia"/>
                <w:szCs w:val="21"/>
              </w:rPr>
            </w:pPr>
            <w:r>
              <w:rPr>
                <w:rFonts w:cs="宋体" w:asciiTheme="minorEastAsia" w:hAnsiTheme="minorEastAsia" w:eastAsiaTheme="minorEastAsia"/>
                <w:szCs w:val="21"/>
              </w:rPr>
              <w:t>W/m²</w:t>
            </w:r>
          </w:p>
        </w:tc>
      </w:tr>
      <w:tr>
        <w:tblPrEx>
          <w:tblCellMar>
            <w:top w:w="0" w:type="dxa"/>
            <w:left w:w="108" w:type="dxa"/>
            <w:bottom w:w="0" w:type="dxa"/>
            <w:right w:w="108" w:type="dxa"/>
          </w:tblCellMar>
        </w:tblPrEx>
        <w:trPr>
          <w:trHeight w:val="270" w:hRule="atLeast"/>
          <w:jc w:val="center"/>
        </w:trPr>
        <w:tc>
          <w:tcPr>
            <w:tcW w:w="1334" w:type="pct"/>
            <w:tcBorders>
              <w:left w:val="single" w:color="auto" w:sz="4" w:space="0"/>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666" w:type="pct"/>
            <w:tcBorders>
              <w:top w:val="nil"/>
              <w:left w:val="nil"/>
              <w:bottom w:val="single" w:color="auto" w:sz="4" w:space="0"/>
              <w:right w:val="single" w:color="auto" w:sz="4" w:space="0"/>
            </w:tcBorders>
            <w:vAlign w:val="center"/>
          </w:tcPr>
          <w:p>
            <w:pPr>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70" w:hRule="atLeast"/>
          <w:jc w:val="center"/>
        </w:trPr>
        <w:tc>
          <w:tcPr>
            <w:tcW w:w="1334" w:type="pct"/>
            <w:tcBorders>
              <w:left w:val="single" w:color="auto" w:sz="4" w:space="0"/>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750" w:type="pct"/>
            <w:tcBorders>
              <w:top w:val="nil"/>
              <w:left w:val="nil"/>
              <w:bottom w:val="single" w:color="auto" w:sz="4" w:space="0"/>
              <w:right w:val="single" w:color="auto" w:sz="4" w:space="0"/>
            </w:tcBorders>
            <w:shd w:val="clear" w:color="auto" w:fill="auto"/>
            <w:noWrap/>
            <w:vAlign w:val="center"/>
          </w:tcPr>
          <w:p>
            <w:pPr>
              <w:jc w:val="center"/>
              <w:rPr>
                <w:rFonts w:cs="宋体" w:asciiTheme="minorEastAsia" w:hAnsiTheme="minorEastAsia" w:eastAsiaTheme="minorEastAsia"/>
                <w:szCs w:val="21"/>
              </w:rPr>
            </w:pPr>
          </w:p>
        </w:tc>
        <w:tc>
          <w:tcPr>
            <w:tcW w:w="666" w:type="pct"/>
            <w:tcBorders>
              <w:top w:val="nil"/>
              <w:left w:val="nil"/>
              <w:bottom w:val="single" w:color="auto" w:sz="4" w:space="0"/>
              <w:right w:val="single" w:color="auto" w:sz="4" w:space="0"/>
            </w:tcBorders>
            <w:vAlign w:val="center"/>
          </w:tcPr>
          <w:p>
            <w:pPr>
              <w:jc w:val="center"/>
              <w:rPr>
                <w:rFonts w:cs="宋体" w:asciiTheme="minorEastAsia" w:hAnsiTheme="minorEastAsia" w:eastAsiaTheme="minorEastAsia"/>
                <w:szCs w:val="21"/>
              </w:rPr>
            </w:pPr>
          </w:p>
        </w:tc>
      </w:tr>
    </w:tbl>
    <w:p>
      <w:pPr>
        <w:pStyle w:val="87"/>
        <w:spacing w:before="156" w:beforeLines="50"/>
        <w:ind w:left="424" w:hanging="424" w:hangingChars="202"/>
        <w:rPr>
          <w:rFonts w:asciiTheme="minorEastAsia" w:hAnsiTheme="minorEastAsia" w:eastAsiaTheme="minorEastAsia"/>
          <w:kern w:val="24"/>
        </w:rPr>
      </w:pPr>
      <w:r>
        <w:rPr>
          <w:rFonts w:hint="eastAsia" w:asciiTheme="minorEastAsia" w:hAnsiTheme="minorEastAsia" w:eastAsiaTheme="minorEastAsia"/>
          <w:kern w:val="24"/>
        </w:rPr>
        <w:t>空调冷热源：</w:t>
      </w:r>
    </w:p>
    <w:p>
      <w:pPr>
        <w:pStyle w:val="88"/>
        <w:numPr>
          <w:ilvl w:val="1"/>
          <w:numId w:val="31"/>
        </w:numPr>
        <w:spacing w:before="156" w:beforeLines="50"/>
        <w:rPr>
          <w:rFonts w:asciiTheme="minorEastAsia" w:hAnsiTheme="minorEastAsia" w:eastAsiaTheme="minorEastAsia"/>
        </w:rPr>
      </w:pPr>
      <w:r>
        <w:rPr>
          <w:rFonts w:hint="eastAsia" w:asciiTheme="minorEastAsia" w:hAnsiTheme="minorEastAsia" w:eastAsiaTheme="minorEastAsia"/>
        </w:rPr>
        <w:t xml:space="preserve">本项目：□未采用水冷冷水机组+锅炉；□ </w:t>
      </w:r>
      <w:r>
        <w:rPr>
          <w:rFonts w:hint="eastAsia" w:asciiTheme="minorEastAsia" w:hAnsiTheme="minorEastAsia" w:eastAsiaTheme="minorEastAsia"/>
          <w:u w:val="single"/>
        </w:rPr>
        <w:t xml:space="preserve">          </w:t>
      </w:r>
      <w:r>
        <w:rPr>
          <w:rFonts w:hint="eastAsia" w:asciiTheme="minorEastAsia" w:hAnsiTheme="minorEastAsia" w:eastAsiaTheme="minorEastAsia"/>
        </w:rPr>
        <w:t>区域采用水冷冷水机组+锅炉。</w:t>
      </w:r>
    </w:p>
    <w:p>
      <w:pPr>
        <w:pStyle w:val="89"/>
        <w:spacing w:line="400" w:lineRule="exact"/>
        <w:rPr>
          <w:rFonts w:asciiTheme="minorEastAsia" w:hAnsiTheme="minorEastAsia" w:eastAsiaTheme="minorEastAsia"/>
          <w:u w:val="single"/>
        </w:rPr>
      </w:pPr>
      <w:r>
        <w:rPr>
          <w:rFonts w:hint="eastAsia" w:asciiTheme="minorEastAsia" w:hAnsiTheme="minorEastAsia" w:eastAsiaTheme="minorEastAsia"/>
        </w:rPr>
        <w:t>冷源选用</w:t>
      </w:r>
      <w:r>
        <w:rPr>
          <w:rFonts w:asciiTheme="minorEastAsia" w:hAnsiTheme="minorEastAsia" w:eastAsiaTheme="minorEastAsia"/>
          <w:u w:val="single"/>
        </w:rPr>
        <w:t xml:space="preserve">        </w:t>
      </w:r>
      <w:r>
        <w:rPr>
          <w:rFonts w:hint="eastAsia" w:asciiTheme="minorEastAsia" w:hAnsiTheme="minorEastAsia" w:eastAsiaTheme="minorEastAsia"/>
        </w:rPr>
        <w:t>台制冷量为</w:t>
      </w:r>
      <w:r>
        <w:rPr>
          <w:rFonts w:asciiTheme="minorEastAsia" w:hAnsiTheme="minorEastAsia" w:eastAsiaTheme="minorEastAsia"/>
          <w:u w:val="single"/>
        </w:rPr>
        <w:t xml:space="preserve">      </w:t>
      </w:r>
      <w:r>
        <w:rPr>
          <w:rFonts w:asciiTheme="minorEastAsia" w:hAnsiTheme="minorEastAsia" w:eastAsiaTheme="minorEastAsia"/>
        </w:rPr>
        <w:t>kW</w:t>
      </w:r>
      <w:r>
        <w:rPr>
          <w:rFonts w:hint="eastAsia" w:asciiTheme="minorEastAsia" w:hAnsiTheme="minorEastAsia" w:eastAsiaTheme="minorEastAsia"/>
        </w:rPr>
        <w:t>的水冷离心式冷水机组与</w:t>
      </w:r>
      <w:r>
        <w:rPr>
          <w:rFonts w:asciiTheme="minorEastAsia" w:hAnsiTheme="minorEastAsia" w:eastAsiaTheme="minorEastAsia"/>
          <w:u w:val="single"/>
        </w:rPr>
        <w:t xml:space="preserve">      </w:t>
      </w:r>
      <w:r>
        <w:rPr>
          <w:rFonts w:hint="eastAsia" w:asciiTheme="minorEastAsia" w:hAnsiTheme="minorEastAsia" w:eastAsiaTheme="minorEastAsia"/>
        </w:rPr>
        <w:t>台制冷量为</w:t>
      </w:r>
      <w:r>
        <w:rPr>
          <w:rFonts w:asciiTheme="minorEastAsia" w:hAnsiTheme="minorEastAsia" w:eastAsiaTheme="minorEastAsia"/>
          <w:u w:val="single"/>
        </w:rPr>
        <w:t xml:space="preserve">      </w:t>
      </w:r>
      <w:r>
        <w:rPr>
          <w:rFonts w:asciiTheme="minorEastAsia" w:hAnsiTheme="minorEastAsia" w:eastAsiaTheme="minorEastAsia"/>
        </w:rPr>
        <w:t>kW</w:t>
      </w:r>
      <w:r>
        <w:rPr>
          <w:rFonts w:hint="eastAsia" w:asciiTheme="minorEastAsia" w:hAnsiTheme="minorEastAsia" w:eastAsiaTheme="minorEastAsia"/>
        </w:rPr>
        <w:t>的水冷螺杆式冷水机组。总装机制冷容量与负荷比值为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％。其中</w:t>
      </w:r>
      <w:r>
        <w:rPr>
          <w:rFonts w:asciiTheme="minorEastAsia" w:hAnsiTheme="minorEastAsia" w:eastAsiaTheme="minorEastAsia"/>
          <w:u w:val="single"/>
        </w:rPr>
        <w:t xml:space="preserve">     </w:t>
      </w:r>
      <w:r>
        <w:rPr>
          <w:rFonts w:hint="eastAsia" w:asciiTheme="minorEastAsia" w:hAnsiTheme="minorEastAsia" w:eastAsiaTheme="minorEastAsia"/>
        </w:rPr>
        <w:t>台 □离心式 □螺杆式 冷水机组□不配置 □配置冷凝热回收，</w:t>
      </w:r>
      <w:r>
        <w:rPr>
          <w:rFonts w:asciiTheme="minorEastAsia" w:hAnsiTheme="minorEastAsia" w:eastAsiaTheme="minorEastAsia"/>
        </w:rPr>
        <w:t>热回收量</w:t>
      </w:r>
      <w:r>
        <w:rPr>
          <w:rFonts w:hint="eastAsia" w:asciiTheme="minorEastAsia" w:hAnsiTheme="minorEastAsia" w:eastAsiaTheme="minorEastAsia"/>
        </w:rPr>
        <w:t>为</w:t>
      </w:r>
      <w:r>
        <w:rPr>
          <w:rFonts w:hint="eastAsia" w:asciiTheme="minorEastAsia" w:hAnsiTheme="minorEastAsia" w:eastAsiaTheme="minorEastAsia"/>
          <w:u w:val="single"/>
        </w:rPr>
        <w:t xml:space="preserve">       </w:t>
      </w:r>
      <w:r>
        <w:rPr>
          <w:rFonts w:hint="eastAsia" w:asciiTheme="minorEastAsia" w:hAnsiTheme="minorEastAsia" w:eastAsiaTheme="minorEastAsia"/>
        </w:rPr>
        <w:t>kW，热回收</w:t>
      </w:r>
      <w:r>
        <w:rPr>
          <w:rFonts w:asciiTheme="minorEastAsia" w:hAnsiTheme="minorEastAsia" w:eastAsiaTheme="minorEastAsia"/>
        </w:rPr>
        <w:t>效率</w:t>
      </w:r>
      <w:r>
        <w:rPr>
          <w:rFonts w:hint="eastAsia" w:asciiTheme="minorEastAsia" w:hAnsiTheme="minorEastAsia" w:eastAsiaTheme="minorEastAsia"/>
        </w:rPr>
        <w:t>为</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9"/>
        <w:spacing w:line="400" w:lineRule="exact"/>
        <w:rPr>
          <w:rFonts w:asciiTheme="minorEastAsia" w:hAnsiTheme="minorEastAsia" w:eastAsiaTheme="minorEastAsia"/>
          <w:u w:val="single"/>
        </w:rPr>
      </w:pPr>
      <w:r>
        <w:rPr>
          <w:rFonts w:hint="eastAsia" w:asciiTheme="minorEastAsia" w:hAnsiTheme="minorEastAsia" w:eastAsiaTheme="minorEastAsia"/>
        </w:rPr>
        <w:t>□不设置 □设置水水板式换热器</w:t>
      </w:r>
      <w:r>
        <w:rPr>
          <w:rFonts w:hint="eastAsia" w:asciiTheme="minorEastAsia" w:hAnsiTheme="minorEastAsia" w:eastAsiaTheme="minorEastAsia"/>
          <w:u w:val="single"/>
        </w:rPr>
        <w:t xml:space="preserve">   台</w:t>
      </w:r>
      <w:r>
        <w:rPr>
          <w:rFonts w:hint="eastAsia" w:asciiTheme="minorEastAsia" w:hAnsiTheme="minorEastAsia" w:eastAsiaTheme="minorEastAsia"/>
        </w:rPr>
        <w:t>，换热量为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kW，换热效率</w:t>
      </w:r>
      <w:r>
        <w:rPr>
          <w:rFonts w:asciiTheme="minorEastAsia" w:hAnsiTheme="minorEastAsia" w:eastAsiaTheme="minorEastAsia"/>
        </w:rPr>
        <w:t>为</w:t>
      </w:r>
      <w:r>
        <w:rPr>
          <w:rFonts w:hint="eastAsia" w:asciiTheme="minorEastAsia" w:hAnsiTheme="minorEastAsia" w:eastAsiaTheme="minorEastAsia"/>
        </w:rPr>
        <w:t xml:space="preserve">    </w:t>
      </w:r>
      <w:r>
        <w:rPr>
          <w:rFonts w:asciiTheme="minorEastAsia" w:hAnsiTheme="minorEastAsia" w:eastAsiaTheme="minorEastAsia"/>
        </w:rPr>
        <w:t>%</w:t>
      </w:r>
      <w:r>
        <w:rPr>
          <w:rFonts w:hint="eastAsia" w:asciiTheme="minorEastAsia" w:hAnsiTheme="minorEastAsia" w:eastAsiaTheme="minorEastAsia"/>
        </w:rPr>
        <w:t>，过渡季与冬季供冷工况时，利用</w:t>
      </w:r>
      <w:r>
        <w:rPr>
          <w:rFonts w:asciiTheme="minorEastAsia" w:hAnsiTheme="minorEastAsia" w:eastAsiaTheme="minorEastAsia"/>
        </w:rPr>
        <w:t>冷却塔冷却后的水作为一次水</w:t>
      </w:r>
      <w:r>
        <w:rPr>
          <w:rFonts w:hint="eastAsia" w:asciiTheme="minorEastAsia" w:hAnsiTheme="minorEastAsia" w:eastAsiaTheme="minorEastAsia"/>
        </w:rPr>
        <w:t>，</w:t>
      </w:r>
      <w:r>
        <w:rPr>
          <w:rFonts w:asciiTheme="minorEastAsia" w:hAnsiTheme="minorEastAsia" w:eastAsiaTheme="minorEastAsia"/>
        </w:rPr>
        <w:t>通过板式换热器提供二次空调冷水</w:t>
      </w:r>
      <w:r>
        <w:rPr>
          <w:rFonts w:hint="eastAsia" w:asciiTheme="minorEastAsia" w:hAnsiTheme="minorEastAsia" w:eastAsiaTheme="minorEastAsia"/>
        </w:rPr>
        <w:t>。</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水冷机组冷媒采用</w:t>
      </w:r>
      <w:r>
        <w:rPr>
          <w:rFonts w:hint="eastAsia" w:asciiTheme="minorEastAsia" w:hAnsiTheme="minorEastAsia" w:eastAsiaTheme="minorEastAsia"/>
          <w:u w:val="single"/>
        </w:rPr>
        <w:t xml:space="preserve">     </w:t>
      </w:r>
      <w:r>
        <w:rPr>
          <w:rFonts w:hint="eastAsia" w:asciiTheme="minorEastAsia" w:hAnsiTheme="minorEastAsia" w:eastAsiaTheme="minorEastAsia"/>
        </w:rPr>
        <w:t>环保冷媒。水冷离心式冷水机组</w:t>
      </w:r>
      <w:r>
        <w:rPr>
          <w:rFonts w:hint="eastAsia" w:asciiTheme="minorEastAsia" w:hAnsiTheme="minorEastAsia" w:eastAsiaTheme="minorEastAsia"/>
          <w:u w:val="single"/>
        </w:rPr>
        <w:t>□定频 □变频</w:t>
      </w:r>
      <w:r>
        <w:rPr>
          <w:rFonts w:hint="eastAsia" w:asciiTheme="minorEastAsia" w:hAnsiTheme="minorEastAsia" w:eastAsiaTheme="minorEastAsia"/>
        </w:rPr>
        <w:t>，额定工况</w:t>
      </w:r>
      <w:r>
        <w:rPr>
          <w:rFonts w:asciiTheme="minorEastAsia" w:hAnsiTheme="minorEastAsia" w:eastAsiaTheme="minorEastAsia"/>
        </w:rPr>
        <w:t>COP</w:t>
      </w:r>
      <w:r>
        <w:rPr>
          <w:rFonts w:hint="eastAsia" w:asciiTheme="minorEastAsia" w:hAnsiTheme="minorEastAsia" w:eastAsiaTheme="minorEastAsia"/>
        </w:rPr>
        <w:t>≥</w:t>
      </w:r>
      <w:r>
        <w:rPr>
          <w:rFonts w:asciiTheme="minorEastAsia" w:hAnsiTheme="minorEastAsia" w:eastAsiaTheme="minorEastAsia"/>
          <w:u w:val="single"/>
        </w:rPr>
        <w:t xml:space="preserve">       </w:t>
      </w:r>
      <w:r>
        <w:rPr>
          <w:rFonts w:asciiTheme="minorEastAsia" w:hAnsiTheme="minorEastAsia" w:eastAsiaTheme="minorEastAsia"/>
        </w:rPr>
        <w:t>W/W</w:t>
      </w:r>
      <w:r>
        <w:rPr>
          <w:rFonts w:hint="eastAsia" w:asciiTheme="minorEastAsia" w:hAnsiTheme="minorEastAsia" w:eastAsiaTheme="minorEastAsia"/>
        </w:rPr>
        <w:t>，</w:t>
      </w:r>
      <w:r>
        <w:rPr>
          <w:rFonts w:asciiTheme="minorEastAsia" w:hAnsiTheme="minorEastAsia" w:eastAsiaTheme="minorEastAsia"/>
        </w:rPr>
        <w:t>IPLV</w:t>
      </w:r>
      <w:r>
        <w:rPr>
          <w:rFonts w:hint="eastAsia" w:asciiTheme="minorEastAsia" w:hAnsiTheme="minorEastAsia" w:eastAsiaTheme="minorEastAsia"/>
        </w:rPr>
        <w:t>≥</w:t>
      </w:r>
      <w:r>
        <w:rPr>
          <w:rFonts w:asciiTheme="minorEastAsia" w:hAnsiTheme="minorEastAsia" w:eastAsiaTheme="minorEastAsia"/>
          <w:u w:val="single"/>
        </w:rPr>
        <w:t xml:space="preserve">       </w:t>
      </w:r>
      <w:r>
        <w:rPr>
          <w:rFonts w:asciiTheme="minorEastAsia" w:hAnsiTheme="minorEastAsia" w:eastAsiaTheme="minorEastAsia"/>
        </w:rPr>
        <w:t>W/W</w:t>
      </w:r>
      <w:r>
        <w:rPr>
          <w:rFonts w:hint="eastAsia" w:asciiTheme="minorEastAsia" w:hAnsiTheme="minorEastAsia" w:eastAsiaTheme="minorEastAsia"/>
        </w:rPr>
        <w:t>；水冷螺杆式冷水机组□定频 □变频，额定工况</w:t>
      </w:r>
      <w:r>
        <w:rPr>
          <w:rFonts w:asciiTheme="minorEastAsia" w:hAnsiTheme="minorEastAsia" w:eastAsiaTheme="minorEastAsia"/>
        </w:rPr>
        <w:t>COP</w:t>
      </w:r>
      <w:r>
        <w:rPr>
          <w:rFonts w:hint="eastAsia" w:asciiTheme="minorEastAsia" w:hAnsiTheme="minorEastAsia" w:eastAsiaTheme="minorEastAsia"/>
        </w:rPr>
        <w:t>≥</w:t>
      </w:r>
      <w:r>
        <w:rPr>
          <w:rFonts w:asciiTheme="minorEastAsia" w:hAnsiTheme="minorEastAsia" w:eastAsiaTheme="minorEastAsia"/>
          <w:u w:val="single"/>
        </w:rPr>
        <w:t xml:space="preserve">      </w:t>
      </w:r>
      <w:r>
        <w:rPr>
          <w:rFonts w:asciiTheme="minorEastAsia" w:hAnsiTheme="minorEastAsia" w:eastAsiaTheme="minorEastAsia"/>
        </w:rPr>
        <w:t>W/W</w:t>
      </w:r>
      <w:r>
        <w:rPr>
          <w:rFonts w:hint="eastAsia" w:asciiTheme="minorEastAsia" w:hAnsiTheme="minorEastAsia" w:eastAsiaTheme="minorEastAsia"/>
        </w:rPr>
        <w:t>，</w:t>
      </w:r>
      <w:r>
        <w:rPr>
          <w:rFonts w:asciiTheme="minorEastAsia" w:hAnsiTheme="minorEastAsia" w:eastAsiaTheme="minorEastAsia"/>
        </w:rPr>
        <w:t>IPLV</w:t>
      </w:r>
      <w:r>
        <w:rPr>
          <w:rFonts w:hint="eastAsia" w:asciiTheme="minorEastAsia" w:hAnsiTheme="minorEastAsia" w:eastAsiaTheme="minorEastAsia"/>
        </w:rPr>
        <w:t>≥</w:t>
      </w:r>
      <w:r>
        <w:rPr>
          <w:rFonts w:asciiTheme="minorEastAsia" w:hAnsiTheme="minorEastAsia" w:eastAsiaTheme="minorEastAsia"/>
        </w:rPr>
        <w:t xml:space="preserve"> </w:t>
      </w:r>
      <w:r>
        <w:rPr>
          <w:rFonts w:asciiTheme="minorEastAsia" w:hAnsiTheme="minorEastAsia" w:eastAsiaTheme="minorEastAsia"/>
          <w:u w:val="single"/>
        </w:rPr>
        <w:t xml:space="preserve">     </w:t>
      </w:r>
      <w:r>
        <w:rPr>
          <w:rFonts w:asciiTheme="minorEastAsia" w:hAnsiTheme="minorEastAsia" w:eastAsiaTheme="minorEastAsia"/>
        </w:rPr>
        <w:t>W/W</w:t>
      </w:r>
      <w:r>
        <w:rPr>
          <w:rFonts w:hint="eastAsia" w:asciiTheme="minorEastAsia" w:hAnsiTheme="minorEastAsia" w:eastAsiaTheme="minorEastAsia"/>
        </w:rPr>
        <w:t>；冷水机组制冷性能系数（COP）比现行国家标准《建筑节能与可再生能源利用通用规范》GB 55015提高</w:t>
      </w:r>
      <w:r>
        <w:rPr>
          <w:rFonts w:hint="eastAsia" w:asciiTheme="minorEastAsia" w:hAnsiTheme="minorEastAsia" w:eastAsiaTheme="minorEastAsia"/>
          <w:u w:val="single"/>
        </w:rPr>
        <w:t xml:space="preserve">    </w:t>
      </w:r>
      <w:r>
        <w:rPr>
          <w:rFonts w:hint="eastAsia" w:asciiTheme="minorEastAsia" w:hAnsiTheme="minorEastAsia" w:eastAsiaTheme="minorEastAsia"/>
        </w:rPr>
        <w:t>，且不低于《冷水机组能效限定值及能效等级》GB19577中</w:t>
      </w:r>
      <w:r>
        <w:rPr>
          <w:rFonts w:hint="eastAsia" w:asciiTheme="minorEastAsia" w:hAnsiTheme="minorEastAsia" w:eastAsiaTheme="minorEastAsia"/>
          <w:u w:val="single"/>
        </w:rPr>
        <w:t xml:space="preserve">    </w:t>
      </w:r>
      <w:r>
        <w:rPr>
          <w:rFonts w:hint="eastAsia" w:asciiTheme="minorEastAsia" w:hAnsiTheme="minorEastAsia" w:eastAsiaTheme="minorEastAsia"/>
        </w:rPr>
        <w:t>级能效的要求；设置机房群控系统，设备智能化管理,减少人工操作，便于及时维护及集中管理。</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热源选用</w:t>
      </w:r>
      <w:r>
        <w:rPr>
          <w:rFonts w:asciiTheme="minorEastAsia" w:hAnsiTheme="minorEastAsia" w:eastAsiaTheme="minorEastAsia"/>
          <w:u w:val="single"/>
        </w:rPr>
        <w:t xml:space="preserve">      </w:t>
      </w:r>
      <w:r>
        <w:rPr>
          <w:rFonts w:hint="eastAsia" w:asciiTheme="minorEastAsia" w:hAnsiTheme="minorEastAsia" w:eastAsiaTheme="minorEastAsia"/>
        </w:rPr>
        <w:t>台制热量为</w:t>
      </w:r>
      <w:r>
        <w:rPr>
          <w:rFonts w:asciiTheme="minorEastAsia" w:hAnsiTheme="minorEastAsia" w:eastAsiaTheme="minorEastAsia"/>
          <w:u w:val="single"/>
        </w:rPr>
        <w:t xml:space="preserve">    </w:t>
      </w:r>
      <w:r>
        <w:rPr>
          <w:rFonts w:asciiTheme="minorEastAsia" w:hAnsiTheme="minorEastAsia" w:eastAsiaTheme="minorEastAsia"/>
        </w:rPr>
        <w:t xml:space="preserve">  kW</w:t>
      </w:r>
      <w:r>
        <w:rPr>
          <w:rFonts w:hint="eastAsia" w:asciiTheme="minorEastAsia" w:hAnsiTheme="minorEastAsia" w:eastAsiaTheme="minorEastAsia"/>
        </w:rPr>
        <w:t>的□燃气□燃油，□真空□常压□承压热水锅炉。总装机供热容量与负荷比值为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锅炉□不采用 □采用</w:t>
      </w:r>
      <w:r>
        <w:rPr>
          <w:rFonts w:asciiTheme="minorEastAsia" w:hAnsiTheme="minorEastAsia" w:eastAsiaTheme="minorEastAsia"/>
        </w:rPr>
        <w:t>冷凝热回收装置或冷凝式炉型</w:t>
      </w:r>
      <w:r>
        <w:rPr>
          <w:rFonts w:hint="eastAsia" w:asciiTheme="minorEastAsia" w:hAnsiTheme="minorEastAsia" w:eastAsiaTheme="minorEastAsia"/>
        </w:rPr>
        <w:t>。锅炉烟气温度大约在</w:t>
      </w:r>
      <w:r>
        <w:rPr>
          <w:rFonts w:hint="eastAsia" w:asciiTheme="minorEastAsia" w:hAnsiTheme="minorEastAsia" w:eastAsiaTheme="minorEastAsia"/>
          <w:u w:val="single"/>
        </w:rPr>
        <w:t xml:space="preserve">       </w:t>
      </w:r>
      <w:r>
        <w:rPr>
          <w:rFonts w:hint="eastAsia" w:cs="宋体" w:asciiTheme="minorEastAsia" w:hAnsiTheme="minorEastAsia" w:eastAsiaTheme="minorEastAsia"/>
        </w:rPr>
        <w:t>℃</w:t>
      </w:r>
      <w:r>
        <w:rPr>
          <w:rFonts w:hint="eastAsia" w:asciiTheme="minorEastAsia" w:hAnsiTheme="minorEastAsia" w:eastAsiaTheme="minorEastAsia"/>
        </w:rPr>
        <w:t>。锅炉大气污染物排放浓度满足下表要求：</w:t>
      </w:r>
    </w:p>
    <w:tbl>
      <w:tblPr>
        <w:tblStyle w:val="44"/>
        <w:tblW w:w="2965" w:type="pct"/>
        <w:jc w:val="center"/>
        <w:tblLayout w:type="autofit"/>
        <w:tblCellMar>
          <w:top w:w="0" w:type="dxa"/>
          <w:left w:w="108" w:type="dxa"/>
          <w:bottom w:w="0" w:type="dxa"/>
          <w:right w:w="108" w:type="dxa"/>
        </w:tblCellMar>
      </w:tblPr>
      <w:tblGrid>
        <w:gridCol w:w="4575"/>
        <w:gridCol w:w="1755"/>
      </w:tblGrid>
      <w:tr>
        <w:tblPrEx>
          <w:tblCellMar>
            <w:top w:w="0" w:type="dxa"/>
            <w:left w:w="108" w:type="dxa"/>
            <w:bottom w:w="0" w:type="dxa"/>
            <w:right w:w="108" w:type="dxa"/>
          </w:tblCellMar>
        </w:tblPrEx>
        <w:trPr>
          <w:trHeight w:val="519" w:hRule="atLeast"/>
          <w:jc w:val="center"/>
        </w:trPr>
        <w:tc>
          <w:tcPr>
            <w:tcW w:w="3614"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污染物项目</w:t>
            </w:r>
          </w:p>
        </w:tc>
        <w:tc>
          <w:tcPr>
            <w:tcW w:w="1386" w:type="pct"/>
            <w:tcBorders>
              <w:top w:val="single" w:color="auto" w:sz="4" w:space="0"/>
              <w:left w:val="nil"/>
              <w:bottom w:val="single" w:color="auto" w:sz="4" w:space="0"/>
              <w:right w:val="single" w:color="auto" w:sz="4" w:space="0"/>
            </w:tcBorders>
            <w:shd w:val="clear" w:color="auto" w:fill="auto"/>
            <w:vAlign w:val="center"/>
          </w:tcPr>
          <w:p>
            <w:pPr>
              <w:pStyle w:val="89"/>
              <w:numPr>
                <w:ilvl w:val="0"/>
                <w:numId w:val="0"/>
              </w:numPr>
              <w:spacing w:line="400" w:lineRule="exact"/>
              <w:ind w:left="31"/>
              <w:jc w:val="center"/>
              <w:rPr>
                <w:rFonts w:asciiTheme="minorEastAsia" w:hAnsiTheme="minorEastAsia" w:eastAsiaTheme="minorEastAsia"/>
              </w:rPr>
            </w:pPr>
            <w:r>
              <w:rPr>
                <w:rFonts w:hint="eastAsia" w:asciiTheme="minorEastAsia" w:hAnsiTheme="minorEastAsia" w:eastAsiaTheme="minorEastAsia"/>
              </w:rPr>
              <w:t>限值</w:t>
            </w:r>
          </w:p>
        </w:tc>
      </w:tr>
      <w:tr>
        <w:tblPrEx>
          <w:tblCellMar>
            <w:top w:w="0" w:type="dxa"/>
            <w:left w:w="108" w:type="dxa"/>
            <w:bottom w:w="0" w:type="dxa"/>
            <w:right w:w="108" w:type="dxa"/>
          </w:tblCellMar>
        </w:tblPrEx>
        <w:trPr>
          <w:trHeight w:val="270" w:hRule="atLeast"/>
          <w:jc w:val="center"/>
        </w:trPr>
        <w:tc>
          <w:tcPr>
            <w:tcW w:w="3614" w:type="pct"/>
            <w:tcBorders>
              <w:top w:val="single" w:color="auto" w:sz="4" w:space="0"/>
              <w:left w:val="single" w:color="auto" w:sz="4" w:space="0"/>
              <w:bottom w:val="single" w:color="auto" w:sz="4" w:space="0"/>
              <w:right w:val="single" w:color="auto" w:sz="4" w:space="0"/>
            </w:tcBorders>
            <w:shd w:val="clear" w:color="auto" w:fill="auto"/>
            <w:noWrap/>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颗粒物（mg/m³）</w:t>
            </w:r>
          </w:p>
        </w:tc>
        <w:tc>
          <w:tcPr>
            <w:tcW w:w="1386" w:type="pct"/>
            <w:tcBorders>
              <w:top w:val="single" w:color="auto" w:sz="4" w:space="0"/>
              <w:left w:val="nil"/>
              <w:bottom w:val="single" w:color="auto" w:sz="4" w:space="0"/>
              <w:right w:val="single" w:color="auto" w:sz="4" w:space="0"/>
            </w:tcBorders>
            <w:vAlign w:val="center"/>
          </w:tcPr>
          <w:p>
            <w:pPr>
              <w:pStyle w:val="89"/>
              <w:numPr>
                <w:ilvl w:val="0"/>
                <w:numId w:val="0"/>
              </w:numPr>
              <w:spacing w:line="400" w:lineRule="exact"/>
              <w:ind w:left="31"/>
              <w:jc w:val="center"/>
              <w:rPr>
                <w:rFonts w:asciiTheme="minorEastAsia" w:hAnsiTheme="minorEastAsia" w:eastAsiaTheme="minorEastAsia"/>
              </w:rPr>
            </w:pPr>
            <w:r>
              <w:rPr>
                <w:rFonts w:hint="eastAsia" w:asciiTheme="minorEastAsia" w:hAnsiTheme="minorEastAsia" w:eastAsiaTheme="minorEastAsia"/>
              </w:rPr>
              <w:t>5</w:t>
            </w:r>
          </w:p>
        </w:tc>
      </w:tr>
      <w:tr>
        <w:tblPrEx>
          <w:tblCellMar>
            <w:top w:w="0" w:type="dxa"/>
            <w:left w:w="108" w:type="dxa"/>
            <w:bottom w:w="0" w:type="dxa"/>
            <w:right w:w="108" w:type="dxa"/>
          </w:tblCellMar>
        </w:tblPrEx>
        <w:trPr>
          <w:trHeight w:val="270" w:hRule="atLeast"/>
          <w:jc w:val="center"/>
        </w:trPr>
        <w:tc>
          <w:tcPr>
            <w:tcW w:w="3614" w:type="pct"/>
            <w:tcBorders>
              <w:top w:val="nil"/>
              <w:left w:val="single" w:color="auto" w:sz="4" w:space="0"/>
              <w:bottom w:val="single" w:color="auto" w:sz="4" w:space="0"/>
              <w:right w:val="single" w:color="auto" w:sz="4" w:space="0"/>
            </w:tcBorders>
            <w:shd w:val="clear" w:color="auto" w:fill="auto"/>
            <w:noWrap/>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二氧化硫（mg/m³）</w:t>
            </w:r>
          </w:p>
        </w:tc>
        <w:tc>
          <w:tcPr>
            <w:tcW w:w="1386" w:type="pct"/>
            <w:tcBorders>
              <w:top w:val="nil"/>
              <w:left w:val="nil"/>
              <w:bottom w:val="single" w:color="auto" w:sz="4" w:space="0"/>
              <w:right w:val="single" w:color="auto" w:sz="4" w:space="0"/>
            </w:tcBorders>
            <w:vAlign w:val="center"/>
          </w:tcPr>
          <w:p>
            <w:pPr>
              <w:pStyle w:val="89"/>
              <w:numPr>
                <w:ilvl w:val="0"/>
                <w:numId w:val="0"/>
              </w:numPr>
              <w:spacing w:line="400" w:lineRule="exact"/>
              <w:ind w:left="31"/>
              <w:jc w:val="center"/>
              <w:rPr>
                <w:rFonts w:asciiTheme="minorEastAsia" w:hAnsiTheme="minorEastAsia" w:eastAsiaTheme="minorEastAsia"/>
              </w:rPr>
            </w:pPr>
            <w:r>
              <w:rPr>
                <w:rFonts w:hint="eastAsia" w:asciiTheme="minorEastAsia" w:hAnsiTheme="minorEastAsia" w:eastAsiaTheme="minorEastAsia"/>
              </w:rPr>
              <w:t>10</w:t>
            </w:r>
          </w:p>
        </w:tc>
      </w:tr>
      <w:tr>
        <w:tblPrEx>
          <w:tblCellMar>
            <w:top w:w="0" w:type="dxa"/>
            <w:left w:w="108" w:type="dxa"/>
            <w:bottom w:w="0" w:type="dxa"/>
            <w:right w:w="108" w:type="dxa"/>
          </w:tblCellMar>
        </w:tblPrEx>
        <w:trPr>
          <w:trHeight w:val="270" w:hRule="atLeast"/>
          <w:jc w:val="center"/>
        </w:trPr>
        <w:tc>
          <w:tcPr>
            <w:tcW w:w="3614" w:type="pct"/>
            <w:tcBorders>
              <w:top w:val="nil"/>
              <w:left w:val="single" w:color="auto" w:sz="4" w:space="0"/>
              <w:bottom w:val="single" w:color="auto" w:sz="4" w:space="0"/>
              <w:right w:val="single" w:color="auto" w:sz="4" w:space="0"/>
            </w:tcBorders>
            <w:shd w:val="clear" w:color="auto" w:fill="auto"/>
            <w:noWrap/>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氮氧化物（mg/m³）</w:t>
            </w:r>
          </w:p>
        </w:tc>
        <w:tc>
          <w:tcPr>
            <w:tcW w:w="1386" w:type="pct"/>
            <w:tcBorders>
              <w:top w:val="nil"/>
              <w:left w:val="nil"/>
              <w:bottom w:val="single" w:color="auto" w:sz="4" w:space="0"/>
              <w:right w:val="single" w:color="auto" w:sz="4" w:space="0"/>
            </w:tcBorders>
            <w:vAlign w:val="center"/>
          </w:tcPr>
          <w:p>
            <w:pPr>
              <w:pStyle w:val="89"/>
              <w:numPr>
                <w:ilvl w:val="0"/>
                <w:numId w:val="0"/>
              </w:numPr>
              <w:spacing w:line="400" w:lineRule="exact"/>
              <w:ind w:left="31"/>
              <w:jc w:val="center"/>
              <w:rPr>
                <w:rFonts w:asciiTheme="minorEastAsia" w:hAnsiTheme="minorEastAsia" w:eastAsiaTheme="minorEastAsia"/>
              </w:rPr>
            </w:pPr>
            <w:r>
              <w:rPr>
                <w:rFonts w:hint="eastAsia" w:asciiTheme="minorEastAsia" w:hAnsiTheme="minorEastAsia" w:eastAsiaTheme="minorEastAsia"/>
              </w:rPr>
              <w:t>30</w:t>
            </w:r>
          </w:p>
        </w:tc>
      </w:tr>
      <w:tr>
        <w:tblPrEx>
          <w:tblCellMar>
            <w:top w:w="0" w:type="dxa"/>
            <w:left w:w="108" w:type="dxa"/>
            <w:bottom w:w="0" w:type="dxa"/>
            <w:right w:w="108" w:type="dxa"/>
          </w:tblCellMar>
        </w:tblPrEx>
        <w:trPr>
          <w:trHeight w:val="270" w:hRule="atLeast"/>
          <w:jc w:val="center"/>
        </w:trPr>
        <w:tc>
          <w:tcPr>
            <w:tcW w:w="3614" w:type="pct"/>
            <w:tcBorders>
              <w:top w:val="nil"/>
              <w:left w:val="single" w:color="auto" w:sz="4" w:space="0"/>
              <w:bottom w:val="single" w:color="auto" w:sz="4" w:space="0"/>
              <w:right w:val="single" w:color="auto" w:sz="4" w:space="0"/>
            </w:tcBorders>
            <w:shd w:val="clear" w:color="auto" w:fill="auto"/>
            <w:noWrap/>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汞及其化合物（μg/m³）</w:t>
            </w:r>
          </w:p>
        </w:tc>
        <w:tc>
          <w:tcPr>
            <w:tcW w:w="1386" w:type="pct"/>
            <w:tcBorders>
              <w:top w:val="nil"/>
              <w:left w:val="nil"/>
              <w:bottom w:val="single" w:color="auto" w:sz="4" w:space="0"/>
              <w:right w:val="single" w:color="auto" w:sz="4" w:space="0"/>
            </w:tcBorders>
            <w:vAlign w:val="center"/>
          </w:tcPr>
          <w:p>
            <w:pPr>
              <w:pStyle w:val="89"/>
              <w:numPr>
                <w:ilvl w:val="0"/>
                <w:numId w:val="0"/>
              </w:numPr>
              <w:spacing w:line="400" w:lineRule="exact"/>
              <w:ind w:left="31"/>
              <w:jc w:val="center"/>
              <w:rPr>
                <w:rFonts w:asciiTheme="minorEastAsia" w:hAnsiTheme="minorEastAsia" w:eastAsiaTheme="minorEastAsia"/>
              </w:rPr>
            </w:pPr>
            <w:r>
              <w:rPr>
                <w:rFonts w:hint="eastAsia" w:asciiTheme="minorEastAsia" w:hAnsiTheme="minorEastAsia" w:eastAsiaTheme="minorEastAsia"/>
              </w:rPr>
              <w:t>0.5</w:t>
            </w:r>
          </w:p>
        </w:tc>
      </w:tr>
      <w:tr>
        <w:tblPrEx>
          <w:tblCellMar>
            <w:top w:w="0" w:type="dxa"/>
            <w:left w:w="108" w:type="dxa"/>
            <w:bottom w:w="0" w:type="dxa"/>
            <w:right w:w="108" w:type="dxa"/>
          </w:tblCellMar>
        </w:tblPrEx>
        <w:trPr>
          <w:trHeight w:val="270" w:hRule="atLeast"/>
          <w:jc w:val="center"/>
        </w:trPr>
        <w:tc>
          <w:tcPr>
            <w:tcW w:w="3614" w:type="pct"/>
            <w:tcBorders>
              <w:top w:val="nil"/>
              <w:left w:val="single" w:color="auto" w:sz="4" w:space="0"/>
              <w:bottom w:val="single" w:color="auto" w:sz="4" w:space="0"/>
              <w:right w:val="single" w:color="auto" w:sz="4" w:space="0"/>
            </w:tcBorders>
            <w:shd w:val="clear" w:color="auto" w:fill="auto"/>
            <w:noWrap/>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烟气黑毒（林格曼黑度，级）</w:t>
            </w:r>
          </w:p>
        </w:tc>
        <w:tc>
          <w:tcPr>
            <w:tcW w:w="1386" w:type="pct"/>
            <w:tcBorders>
              <w:top w:val="single" w:color="auto" w:sz="4" w:space="0"/>
              <w:left w:val="nil"/>
              <w:bottom w:val="single" w:color="auto" w:sz="4" w:space="0"/>
              <w:right w:val="single" w:color="auto" w:sz="4" w:space="0"/>
            </w:tcBorders>
            <w:shd w:val="clear" w:color="auto" w:fill="auto"/>
            <w:vAlign w:val="center"/>
          </w:tcPr>
          <w:p>
            <w:pPr>
              <w:pStyle w:val="89"/>
              <w:numPr>
                <w:ilvl w:val="0"/>
                <w:numId w:val="0"/>
              </w:numPr>
              <w:spacing w:line="400" w:lineRule="exact"/>
              <w:ind w:left="31"/>
              <w:jc w:val="center"/>
              <w:rPr>
                <w:rFonts w:asciiTheme="minorEastAsia" w:hAnsiTheme="minorEastAsia" w:eastAsiaTheme="minorEastAsia"/>
              </w:rPr>
            </w:pPr>
            <w:r>
              <w:rPr>
                <w:rFonts w:hint="eastAsia" w:asciiTheme="minorEastAsia" w:hAnsiTheme="minorEastAsia" w:eastAsiaTheme="minorEastAsia"/>
              </w:rPr>
              <w:t>1</w:t>
            </w:r>
          </w:p>
        </w:tc>
      </w:tr>
    </w:tbl>
    <w:p>
      <w:pPr>
        <w:pStyle w:val="89"/>
        <w:spacing w:line="400" w:lineRule="exact"/>
      </w:pPr>
      <w:r>
        <w:rPr>
          <w:rFonts w:hint="eastAsia"/>
        </w:rPr>
        <w:t>空调热源所用的锅炉效率≥</w:t>
      </w:r>
      <w:r>
        <w:rPr>
          <w:rFonts w:hint="eastAsia"/>
          <w:u w:val="single"/>
        </w:rPr>
        <w:t xml:space="preserve">     </w:t>
      </w:r>
      <w:r>
        <w:t>％</w:t>
      </w:r>
      <w:r>
        <w:rPr>
          <w:rFonts w:hint="eastAsia"/>
        </w:rPr>
        <w:t>。锅炉热效率比现行国家标准《公共建筑节能设计标准》GB</w:t>
      </w:r>
      <w:r>
        <w:t xml:space="preserve"> </w:t>
      </w:r>
      <w:r>
        <w:rPr>
          <w:rFonts w:hint="eastAsia"/>
        </w:rPr>
        <w:t>50189提高</w:t>
      </w:r>
      <w:r>
        <w:rPr>
          <w:rFonts w:hint="eastAsia"/>
          <w:u w:val="single"/>
        </w:rPr>
        <w:t xml:space="preserve">    </w:t>
      </w:r>
      <w:r>
        <w:rPr>
          <w:rFonts w:hint="eastAsia"/>
        </w:rPr>
        <w:t>；锅炉</w:t>
      </w:r>
      <w:r>
        <w:rPr>
          <w:rFonts w:hint="eastAsia" w:asciiTheme="minorEastAsia" w:hAnsiTheme="minorEastAsia" w:eastAsiaTheme="minorEastAsia"/>
        </w:rPr>
        <w:t xml:space="preserve">□不配置 </w:t>
      </w:r>
      <w:r>
        <w:rPr>
          <w:rFonts w:hint="eastAsia"/>
        </w:rPr>
        <w:t>□</w:t>
      </w:r>
      <w:r>
        <w:t>配置比例调节燃烧的炉型</w:t>
      </w:r>
      <w:r>
        <w:rPr>
          <w:rFonts w:hint="eastAsia"/>
        </w:rPr>
        <w:t>。</w:t>
      </w:r>
    </w:p>
    <w:p>
      <w:pPr>
        <w:pStyle w:val="88"/>
        <w:spacing w:before="156" w:beforeLines="50"/>
      </w:pPr>
      <w:r>
        <w:rPr>
          <w:rFonts w:hint="eastAsia"/>
          <w:kern w:val="24"/>
        </w:rPr>
        <w:t>本项目：</w:t>
      </w:r>
      <w:r>
        <w:rPr>
          <w:rFonts w:hint="eastAsia"/>
        </w:rPr>
        <w:t>□未采用风冷热泵机组；□</w:t>
      </w:r>
      <w:r>
        <w:rPr>
          <w:rFonts w:hint="eastAsia"/>
          <w:u w:val="single"/>
        </w:rPr>
        <w:t xml:space="preserve">       </w:t>
      </w:r>
      <w:r>
        <w:rPr>
          <w:rFonts w:hint="eastAsia"/>
        </w:rPr>
        <w:t>区域采用风冷热泵机组。</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选用</w:t>
      </w:r>
      <w:r>
        <w:rPr>
          <w:rFonts w:hint="eastAsia" w:asciiTheme="minorEastAsia" w:hAnsiTheme="minorEastAsia" w:eastAsiaTheme="minorEastAsia"/>
          <w:u w:val="single"/>
        </w:rPr>
        <w:t xml:space="preserve">       </w:t>
      </w:r>
      <w:r>
        <w:rPr>
          <w:rFonts w:hint="eastAsia" w:asciiTheme="minorEastAsia" w:hAnsiTheme="minorEastAsia" w:eastAsiaTheme="minorEastAsia"/>
        </w:rPr>
        <w:t>台制冷量为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kW、制热量为</w:t>
      </w:r>
      <w:r>
        <w:rPr>
          <w:rFonts w:hint="eastAsia" w:asciiTheme="minorEastAsia" w:hAnsiTheme="minorEastAsia" w:eastAsiaTheme="minorEastAsia"/>
          <w:u w:val="single"/>
        </w:rPr>
        <w:t xml:space="preserve">      </w:t>
      </w:r>
      <w:r>
        <w:rPr>
          <w:rFonts w:hint="eastAsia" w:asciiTheme="minorEastAsia" w:hAnsiTheme="minorEastAsia" w:eastAsiaTheme="minorEastAsia"/>
        </w:rPr>
        <w:t>kW的 □涡旋式 □螺杆式 风冷热泵机组。总装机制冷容量与负荷比值为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风冷热泵机组冷媒采用</w:t>
      </w:r>
      <w:r>
        <w:rPr>
          <w:rFonts w:hint="eastAsia" w:asciiTheme="minorEastAsia" w:hAnsiTheme="minorEastAsia" w:eastAsiaTheme="minorEastAsia"/>
          <w:u w:val="single"/>
        </w:rPr>
        <w:t xml:space="preserve">     </w:t>
      </w:r>
      <w:r>
        <w:rPr>
          <w:rFonts w:hint="eastAsia" w:asciiTheme="minorEastAsia" w:hAnsiTheme="minorEastAsia" w:eastAsiaTheme="minorEastAsia"/>
        </w:rPr>
        <w:t>环保冷媒。□涡旋式 □螺杆式 风冷热泵机组额定工况</w:t>
      </w:r>
      <w:r>
        <w:rPr>
          <w:rFonts w:asciiTheme="minorEastAsia" w:hAnsiTheme="minorEastAsia" w:eastAsiaTheme="minorEastAsia"/>
        </w:rPr>
        <w:t>COP</w:t>
      </w:r>
      <w:r>
        <w:rPr>
          <w:rFonts w:hint="eastAsia" w:asciiTheme="minorEastAsia" w:hAnsiTheme="minorEastAsia" w:eastAsiaTheme="minorEastAsia"/>
        </w:rPr>
        <w:t>≥</w:t>
      </w:r>
      <w:r>
        <w:rPr>
          <w:rFonts w:asciiTheme="minorEastAsia" w:hAnsiTheme="minorEastAsia" w:eastAsiaTheme="minorEastAsia"/>
          <w:u w:val="single"/>
        </w:rPr>
        <w:t xml:space="preserve">      </w:t>
      </w:r>
      <w:r>
        <w:rPr>
          <w:rFonts w:asciiTheme="minorEastAsia" w:hAnsiTheme="minorEastAsia" w:eastAsiaTheme="minorEastAsia"/>
        </w:rPr>
        <w:t xml:space="preserve"> W/W</w:t>
      </w:r>
      <w:r>
        <w:rPr>
          <w:rFonts w:hint="eastAsia" w:asciiTheme="minorEastAsia" w:hAnsiTheme="minorEastAsia" w:eastAsiaTheme="minorEastAsia"/>
        </w:rPr>
        <w:t>，</w:t>
      </w:r>
      <w:r>
        <w:rPr>
          <w:rFonts w:asciiTheme="minorEastAsia" w:hAnsiTheme="minorEastAsia" w:eastAsiaTheme="minorEastAsia"/>
        </w:rPr>
        <w:t>IPLV</w:t>
      </w:r>
      <w:r>
        <w:rPr>
          <w:rFonts w:hint="eastAsia" w:asciiTheme="minorEastAsia" w:hAnsiTheme="minorEastAsia" w:eastAsiaTheme="minorEastAsia"/>
        </w:rPr>
        <w:t>≥</w:t>
      </w:r>
      <w:r>
        <w:rPr>
          <w:rFonts w:asciiTheme="minorEastAsia" w:hAnsiTheme="minorEastAsia" w:eastAsiaTheme="minorEastAsia"/>
          <w:u w:val="single"/>
        </w:rPr>
        <w:t xml:space="preserve">      </w:t>
      </w:r>
      <w:r>
        <w:rPr>
          <w:rFonts w:asciiTheme="minorEastAsia" w:hAnsiTheme="minorEastAsia" w:eastAsiaTheme="minorEastAsia"/>
        </w:rPr>
        <w:t xml:space="preserve"> W/W</w:t>
      </w:r>
      <w:r>
        <w:rPr>
          <w:rFonts w:hint="eastAsia" w:asciiTheme="minorEastAsia" w:hAnsiTheme="minorEastAsia" w:eastAsiaTheme="minorEastAsia"/>
        </w:rPr>
        <w:t>；风冷热泵机组制冷性能系数（COP）比现行国家标准《建筑节能与可再生能源利用通用规范》GB 55015提高</w:t>
      </w:r>
      <w:r>
        <w:rPr>
          <w:rFonts w:hint="eastAsia" w:asciiTheme="minorEastAsia" w:hAnsiTheme="minorEastAsia" w:eastAsiaTheme="minorEastAsia"/>
          <w:u w:val="single"/>
        </w:rPr>
        <w:t xml:space="preserve">    </w:t>
      </w:r>
      <w:r>
        <w:rPr>
          <w:rFonts w:hint="eastAsia" w:asciiTheme="minorEastAsia" w:hAnsiTheme="minorEastAsia" w:eastAsiaTheme="minorEastAsia"/>
        </w:rPr>
        <w:t>，且不低于《冷水机组能效限定值及能效等级》GB19577中</w:t>
      </w:r>
      <w:r>
        <w:rPr>
          <w:rFonts w:hint="eastAsia" w:asciiTheme="minorEastAsia" w:hAnsiTheme="minorEastAsia" w:eastAsiaTheme="minorEastAsia"/>
          <w:u w:val="single"/>
        </w:rPr>
        <w:t xml:space="preserve">    </w:t>
      </w:r>
      <w:r>
        <w:rPr>
          <w:rFonts w:hint="eastAsia" w:asciiTheme="minorEastAsia" w:hAnsiTheme="minorEastAsia" w:eastAsiaTheme="minorEastAsia"/>
        </w:rPr>
        <w:t>级能效的要求。</w:t>
      </w:r>
    </w:p>
    <w:p>
      <w:pPr>
        <w:pStyle w:val="88"/>
        <w:spacing w:before="156" w:beforeLines="50"/>
        <w:rPr>
          <w:rFonts w:asciiTheme="minorEastAsia" w:hAnsiTheme="minorEastAsia" w:eastAsiaTheme="minorEastAsia"/>
        </w:rPr>
      </w:pPr>
      <w:r>
        <w:rPr>
          <w:rFonts w:hint="eastAsia" w:asciiTheme="minorEastAsia" w:hAnsiTheme="minorEastAsia" w:eastAsiaTheme="minorEastAsia"/>
          <w:kern w:val="24"/>
        </w:rPr>
        <w:t>本项目：</w:t>
      </w:r>
      <w:r>
        <w:rPr>
          <w:rFonts w:hint="eastAsia" w:asciiTheme="minorEastAsia" w:hAnsiTheme="minorEastAsia" w:eastAsiaTheme="minorEastAsia"/>
        </w:rPr>
        <w:t>□未采用水（地）源热泵机组；□</w:t>
      </w:r>
      <w:r>
        <w:rPr>
          <w:rFonts w:hint="eastAsia" w:asciiTheme="minorEastAsia" w:hAnsiTheme="minorEastAsia" w:eastAsiaTheme="minorEastAsia"/>
          <w:u w:val="single"/>
        </w:rPr>
        <w:t xml:space="preserve">       </w:t>
      </w:r>
      <w:r>
        <w:rPr>
          <w:rFonts w:hint="eastAsia" w:asciiTheme="minorEastAsia" w:hAnsiTheme="minorEastAsia" w:eastAsiaTheme="minorEastAsia"/>
        </w:rPr>
        <w:t>区域采用水（地）源热泵机组。</w:t>
      </w:r>
    </w:p>
    <w:p>
      <w:pPr>
        <w:pStyle w:val="89"/>
        <w:spacing w:line="400" w:lineRule="exact"/>
      </w:pPr>
      <w:r>
        <w:rPr>
          <w:rFonts w:hint="eastAsia"/>
        </w:rPr>
        <w:t>选用</w:t>
      </w:r>
      <w:r>
        <w:rPr>
          <w:u w:val="single"/>
        </w:rPr>
        <w:t xml:space="preserve">    </w:t>
      </w:r>
      <w:r>
        <w:rPr>
          <w:rFonts w:hint="eastAsia"/>
        </w:rPr>
        <w:t>台制冷量为</w:t>
      </w:r>
      <w:r>
        <w:rPr>
          <w:u w:val="single"/>
        </w:rPr>
        <w:t xml:space="preserve">      </w:t>
      </w:r>
      <w:r>
        <w:t>kW</w:t>
      </w:r>
      <w:r>
        <w:rPr>
          <w:rFonts w:hint="eastAsia"/>
        </w:rPr>
        <w:t>、制热量为</w:t>
      </w:r>
      <w:r>
        <w:rPr>
          <w:u w:val="single"/>
        </w:rPr>
        <w:t xml:space="preserve">   </w:t>
      </w:r>
      <w:r>
        <w:rPr>
          <w:rFonts w:hint="eastAsia"/>
          <w:u w:val="single"/>
        </w:rPr>
        <w:t xml:space="preserve">  </w:t>
      </w:r>
      <w:r>
        <w:t>kW</w:t>
      </w:r>
      <w:r>
        <w:rPr>
          <w:rFonts w:hint="eastAsia"/>
        </w:rPr>
        <w:t>的离心式水（地）源热泵机组与</w:t>
      </w:r>
      <w:r>
        <w:rPr>
          <w:u w:val="single"/>
        </w:rPr>
        <w:t xml:space="preserve">   </w:t>
      </w:r>
      <w:r>
        <w:rPr>
          <w:rFonts w:hint="eastAsia"/>
        </w:rPr>
        <w:t>台制冷量为</w:t>
      </w:r>
      <w:r>
        <w:rPr>
          <w:rFonts w:hint="eastAsia"/>
          <w:u w:val="single"/>
        </w:rPr>
        <w:t xml:space="preserve">      </w:t>
      </w:r>
      <w:r>
        <w:rPr>
          <w:rFonts w:hint="eastAsia"/>
        </w:rPr>
        <w:t>kW、制热量为</w:t>
      </w:r>
      <w:r>
        <w:rPr>
          <w:rFonts w:hint="eastAsia"/>
          <w:u w:val="single"/>
        </w:rPr>
        <w:t xml:space="preserve">     </w:t>
      </w:r>
      <w:r>
        <w:rPr>
          <w:rFonts w:hint="eastAsia"/>
        </w:rPr>
        <w:t>kW的螺杆式水（地）源热泵机组。总装机制冷容量与负荷比值为</w:t>
      </w:r>
      <w:r>
        <w:rPr>
          <w:rFonts w:hint="eastAsia"/>
          <w:u w:val="single"/>
        </w:rPr>
        <w:t xml:space="preserve">      ％。</w:t>
      </w:r>
      <w:r>
        <w:rPr>
          <w:rFonts w:hint="eastAsia" w:asciiTheme="minorEastAsia" w:hAnsiTheme="minorEastAsia" w:eastAsiaTheme="minorEastAsia"/>
          <w:u w:val="single"/>
        </w:rPr>
        <w:t xml:space="preserve">□不设置 </w:t>
      </w:r>
      <w:r>
        <w:rPr>
          <w:rFonts w:hint="eastAsia"/>
          <w:u w:val="single"/>
        </w:rPr>
        <w:t>□设置</w:t>
      </w:r>
      <w:r>
        <w:rPr>
          <w:rFonts w:hint="eastAsia"/>
        </w:rPr>
        <w:t>闭式冷却塔全冷负荷备用，保持热泵系统全年总释热量和吸热量相平衡的错时调峰使用。</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地埋管地源热泵系统勘察报告的测试结果，岩土初始温度</w:t>
      </w:r>
      <w:r>
        <w:rPr>
          <w:rFonts w:hint="eastAsia" w:asciiTheme="minorEastAsia" w:hAnsiTheme="minorEastAsia" w:eastAsiaTheme="minorEastAsia"/>
          <w:u w:val="single"/>
        </w:rPr>
        <w:t xml:space="preserve">   °</w:t>
      </w:r>
      <w:r>
        <w:rPr>
          <w:rFonts w:hint="eastAsia" w:asciiTheme="minorEastAsia" w:hAnsiTheme="minorEastAsia" w:eastAsiaTheme="minorEastAsia"/>
        </w:rPr>
        <w:t>C；地埋管埋深</w:t>
      </w:r>
      <w:r>
        <w:rPr>
          <w:rFonts w:hint="eastAsia" w:asciiTheme="minorEastAsia" w:hAnsiTheme="minorEastAsia" w:eastAsiaTheme="minorEastAsia"/>
          <w:u w:val="single"/>
        </w:rPr>
        <w:t xml:space="preserve">    </w:t>
      </w:r>
      <w:r>
        <w:rPr>
          <w:rFonts w:hint="eastAsia" w:asciiTheme="minorEastAsia" w:hAnsiTheme="minorEastAsia" w:eastAsiaTheme="minorEastAsia"/>
        </w:rPr>
        <w:t>m，采用</w:t>
      </w:r>
      <w:r>
        <w:rPr>
          <w:rFonts w:hint="eastAsia" w:asciiTheme="minorEastAsia" w:hAnsiTheme="minorEastAsia" w:eastAsiaTheme="minorEastAsia"/>
          <w:u w:val="single"/>
        </w:rPr>
        <w:t xml:space="preserve">     </w:t>
      </w:r>
      <w:r>
        <w:rPr>
          <w:rFonts w:hint="eastAsia" w:asciiTheme="minorEastAsia" w:hAnsiTheme="minorEastAsia" w:eastAsiaTheme="minorEastAsia"/>
        </w:rPr>
        <w:t>埋管，运行</w:t>
      </w:r>
      <w:r>
        <w:rPr>
          <w:rFonts w:hint="eastAsia" w:asciiTheme="minorEastAsia" w:hAnsiTheme="minorEastAsia" w:eastAsiaTheme="minorEastAsia"/>
          <w:u w:val="single"/>
        </w:rPr>
        <w:t xml:space="preserve">   </w:t>
      </w:r>
      <w:r>
        <w:rPr>
          <w:rFonts w:hint="eastAsia" w:asciiTheme="minorEastAsia" w:hAnsiTheme="minorEastAsia" w:eastAsiaTheme="minorEastAsia"/>
        </w:rPr>
        <w:t>小时。夏季排热工况：单位延米井深换热量取</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W/m；冬季吸热工况：单位延米井深换热量取 </w:t>
      </w:r>
      <w:r>
        <w:rPr>
          <w:rFonts w:hint="eastAsia" w:asciiTheme="minorEastAsia" w:hAnsiTheme="minorEastAsia" w:eastAsiaTheme="minorEastAsia"/>
          <w:u w:val="single"/>
        </w:rPr>
        <w:t xml:space="preserve">    </w:t>
      </w:r>
      <w:r>
        <w:rPr>
          <w:rFonts w:hint="eastAsia" w:asciiTheme="minorEastAsia" w:hAnsiTheme="minorEastAsia" w:eastAsiaTheme="minorEastAsia"/>
        </w:rPr>
        <w:t>W/m。考虑到热响应试验的试验工况和埋管数量理论计算数据， 埋管数量预留一定的富裕容量，富裕系数取值为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%。本次设计共设置地下换热器数量为 </w:t>
      </w:r>
      <w:r>
        <w:rPr>
          <w:rFonts w:hint="eastAsia" w:asciiTheme="minorEastAsia" w:hAnsiTheme="minorEastAsia" w:eastAsiaTheme="minorEastAsia"/>
          <w:u w:val="single"/>
        </w:rPr>
        <w:t xml:space="preserve">   </w:t>
      </w:r>
      <w:r>
        <w:rPr>
          <w:rFonts w:hint="eastAsia" w:asciiTheme="minorEastAsia" w:hAnsiTheme="minorEastAsia" w:eastAsiaTheme="minorEastAsia"/>
        </w:rPr>
        <w:t>个，孔间距</w:t>
      </w:r>
      <w:r>
        <w:rPr>
          <w:rFonts w:hint="eastAsia" w:asciiTheme="minorEastAsia" w:hAnsiTheme="minorEastAsia" w:eastAsiaTheme="minorEastAsia"/>
          <w:u w:val="single"/>
        </w:rPr>
        <w:t xml:space="preserve">    </w:t>
      </w:r>
      <w:r>
        <w:rPr>
          <w:rFonts w:hint="eastAsia" w:asciiTheme="minorEastAsia" w:hAnsiTheme="minorEastAsia" w:eastAsiaTheme="minorEastAsia"/>
        </w:rPr>
        <w:t>m，孔径</w:t>
      </w:r>
      <w:r>
        <w:rPr>
          <w:rFonts w:hint="eastAsia" w:asciiTheme="minorEastAsia" w:hAnsiTheme="minorEastAsia" w:eastAsiaTheme="minorEastAsia"/>
          <w:u w:val="single"/>
        </w:rPr>
        <w:t xml:space="preserve">    </w:t>
      </w:r>
      <w:r>
        <w:rPr>
          <w:rFonts w:hint="eastAsia" w:asciiTheme="minorEastAsia" w:hAnsiTheme="minorEastAsia" w:eastAsiaTheme="minorEastAsia"/>
        </w:rPr>
        <w:t>mm，孔深</w:t>
      </w:r>
      <w:r>
        <w:rPr>
          <w:rFonts w:hint="eastAsia" w:asciiTheme="minorEastAsia" w:hAnsiTheme="minorEastAsia" w:eastAsiaTheme="minorEastAsia"/>
          <w:u w:val="single"/>
        </w:rPr>
        <w:t xml:space="preserve">    </w:t>
      </w:r>
      <w:r>
        <w:rPr>
          <w:rFonts w:hint="eastAsia" w:asciiTheme="minorEastAsia" w:hAnsiTheme="minorEastAsia" w:eastAsiaTheme="minorEastAsia"/>
        </w:rPr>
        <w:t xml:space="preserve">m，地下埋管有效长度为 </w:t>
      </w:r>
      <w:r>
        <w:rPr>
          <w:rFonts w:hint="eastAsia" w:asciiTheme="minorEastAsia" w:hAnsiTheme="minorEastAsia" w:eastAsiaTheme="minorEastAsia"/>
          <w:u w:val="single"/>
        </w:rPr>
        <w:t xml:space="preserve">   </w:t>
      </w:r>
      <w:r>
        <w:rPr>
          <w:rFonts w:hint="eastAsia" w:asciiTheme="minorEastAsia" w:hAnsiTheme="minorEastAsia" w:eastAsiaTheme="minorEastAsia"/>
        </w:rPr>
        <w:t>m。</w:t>
      </w:r>
    </w:p>
    <w:p>
      <w:pPr>
        <w:pStyle w:val="89"/>
      </w:pPr>
      <w:r>
        <w:rPr>
          <w:rFonts w:hint="eastAsia"/>
        </w:rPr>
        <w:t>水（地）源热泵机组冷媒采用</w:t>
      </w:r>
      <w:r>
        <w:rPr>
          <w:rFonts w:hint="eastAsia"/>
          <w:u w:val="single"/>
        </w:rPr>
        <w:t xml:space="preserve">     </w:t>
      </w:r>
      <w:r>
        <w:rPr>
          <w:rFonts w:hint="eastAsia"/>
        </w:rPr>
        <w:t>环保冷媒。离心式水（地）源热泵机组</w:t>
      </w:r>
      <w:r>
        <w:rPr>
          <w:rFonts w:hint="eastAsia"/>
          <w:u w:val="single"/>
        </w:rPr>
        <w:t>□定频 □变频</w:t>
      </w:r>
      <w:r>
        <w:rPr>
          <w:rFonts w:hint="eastAsia"/>
        </w:rPr>
        <w:t>，额定工况</w:t>
      </w:r>
      <w:r>
        <w:t>COP</w:t>
      </w:r>
      <w:r>
        <w:rPr>
          <w:rFonts w:hint="eastAsia"/>
        </w:rPr>
        <w:t>≥</w:t>
      </w:r>
      <w:r>
        <w:rPr>
          <w:u w:val="single"/>
        </w:rPr>
        <w:t xml:space="preserve">       </w:t>
      </w:r>
      <w:r>
        <w:t>W/W</w:t>
      </w:r>
      <w:r>
        <w:rPr>
          <w:rFonts w:hint="eastAsia"/>
        </w:rPr>
        <w:t>，</w:t>
      </w:r>
      <w:r>
        <w:t>IPLV</w:t>
      </w:r>
      <w:r>
        <w:rPr>
          <w:rFonts w:hint="eastAsia"/>
        </w:rPr>
        <w:t>≥</w:t>
      </w:r>
      <w:r>
        <w:rPr>
          <w:u w:val="single"/>
        </w:rPr>
        <w:t xml:space="preserve">       </w:t>
      </w:r>
      <w:r>
        <w:t>W/W</w:t>
      </w:r>
      <w:r>
        <w:rPr>
          <w:rFonts w:hint="eastAsia"/>
        </w:rPr>
        <w:t>；螺杆式水（地）源热泵机组□定频 □变频，额定工况</w:t>
      </w:r>
      <w:r>
        <w:t>COP</w:t>
      </w:r>
      <w:r>
        <w:rPr>
          <w:rFonts w:hint="eastAsia"/>
        </w:rPr>
        <w:t>≥</w:t>
      </w:r>
      <w:r>
        <w:rPr>
          <w:u w:val="single"/>
        </w:rPr>
        <w:t xml:space="preserve">      </w:t>
      </w:r>
      <w:r>
        <w:t>W/W</w:t>
      </w:r>
      <w:r>
        <w:rPr>
          <w:rFonts w:hint="eastAsia"/>
        </w:rPr>
        <w:t>，</w:t>
      </w:r>
      <w:r>
        <w:t>IPLV</w:t>
      </w:r>
      <w:r>
        <w:rPr>
          <w:rFonts w:hint="eastAsia"/>
        </w:rPr>
        <w:t>≥</w:t>
      </w:r>
      <w:r>
        <w:t xml:space="preserve"> </w:t>
      </w:r>
      <w:r>
        <w:rPr>
          <w:u w:val="single"/>
        </w:rPr>
        <w:t xml:space="preserve">     </w:t>
      </w:r>
      <w:r>
        <w:t>W/W</w:t>
      </w:r>
      <w:r>
        <w:rPr>
          <w:rFonts w:hint="eastAsia"/>
        </w:rPr>
        <w:t>；水（地）源热泵机组制冷性能系数（COP）比现行国家标准</w:t>
      </w:r>
      <w:r>
        <w:rPr>
          <w:rFonts w:hint="eastAsia" w:asciiTheme="minorEastAsia" w:hAnsiTheme="minorEastAsia" w:eastAsiaTheme="minorEastAsia"/>
        </w:rPr>
        <w:t>《建筑节能与可再生能源利用通用规范》GB 55015</w:t>
      </w:r>
      <w:r>
        <w:rPr>
          <w:rFonts w:hint="eastAsia"/>
        </w:rPr>
        <w:t>提高</w:t>
      </w:r>
      <w:r>
        <w:rPr>
          <w:rFonts w:hint="eastAsia"/>
          <w:u w:val="single"/>
        </w:rPr>
        <w:t xml:space="preserve">    </w:t>
      </w:r>
      <w:r>
        <w:rPr>
          <w:rFonts w:hint="eastAsia"/>
        </w:rPr>
        <w:t>；机组全年综合性能系数（ACOP）不低于《水(地)源热泵机组能效限定值</w:t>
      </w:r>
      <w:r>
        <w:t>及能效等级</w:t>
      </w:r>
      <w:r>
        <w:rPr>
          <w:rFonts w:hint="eastAsia"/>
        </w:rPr>
        <w:t>》GB</w:t>
      </w:r>
      <w:r>
        <w:t>30721</w:t>
      </w:r>
      <w:r>
        <w:rPr>
          <w:rFonts w:hint="eastAsia"/>
        </w:rPr>
        <w:t>中</w:t>
      </w:r>
      <w:r>
        <w:rPr>
          <w:rFonts w:hint="eastAsia"/>
          <w:u w:val="single"/>
        </w:rPr>
        <w:t xml:space="preserve">    </w:t>
      </w:r>
      <w:r>
        <w:rPr>
          <w:rFonts w:hint="eastAsia"/>
        </w:rPr>
        <w:t>级能效的要求；设置机房群控系统，设备智能化管理,减少人工操作，便于及时维护及集中管理。</w:t>
      </w:r>
    </w:p>
    <w:p>
      <w:pPr>
        <w:pStyle w:val="88"/>
        <w:spacing w:before="156" w:beforeLines="50"/>
        <w:rPr>
          <w:rFonts w:asciiTheme="minorEastAsia" w:hAnsiTheme="minorEastAsia" w:eastAsiaTheme="minorEastAsia"/>
        </w:rPr>
      </w:pPr>
      <w:r>
        <w:rPr>
          <w:rFonts w:hint="eastAsia" w:asciiTheme="minorEastAsia" w:hAnsiTheme="minorEastAsia" w:eastAsiaTheme="minorEastAsia"/>
        </w:rPr>
        <w:t>本项目：□未采用变冷媒流量多联式空调</w:t>
      </w:r>
      <w:r>
        <w:rPr>
          <w:rFonts w:asciiTheme="minorEastAsia" w:hAnsiTheme="minorEastAsia" w:eastAsiaTheme="minorEastAsia"/>
        </w:rPr>
        <w:t>(VRF)</w:t>
      </w:r>
      <w:r>
        <w:rPr>
          <w:rFonts w:hint="eastAsia" w:asciiTheme="minorEastAsia" w:hAnsiTheme="minorEastAsia" w:eastAsiaTheme="minorEastAsia"/>
        </w:rPr>
        <w:t>系统；□</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rPr>
          <w:rFonts w:hint="eastAsia" w:asciiTheme="minorEastAsia" w:hAnsiTheme="minorEastAsia" w:eastAsiaTheme="minorEastAsia"/>
        </w:rPr>
        <w:t>区域空调系统采用变冷媒流量多联式空调</w:t>
      </w:r>
      <w:r>
        <w:rPr>
          <w:rFonts w:asciiTheme="minorEastAsia" w:hAnsiTheme="minorEastAsia" w:eastAsiaTheme="minorEastAsia"/>
        </w:rPr>
        <w:t>(VRF)</w:t>
      </w:r>
      <w:r>
        <w:rPr>
          <w:rFonts w:hint="eastAsia" w:asciiTheme="minorEastAsia" w:hAnsiTheme="minorEastAsia" w:eastAsiaTheme="minorEastAsia"/>
        </w:rPr>
        <w:t>系统。</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VRF系统按楼层分区域分别独立设置系统，室外机设置于屋面及各层设备平台，多联机室外机安装位于凹槽内时，</w:t>
      </w:r>
      <w:r>
        <w:rPr>
          <w:rFonts w:asciiTheme="minorEastAsia" w:hAnsiTheme="minorEastAsia" w:eastAsiaTheme="minorEastAsia"/>
        </w:rPr>
        <w:t>空调室外机安装在凹槽处的出风面方向建筑面宽</w:t>
      </w:r>
      <w:r>
        <w:rPr>
          <w:rFonts w:asciiTheme="minorEastAsia" w:hAnsiTheme="minorEastAsia" w:eastAsiaTheme="minorEastAsia"/>
          <w:u w:val="single"/>
        </w:rPr>
        <w:t xml:space="preserve">         </w:t>
      </w:r>
      <w:r>
        <w:rPr>
          <w:rFonts w:hint="eastAsia" w:asciiTheme="minorEastAsia" w:hAnsiTheme="minorEastAsia" w:eastAsiaTheme="minorEastAsia"/>
        </w:rPr>
        <w:t>米，相邻室外机距离</w:t>
      </w:r>
      <w:r>
        <w:rPr>
          <w:rFonts w:asciiTheme="minorEastAsia" w:hAnsiTheme="minorEastAsia" w:eastAsiaTheme="minorEastAsia"/>
          <w:u w:val="single"/>
        </w:rPr>
        <w:t xml:space="preserve">         </w:t>
      </w:r>
      <w:r>
        <w:rPr>
          <w:rFonts w:hint="eastAsia" w:asciiTheme="minorEastAsia" w:hAnsiTheme="minorEastAsia" w:eastAsiaTheme="minorEastAsia"/>
        </w:rPr>
        <w:t>米；室外机安装位于转角时，多联机室外机距侧墙</w:t>
      </w:r>
      <w:r>
        <w:rPr>
          <w:rFonts w:asciiTheme="minorEastAsia" w:hAnsiTheme="minorEastAsia" w:eastAsiaTheme="minorEastAsia"/>
          <w:u w:val="single"/>
        </w:rPr>
        <w:t xml:space="preserve">         </w:t>
      </w:r>
      <w:r>
        <w:rPr>
          <w:rFonts w:hint="eastAsia" w:asciiTheme="minorEastAsia" w:hAnsiTheme="minorEastAsia" w:eastAsiaTheme="minorEastAsia"/>
        </w:rPr>
        <w:t>米，相邻室外机距离</w:t>
      </w:r>
      <w:r>
        <w:rPr>
          <w:rFonts w:asciiTheme="minorEastAsia" w:hAnsiTheme="minorEastAsia" w:eastAsiaTheme="minorEastAsia"/>
          <w:u w:val="single"/>
        </w:rPr>
        <w:t xml:space="preserve">         </w:t>
      </w:r>
      <w:r>
        <w:rPr>
          <w:rFonts w:hint="eastAsia" w:asciiTheme="minorEastAsia" w:hAnsiTheme="minorEastAsia" w:eastAsiaTheme="minorEastAsia"/>
        </w:rPr>
        <w:t>米。室外机安装要求满足浙江省《绿色建筑设计标准》</w:t>
      </w:r>
      <w:r>
        <w:rPr>
          <w:rFonts w:asciiTheme="minorEastAsia" w:hAnsiTheme="minorEastAsia" w:eastAsiaTheme="minorEastAsia"/>
        </w:rPr>
        <w:t>DB 33/1092</w:t>
      </w:r>
      <w:r>
        <w:rPr>
          <w:rFonts w:hint="eastAsia" w:asciiTheme="minorEastAsia" w:hAnsiTheme="minorEastAsia" w:eastAsiaTheme="minorEastAsia"/>
        </w:rPr>
        <w:t>-</w:t>
      </w:r>
      <w:r>
        <w:rPr>
          <w:rFonts w:asciiTheme="minorEastAsia" w:hAnsiTheme="minorEastAsia" w:eastAsiaTheme="minorEastAsia"/>
        </w:rPr>
        <w:t>2021</w:t>
      </w:r>
      <w:r>
        <w:rPr>
          <w:rFonts w:hint="eastAsia" w:asciiTheme="minorEastAsia" w:hAnsiTheme="minorEastAsia" w:eastAsiaTheme="minorEastAsia"/>
        </w:rPr>
        <w:t>，通风散热良好。</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系统分区域设置，各空调系统采用就地数字控制系统监控，自动化程度高，可根据使用要求独立启停，在部分空调区域使用的情况下可有效地避免空调能耗的浪费。</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本项目</w:t>
      </w:r>
      <w:r>
        <w:rPr>
          <w:rFonts w:asciiTheme="minorEastAsia" w:hAnsiTheme="minorEastAsia" w:eastAsiaTheme="minorEastAsia"/>
        </w:rPr>
        <w:t>VRF系统冷媒要求采用</w:t>
      </w:r>
      <w:r>
        <w:rPr>
          <w:rFonts w:hint="eastAsia" w:asciiTheme="minorEastAsia" w:hAnsiTheme="minorEastAsia" w:eastAsiaTheme="minorEastAsia"/>
          <w:u w:val="single"/>
        </w:rPr>
        <w:t xml:space="preserve">      </w:t>
      </w:r>
      <w:r>
        <w:rPr>
          <w:rFonts w:asciiTheme="minorEastAsia" w:hAnsiTheme="minorEastAsia" w:eastAsiaTheme="minorEastAsia"/>
        </w:rPr>
        <w:t>环保冷媒。</w:t>
      </w:r>
    </w:p>
    <w:p>
      <w:pPr>
        <w:pStyle w:val="89"/>
        <w:spacing w:line="400" w:lineRule="exact"/>
        <w:rPr>
          <w:rFonts w:asciiTheme="minorEastAsia" w:hAnsiTheme="minorEastAsia" w:eastAsiaTheme="minorEastAsia"/>
        </w:rPr>
      </w:pPr>
      <w:r>
        <w:rPr>
          <w:rFonts w:asciiTheme="minorEastAsia" w:hAnsiTheme="minorEastAsia" w:eastAsiaTheme="minorEastAsia"/>
        </w:rPr>
        <w:t>VRF</w:t>
      </w:r>
      <w:r>
        <w:rPr>
          <w:rFonts w:hint="eastAsia" w:asciiTheme="minorEastAsia" w:hAnsiTheme="minorEastAsia" w:eastAsiaTheme="minorEastAsia"/>
        </w:rPr>
        <w:t>系统共设置</w:t>
      </w:r>
      <w:r>
        <w:rPr>
          <w:rFonts w:asciiTheme="minorEastAsia" w:hAnsiTheme="minorEastAsia" w:eastAsiaTheme="minorEastAsia"/>
          <w:u w:val="single"/>
        </w:rPr>
        <w:t xml:space="preserve">         </w:t>
      </w:r>
      <w:r>
        <w:rPr>
          <w:rFonts w:hint="eastAsia" w:asciiTheme="minorEastAsia" w:hAnsiTheme="minorEastAsia" w:eastAsiaTheme="minorEastAsia"/>
        </w:rPr>
        <w:t>套，共计</w:t>
      </w:r>
      <w:r>
        <w:rPr>
          <w:rFonts w:asciiTheme="minorEastAsia" w:hAnsiTheme="minorEastAsia" w:eastAsiaTheme="minorEastAsia"/>
          <w:u w:val="single"/>
        </w:rPr>
        <w:t xml:space="preserve">          </w:t>
      </w:r>
      <w:r>
        <w:rPr>
          <w:rFonts w:hint="eastAsia" w:asciiTheme="minorEastAsia" w:hAnsiTheme="minorEastAsia" w:eastAsiaTheme="minorEastAsia"/>
        </w:rPr>
        <w:t>kW制冷量。总装机制冷容量与负荷比值为</w:t>
      </w:r>
      <w:r>
        <w:rPr>
          <w:rFonts w:hint="eastAsia" w:asciiTheme="minorEastAsia" w:hAnsiTheme="minorEastAsia" w:eastAsiaTheme="minorEastAsia"/>
          <w:u w:val="single"/>
        </w:rPr>
        <w:t xml:space="preserve">      ％。</w:t>
      </w:r>
    </w:p>
    <w:p>
      <w:pPr>
        <w:pStyle w:val="89"/>
        <w:spacing w:line="400" w:lineRule="exact"/>
        <w:rPr>
          <w:rFonts w:asciiTheme="minorEastAsia" w:hAnsiTheme="minorEastAsia" w:eastAsiaTheme="minorEastAsia"/>
        </w:rPr>
      </w:pPr>
      <w:r>
        <w:rPr>
          <w:rFonts w:asciiTheme="minorEastAsia" w:hAnsiTheme="minorEastAsia" w:eastAsiaTheme="minorEastAsia"/>
        </w:rPr>
        <w:t>VRF</w:t>
      </w:r>
      <w:r>
        <w:rPr>
          <w:rFonts w:hint="eastAsia" w:asciiTheme="minorEastAsia" w:hAnsiTheme="minorEastAsia" w:eastAsiaTheme="minorEastAsia"/>
        </w:rPr>
        <w:t>系统室内外机最大配比率为</w:t>
      </w:r>
      <w:r>
        <w:rPr>
          <w:rFonts w:asciiTheme="minorEastAsia" w:hAnsiTheme="minorEastAsia" w:eastAsiaTheme="minorEastAsia"/>
          <w:u w:val="single"/>
        </w:rPr>
        <w:t xml:space="preserve">           </w:t>
      </w:r>
      <w:r>
        <w:rPr>
          <w:rFonts w:hint="eastAsia" w:asciiTheme="minorEastAsia" w:hAnsiTheme="minorEastAsia" w:eastAsiaTheme="minorEastAsia"/>
        </w:rPr>
        <w:t>。供冷量等效长度修正系数不小于</w:t>
      </w:r>
      <w:r>
        <w:rPr>
          <w:rFonts w:hint="eastAsia" w:asciiTheme="minorEastAsia" w:hAnsiTheme="minorEastAsia" w:eastAsiaTheme="minorEastAsia"/>
          <w:u w:val="single"/>
        </w:rPr>
        <w:t xml:space="preserve">     </w:t>
      </w:r>
      <w:r>
        <w:rPr>
          <w:rFonts w:hint="eastAsia" w:asciiTheme="minorEastAsia" w:hAnsiTheme="minorEastAsia" w:eastAsiaTheme="minorEastAsia"/>
        </w:rPr>
        <w:t>；系统冷媒管等效长度满足对应制冷工况下满负荷的性能系数不低于</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9"/>
        <w:rPr>
          <w:rFonts w:asciiTheme="minorEastAsia" w:hAnsiTheme="minorEastAsia" w:eastAsiaTheme="minorEastAsia"/>
        </w:rPr>
      </w:pPr>
      <w:r>
        <w:rPr>
          <w:rFonts w:asciiTheme="minorEastAsia" w:hAnsiTheme="minorEastAsia" w:eastAsiaTheme="minorEastAsia"/>
        </w:rPr>
        <w:t>VRF</w:t>
      </w:r>
      <w:r>
        <w:rPr>
          <w:rFonts w:hint="eastAsia" w:asciiTheme="minorEastAsia" w:hAnsiTheme="minorEastAsia" w:eastAsiaTheme="minorEastAsia"/>
        </w:rPr>
        <w:t>机组全年</w:t>
      </w:r>
      <w:r>
        <w:rPr>
          <w:rFonts w:asciiTheme="minorEastAsia" w:hAnsiTheme="minorEastAsia" w:eastAsiaTheme="minorEastAsia"/>
        </w:rPr>
        <w:t>性能系数</w:t>
      </w:r>
      <w:r>
        <w:rPr>
          <w:rFonts w:hint="eastAsia" w:asciiTheme="minorEastAsia" w:hAnsiTheme="minorEastAsia" w:eastAsiaTheme="minorEastAsia"/>
        </w:rPr>
        <w:t>（</w:t>
      </w:r>
      <w:r>
        <w:rPr>
          <w:rFonts w:asciiTheme="minorEastAsia" w:hAnsiTheme="minorEastAsia" w:eastAsiaTheme="minorEastAsia"/>
        </w:rPr>
        <w:t>APF</w:t>
      </w:r>
      <w:r>
        <w:rPr>
          <w:rFonts w:hint="eastAsia" w:asciiTheme="minorEastAsia" w:hAnsiTheme="minorEastAsia" w:eastAsiaTheme="minorEastAsia"/>
        </w:rPr>
        <w:t>）符合下表要求,比现行国家标准《建筑节能与可再生能源利用通用规范》GB 55015提高</w:t>
      </w:r>
      <w:r>
        <w:rPr>
          <w:rFonts w:hint="eastAsia" w:asciiTheme="minorEastAsia" w:hAnsiTheme="minorEastAsia" w:eastAsiaTheme="minorEastAsia"/>
          <w:u w:val="single"/>
        </w:rPr>
        <w:t xml:space="preserve">    </w:t>
      </w:r>
      <w:r>
        <w:rPr>
          <w:rFonts w:hint="eastAsia" w:asciiTheme="minorEastAsia" w:hAnsiTheme="minorEastAsia" w:eastAsiaTheme="minorEastAsia"/>
        </w:rPr>
        <w:t>，且不低于《多联式</w:t>
      </w:r>
      <w:r>
        <w:rPr>
          <w:rFonts w:asciiTheme="minorEastAsia" w:hAnsiTheme="minorEastAsia" w:eastAsiaTheme="minorEastAsia"/>
        </w:rPr>
        <w:t>空调（热泵）机组</w:t>
      </w:r>
      <w:r>
        <w:rPr>
          <w:rFonts w:hint="eastAsia" w:asciiTheme="minorEastAsia" w:hAnsiTheme="minorEastAsia" w:eastAsiaTheme="minorEastAsia"/>
        </w:rPr>
        <w:t>能效限定值及能效等级》GB</w:t>
      </w:r>
      <w:r>
        <w:rPr>
          <w:rFonts w:asciiTheme="minorEastAsia" w:hAnsiTheme="minorEastAsia" w:eastAsiaTheme="minorEastAsia"/>
        </w:rPr>
        <w:t>21454</w:t>
      </w:r>
      <w:r>
        <w:rPr>
          <w:rFonts w:hint="eastAsia" w:asciiTheme="minorEastAsia" w:hAnsiTheme="minorEastAsia" w:eastAsiaTheme="minorEastAsia"/>
        </w:rPr>
        <w:t>中</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级能效的要求。</w:t>
      </w:r>
    </w:p>
    <w:p/>
    <w:tbl>
      <w:tblPr>
        <w:tblStyle w:val="44"/>
        <w:tblW w:w="433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193"/>
        <w:gridCol w:w="3026"/>
        <w:gridCol w:w="30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27" w:type="pct"/>
            <w:vMerge w:val="restart"/>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制冷量CC（KW</w:t>
            </w:r>
            <w:r>
              <w:rPr>
                <w:rFonts w:asciiTheme="minorEastAsia" w:hAnsiTheme="minorEastAsia" w:eastAsiaTheme="minorEastAsia"/>
              </w:rPr>
              <w:t>)</w:t>
            </w:r>
          </w:p>
        </w:tc>
        <w:tc>
          <w:tcPr>
            <w:tcW w:w="3273" w:type="pct"/>
            <w:gridSpan w:val="2"/>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全年性能系数APF（W.h/W.h)</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27" w:type="pct"/>
            <w:vMerge w:val="continue"/>
          </w:tcPr>
          <w:p>
            <w:pPr>
              <w:pStyle w:val="89"/>
              <w:numPr>
                <w:ilvl w:val="0"/>
                <w:numId w:val="0"/>
              </w:numPr>
              <w:spacing w:line="400" w:lineRule="exact"/>
              <w:jc w:val="center"/>
              <w:rPr>
                <w:rFonts w:asciiTheme="minorEastAsia" w:hAnsiTheme="minorEastAsia" w:eastAsiaTheme="minorEastAsia"/>
              </w:rPr>
            </w:pPr>
          </w:p>
        </w:tc>
        <w:tc>
          <w:tcPr>
            <w:tcW w:w="1637" w:type="pct"/>
            <w:tcBorders>
              <w:top w:val="single" w:color="auto" w:sz="4" w:space="0"/>
              <w:left w:val="single" w:color="auto" w:sz="4" w:space="0"/>
              <w:bottom w:val="single" w:color="auto" w:sz="4" w:space="0"/>
              <w:right w:val="single" w:color="auto" w:sz="4" w:space="0"/>
            </w:tcBorders>
            <w:shd w:val="clear" w:color="auto" w:fill="auto"/>
            <w:vAlign w:val="center"/>
          </w:tcPr>
          <w:p>
            <w:pPr>
              <w:pStyle w:val="89"/>
              <w:numPr>
                <w:ilvl w:val="0"/>
                <w:numId w:val="0"/>
              </w:numPr>
              <w:spacing w:line="400" w:lineRule="exact"/>
              <w:jc w:val="center"/>
              <w:rPr>
                <w:rFonts w:asciiTheme="minorEastAsia" w:hAnsiTheme="minorEastAsia" w:eastAsiaTheme="minorEastAsia"/>
              </w:rPr>
            </w:pPr>
            <w:r>
              <w:rPr>
                <w:rFonts w:hint="eastAsia" w:cs="宋体" w:asciiTheme="minorEastAsia" w:hAnsiTheme="minorEastAsia" w:eastAsiaTheme="minorEastAsia"/>
              </w:rPr>
              <w:t>参数要求</w:t>
            </w:r>
          </w:p>
        </w:tc>
        <w:tc>
          <w:tcPr>
            <w:tcW w:w="1636" w:type="pct"/>
            <w:tcBorders>
              <w:top w:val="single" w:color="auto" w:sz="4" w:space="0"/>
              <w:left w:val="single" w:color="auto" w:sz="4" w:space="0"/>
              <w:bottom w:val="single" w:color="auto" w:sz="4" w:space="0"/>
              <w:right w:val="single" w:color="auto" w:sz="4" w:space="0"/>
            </w:tcBorders>
            <w:vAlign w:val="center"/>
          </w:tcPr>
          <w:p>
            <w:pPr>
              <w:pStyle w:val="89"/>
              <w:numPr>
                <w:ilvl w:val="0"/>
                <w:numId w:val="0"/>
              </w:numPr>
              <w:spacing w:line="400" w:lineRule="exact"/>
              <w:jc w:val="center"/>
              <w:rPr>
                <w:rFonts w:asciiTheme="minorEastAsia" w:hAnsiTheme="minorEastAsia" w:eastAsiaTheme="minorEastAsia"/>
              </w:rPr>
            </w:pPr>
            <w:r>
              <w:rPr>
                <w:rFonts w:hint="eastAsia" w:cs="宋体" w:asciiTheme="minorEastAsia" w:hAnsiTheme="minorEastAsia" w:eastAsiaTheme="minorEastAsia"/>
              </w:rPr>
              <w:t>设计值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27" w:type="pct"/>
          </w:tcPr>
          <w:p>
            <w:pPr>
              <w:pStyle w:val="89"/>
              <w:numPr>
                <w:ilvl w:val="0"/>
                <w:numId w:val="0"/>
              </w:numPr>
              <w:spacing w:line="400" w:lineRule="exact"/>
              <w:jc w:val="center"/>
              <w:rPr>
                <w:rFonts w:asciiTheme="minorEastAsia" w:hAnsiTheme="minorEastAsia" w:eastAsiaTheme="minorEastAsia"/>
              </w:rPr>
            </w:pPr>
            <w:r>
              <w:rPr>
                <w:rFonts w:asciiTheme="minorEastAsia" w:hAnsiTheme="minorEastAsia" w:eastAsiaTheme="minorEastAsia"/>
              </w:rPr>
              <w:t>CC</w:t>
            </w:r>
            <w:r>
              <w:rPr>
                <w:rFonts w:hint="eastAsia" w:asciiTheme="minorEastAsia" w:hAnsiTheme="minorEastAsia" w:eastAsiaTheme="minorEastAsia"/>
              </w:rPr>
              <w:t>≤</w:t>
            </w:r>
            <w:r>
              <w:rPr>
                <w:rFonts w:asciiTheme="minorEastAsia" w:hAnsiTheme="minorEastAsia" w:eastAsiaTheme="minorEastAsia"/>
              </w:rPr>
              <w:t>14</w:t>
            </w:r>
          </w:p>
        </w:tc>
        <w:tc>
          <w:tcPr>
            <w:tcW w:w="1637" w:type="pct"/>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w:t>
            </w:r>
          </w:p>
        </w:tc>
        <w:tc>
          <w:tcPr>
            <w:tcW w:w="1636" w:type="pct"/>
          </w:tcPr>
          <w:p>
            <w:pPr>
              <w:pStyle w:val="89"/>
              <w:numPr>
                <w:ilvl w:val="0"/>
                <w:numId w:val="0"/>
              </w:numPr>
              <w:spacing w:line="400" w:lineRule="exact"/>
              <w:jc w:val="center"/>
              <w:rPr>
                <w:rFonts w:asciiTheme="minorEastAsia" w:hAnsiTheme="minorEastAsia"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727" w:type="pct"/>
          </w:tcPr>
          <w:p>
            <w:pPr>
              <w:pStyle w:val="89"/>
              <w:numPr>
                <w:ilvl w:val="0"/>
                <w:numId w:val="0"/>
              </w:numPr>
              <w:spacing w:line="400" w:lineRule="exact"/>
              <w:jc w:val="center"/>
              <w:rPr>
                <w:rFonts w:asciiTheme="minorEastAsia" w:hAnsiTheme="minorEastAsia" w:eastAsiaTheme="minorEastAsia"/>
              </w:rPr>
            </w:pPr>
            <w:r>
              <w:rPr>
                <w:rFonts w:asciiTheme="minorEastAsia" w:hAnsiTheme="minorEastAsia" w:eastAsiaTheme="minorEastAsia"/>
              </w:rPr>
              <w:t>14&lt;CC</w:t>
            </w:r>
            <w:r>
              <w:rPr>
                <w:rFonts w:hint="eastAsia" w:asciiTheme="minorEastAsia" w:hAnsiTheme="minorEastAsia" w:eastAsiaTheme="minorEastAsia"/>
              </w:rPr>
              <w:t>≤</w:t>
            </w:r>
            <w:r>
              <w:rPr>
                <w:rFonts w:asciiTheme="minorEastAsia" w:hAnsiTheme="minorEastAsia" w:eastAsiaTheme="minorEastAsia"/>
              </w:rPr>
              <w:t>28</w:t>
            </w:r>
          </w:p>
        </w:tc>
        <w:tc>
          <w:tcPr>
            <w:tcW w:w="1637" w:type="pct"/>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w:t>
            </w:r>
          </w:p>
        </w:tc>
        <w:tc>
          <w:tcPr>
            <w:tcW w:w="1636" w:type="pct"/>
          </w:tcPr>
          <w:p>
            <w:pPr>
              <w:pStyle w:val="89"/>
              <w:numPr>
                <w:ilvl w:val="0"/>
                <w:numId w:val="0"/>
              </w:numPr>
              <w:spacing w:line="400" w:lineRule="exact"/>
              <w:jc w:val="center"/>
              <w:rPr>
                <w:rFonts w:asciiTheme="minorEastAsia" w:hAnsiTheme="minorEastAsia"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27" w:type="pct"/>
          </w:tcPr>
          <w:p>
            <w:pPr>
              <w:pStyle w:val="89"/>
              <w:numPr>
                <w:ilvl w:val="0"/>
                <w:numId w:val="0"/>
              </w:numPr>
              <w:spacing w:line="400" w:lineRule="exact"/>
              <w:jc w:val="center"/>
              <w:rPr>
                <w:rFonts w:asciiTheme="minorEastAsia" w:hAnsiTheme="minorEastAsia" w:eastAsiaTheme="minorEastAsia"/>
              </w:rPr>
            </w:pPr>
            <w:r>
              <w:rPr>
                <w:rFonts w:asciiTheme="minorEastAsia" w:hAnsiTheme="minorEastAsia" w:eastAsiaTheme="minorEastAsia"/>
              </w:rPr>
              <w:t>28</w:t>
            </w:r>
            <w:r>
              <w:rPr>
                <w:rFonts w:hint="eastAsia" w:asciiTheme="minorEastAsia" w:hAnsiTheme="minorEastAsia" w:eastAsiaTheme="minorEastAsia"/>
              </w:rPr>
              <w:t>&lt;CC≤</w:t>
            </w:r>
            <w:r>
              <w:rPr>
                <w:rFonts w:asciiTheme="minorEastAsia" w:hAnsiTheme="minorEastAsia" w:eastAsiaTheme="minorEastAsia"/>
              </w:rPr>
              <w:t>50</w:t>
            </w:r>
          </w:p>
        </w:tc>
        <w:tc>
          <w:tcPr>
            <w:tcW w:w="1637" w:type="pct"/>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w:t>
            </w:r>
          </w:p>
        </w:tc>
        <w:tc>
          <w:tcPr>
            <w:tcW w:w="1636" w:type="pct"/>
          </w:tcPr>
          <w:p>
            <w:pPr>
              <w:pStyle w:val="89"/>
              <w:numPr>
                <w:ilvl w:val="0"/>
                <w:numId w:val="0"/>
              </w:numPr>
              <w:spacing w:line="400" w:lineRule="exact"/>
              <w:jc w:val="center"/>
              <w:rPr>
                <w:rFonts w:asciiTheme="minorEastAsia" w:hAnsiTheme="minorEastAsia"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27" w:type="pct"/>
          </w:tcPr>
          <w:p>
            <w:pPr>
              <w:pStyle w:val="89"/>
              <w:numPr>
                <w:ilvl w:val="0"/>
                <w:numId w:val="0"/>
              </w:numPr>
              <w:spacing w:line="400" w:lineRule="exact"/>
              <w:jc w:val="center"/>
              <w:rPr>
                <w:rFonts w:asciiTheme="minorEastAsia" w:hAnsiTheme="minorEastAsia" w:eastAsiaTheme="minorEastAsia"/>
              </w:rPr>
            </w:pPr>
            <w:r>
              <w:rPr>
                <w:rFonts w:asciiTheme="minorEastAsia" w:hAnsiTheme="minorEastAsia" w:eastAsiaTheme="minorEastAsia"/>
              </w:rPr>
              <w:t>50</w:t>
            </w:r>
            <w:r>
              <w:rPr>
                <w:rFonts w:hint="eastAsia" w:asciiTheme="minorEastAsia" w:hAnsiTheme="minorEastAsia" w:eastAsiaTheme="minorEastAsia"/>
              </w:rPr>
              <w:t>&lt;CC≤</w:t>
            </w:r>
            <w:r>
              <w:rPr>
                <w:rFonts w:asciiTheme="minorEastAsia" w:hAnsiTheme="minorEastAsia" w:eastAsiaTheme="minorEastAsia"/>
              </w:rPr>
              <w:t>68</w:t>
            </w:r>
          </w:p>
        </w:tc>
        <w:tc>
          <w:tcPr>
            <w:tcW w:w="1637" w:type="pct"/>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w:t>
            </w:r>
          </w:p>
        </w:tc>
        <w:tc>
          <w:tcPr>
            <w:tcW w:w="1636" w:type="pct"/>
          </w:tcPr>
          <w:p>
            <w:pPr>
              <w:pStyle w:val="89"/>
              <w:numPr>
                <w:ilvl w:val="0"/>
                <w:numId w:val="0"/>
              </w:numPr>
              <w:spacing w:line="400" w:lineRule="exact"/>
              <w:jc w:val="center"/>
              <w:rPr>
                <w:rFonts w:asciiTheme="minorEastAsia" w:hAnsiTheme="minorEastAsia" w:eastAsiaTheme="minorEastAs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727" w:type="pct"/>
          </w:tcPr>
          <w:p>
            <w:pPr>
              <w:pStyle w:val="89"/>
              <w:numPr>
                <w:ilvl w:val="0"/>
                <w:numId w:val="0"/>
              </w:numPr>
              <w:spacing w:line="400" w:lineRule="exact"/>
              <w:jc w:val="center"/>
              <w:rPr>
                <w:rFonts w:asciiTheme="minorEastAsia" w:hAnsiTheme="minorEastAsia" w:eastAsiaTheme="minorEastAsia"/>
              </w:rPr>
            </w:pPr>
            <w:r>
              <w:rPr>
                <w:rFonts w:asciiTheme="minorEastAsia" w:hAnsiTheme="minorEastAsia" w:eastAsiaTheme="minorEastAsia"/>
              </w:rPr>
              <w:t>CC&gt;68</w:t>
            </w:r>
          </w:p>
        </w:tc>
        <w:tc>
          <w:tcPr>
            <w:tcW w:w="1637" w:type="pct"/>
            <w:vAlign w:val="center"/>
          </w:tcPr>
          <w:p>
            <w:pPr>
              <w:pStyle w:val="89"/>
              <w:numPr>
                <w:ilvl w:val="0"/>
                <w:numId w:val="0"/>
              </w:numPr>
              <w:spacing w:line="400" w:lineRule="exact"/>
              <w:jc w:val="center"/>
              <w:rPr>
                <w:rFonts w:asciiTheme="minorEastAsia" w:hAnsiTheme="minorEastAsia" w:eastAsiaTheme="minorEastAsia"/>
              </w:rPr>
            </w:pPr>
            <w:r>
              <w:rPr>
                <w:rFonts w:hint="eastAsia" w:asciiTheme="minorEastAsia" w:hAnsiTheme="minorEastAsia" w:eastAsiaTheme="minorEastAsia"/>
              </w:rPr>
              <w:t>≥</w:t>
            </w:r>
          </w:p>
        </w:tc>
        <w:tc>
          <w:tcPr>
            <w:tcW w:w="1636" w:type="pct"/>
          </w:tcPr>
          <w:p>
            <w:pPr>
              <w:pStyle w:val="89"/>
              <w:numPr>
                <w:ilvl w:val="0"/>
                <w:numId w:val="0"/>
              </w:numPr>
              <w:spacing w:line="400" w:lineRule="exact"/>
              <w:jc w:val="center"/>
              <w:rPr>
                <w:rFonts w:asciiTheme="minorEastAsia" w:hAnsiTheme="minorEastAsia" w:eastAsiaTheme="minorEastAsia"/>
              </w:rPr>
            </w:pPr>
          </w:p>
        </w:tc>
      </w:tr>
    </w:tbl>
    <w:p>
      <w:pPr>
        <w:pStyle w:val="88"/>
        <w:rPr>
          <w:rFonts w:asciiTheme="minorEastAsia" w:hAnsiTheme="minorEastAsia" w:eastAsiaTheme="minorEastAsia"/>
        </w:rPr>
      </w:pPr>
      <w:r>
        <w:rPr>
          <w:rFonts w:hint="eastAsia" w:asciiTheme="minorEastAsia" w:hAnsiTheme="minorEastAsia" w:eastAsiaTheme="minorEastAsia"/>
        </w:rPr>
        <w:t xml:space="preserve">本项目：□未采用分体空调；□ </w:t>
      </w:r>
      <w:r>
        <w:rPr>
          <w:rFonts w:hint="eastAsia" w:asciiTheme="minorEastAsia" w:hAnsiTheme="minorEastAsia" w:eastAsiaTheme="minorEastAsia"/>
          <w:u w:val="single"/>
        </w:rPr>
        <w:t xml:space="preserve">          </w:t>
      </w:r>
      <w:r>
        <w:rPr>
          <w:rFonts w:hint="eastAsia" w:asciiTheme="minorEastAsia" w:hAnsiTheme="minorEastAsia" w:eastAsiaTheme="minorEastAsia"/>
        </w:rPr>
        <w:t>区域，设置分体式房间空调器。</w:t>
      </w:r>
    </w:p>
    <w:p>
      <w:pPr>
        <w:pStyle w:val="88"/>
        <w:numPr>
          <w:ilvl w:val="0"/>
          <w:numId w:val="0"/>
        </w:numPr>
        <w:ind w:left="992"/>
        <w:rPr>
          <w:rFonts w:asciiTheme="minorEastAsia" w:hAnsiTheme="minorEastAsia" w:eastAsiaTheme="minorEastAsia"/>
        </w:rPr>
      </w:pPr>
      <w:r>
        <w:rPr>
          <w:rFonts w:hint="eastAsia" w:asciiTheme="minorEastAsia" w:hAnsiTheme="minorEastAsia" w:eastAsiaTheme="minorEastAsia"/>
        </w:rPr>
        <w:t>本项目空调所用的房间空调器所采用的产品应取得中标认证中心节能产品认证，能效等级不低于国家标准《房间空气调节器能效限定值及能效等级》</w:t>
      </w:r>
      <w:r>
        <w:rPr>
          <w:rFonts w:asciiTheme="minorEastAsia" w:hAnsiTheme="minorEastAsia" w:eastAsiaTheme="minorEastAsia"/>
        </w:rPr>
        <w:t>GB21455-2019中</w:t>
      </w:r>
      <w:r>
        <w:rPr>
          <w:rFonts w:hint="eastAsia" w:asciiTheme="minorEastAsia" w:hAnsiTheme="minorEastAsia" w:eastAsiaTheme="minorEastAsia"/>
          <w:u w:val="single"/>
        </w:rPr>
        <w:t xml:space="preserve">     </w:t>
      </w:r>
      <w:r>
        <w:rPr>
          <w:rFonts w:asciiTheme="minorEastAsia" w:hAnsiTheme="minorEastAsia" w:eastAsiaTheme="minorEastAsia"/>
        </w:rPr>
        <w:t>级的要求。</w:t>
      </w:r>
      <w:r>
        <w:rPr>
          <w:rFonts w:hint="eastAsia" w:asciiTheme="minorEastAsia" w:hAnsiTheme="minorEastAsia" w:eastAsiaTheme="minorEastAsia"/>
        </w:rPr>
        <w:t>室外机安装要求满足浙江省《绿色建筑设计标准》</w:t>
      </w:r>
      <w:r>
        <w:rPr>
          <w:rFonts w:asciiTheme="minorEastAsia" w:hAnsiTheme="minorEastAsia" w:eastAsiaTheme="minorEastAsia"/>
        </w:rPr>
        <w:t>DB 33/1092</w:t>
      </w:r>
      <w:r>
        <w:rPr>
          <w:rFonts w:hint="eastAsia" w:asciiTheme="minorEastAsia" w:hAnsiTheme="minorEastAsia" w:eastAsiaTheme="minorEastAsia"/>
        </w:rPr>
        <w:t>-</w:t>
      </w:r>
      <w:r>
        <w:rPr>
          <w:rFonts w:asciiTheme="minorEastAsia" w:hAnsiTheme="minorEastAsia" w:eastAsiaTheme="minorEastAsia"/>
        </w:rPr>
        <w:t>2021</w:t>
      </w:r>
      <w:r>
        <w:rPr>
          <w:rFonts w:hint="eastAsia" w:asciiTheme="minorEastAsia" w:hAnsiTheme="minorEastAsia" w:eastAsiaTheme="minorEastAsia"/>
        </w:rPr>
        <w:t>，通风散热良好。</w:t>
      </w:r>
    </w:p>
    <w:p>
      <w:pPr>
        <w:pStyle w:val="88"/>
        <w:spacing w:before="156" w:beforeLines="50"/>
        <w:rPr>
          <w:rFonts w:asciiTheme="minorEastAsia" w:hAnsiTheme="minorEastAsia" w:eastAsiaTheme="minorEastAsia"/>
        </w:rPr>
      </w:pPr>
      <w:r>
        <w:rPr>
          <w:rFonts w:hint="eastAsia" w:asciiTheme="minorEastAsia" w:hAnsiTheme="minorEastAsia" w:eastAsiaTheme="minorEastAsia"/>
        </w:rPr>
        <w:t>本项目：□未采用电机驱动压缩机的单元式空气调节机，风管送风式空气调节机组或屋顶式空气调节机组；</w:t>
      </w:r>
    </w:p>
    <w:p>
      <w:pPr>
        <w:pStyle w:val="88"/>
        <w:numPr>
          <w:ilvl w:val="0"/>
          <w:numId w:val="0"/>
        </w:numPr>
        <w:ind w:left="992"/>
        <w:rPr>
          <w:rFonts w:asciiTheme="minorEastAsia" w:hAnsiTheme="minorEastAsia" w:eastAsiaTheme="minorEastAsia"/>
        </w:rPr>
      </w:pPr>
      <w:r>
        <w:rPr>
          <w:rFonts w:hint="eastAsia" w:asciiTheme="minorEastAsia" w:hAnsiTheme="minorEastAsia" w:eastAsiaTheme="minorEastAsia"/>
        </w:rPr>
        <w:t>□</w:t>
      </w:r>
      <w:r>
        <w:rPr>
          <w:rFonts w:asciiTheme="minorEastAsia" w:hAnsiTheme="minorEastAsia" w:eastAsiaTheme="minorEastAsia"/>
          <w:u w:val="single"/>
        </w:rPr>
        <w:t xml:space="preserve">       </w:t>
      </w:r>
      <w:r>
        <w:rPr>
          <w:rFonts w:hint="eastAsia" w:asciiTheme="minorEastAsia" w:hAnsiTheme="minorEastAsia" w:eastAsiaTheme="minorEastAsia"/>
        </w:rPr>
        <w:t>区域设置电机驱动压缩机的□单元式空气调节机□风管送风式空气调节机组□屋顶式空气调节机组。</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□单元式空气调节机□风管送风式空气调节机组□屋顶式空气调节机组共设置</w:t>
      </w:r>
      <w:r>
        <w:rPr>
          <w:rFonts w:asciiTheme="minorEastAsia" w:hAnsiTheme="minorEastAsia" w:eastAsiaTheme="minorEastAsia"/>
          <w:u w:val="single"/>
        </w:rPr>
        <w:t xml:space="preserve">        </w:t>
      </w:r>
      <w:r>
        <w:rPr>
          <w:rFonts w:asciiTheme="minorEastAsia" w:hAnsiTheme="minorEastAsia" w:eastAsiaTheme="minorEastAsia"/>
        </w:rPr>
        <w:t xml:space="preserve"> </w:t>
      </w:r>
      <w:r>
        <w:rPr>
          <w:rFonts w:hint="eastAsia" w:asciiTheme="minorEastAsia" w:hAnsiTheme="minorEastAsia" w:eastAsiaTheme="minorEastAsia"/>
        </w:rPr>
        <w:t>套。总名义装机制冷量</w:t>
      </w:r>
      <w:r>
        <w:rPr>
          <w:rFonts w:asciiTheme="minorEastAsia" w:hAnsiTheme="minorEastAsia" w:eastAsiaTheme="minorEastAsia"/>
          <w:u w:val="single"/>
        </w:rPr>
        <w:t xml:space="preserve">        </w:t>
      </w:r>
      <w:r>
        <w:rPr>
          <w:rFonts w:hint="eastAsia" w:asciiTheme="minorEastAsia" w:hAnsiTheme="minorEastAsia" w:eastAsiaTheme="minorEastAsia"/>
        </w:rPr>
        <w:t>k</w:t>
      </w:r>
      <w:r>
        <w:rPr>
          <w:rFonts w:asciiTheme="minorEastAsia" w:hAnsiTheme="minorEastAsia" w:eastAsiaTheme="minorEastAsia"/>
        </w:rPr>
        <w:t>W</w:t>
      </w:r>
      <w:r>
        <w:rPr>
          <w:rFonts w:hint="eastAsia" w:asciiTheme="minorEastAsia" w:hAnsiTheme="minorEastAsia" w:eastAsiaTheme="minorEastAsia"/>
        </w:rPr>
        <w:t>。室外机安装要求满足</w:t>
      </w:r>
      <w:r>
        <w:rPr>
          <w:rFonts w:hint="eastAsia" w:cs="宋体" w:asciiTheme="minorEastAsia" w:hAnsiTheme="minorEastAsia" w:eastAsiaTheme="minorEastAsia"/>
        </w:rPr>
        <w:t>浙江省《绿色建筑设计标准》DB</w:t>
      </w:r>
      <w:r>
        <w:rPr>
          <w:rFonts w:cs="宋体" w:asciiTheme="minorEastAsia" w:hAnsiTheme="minorEastAsia" w:eastAsiaTheme="minorEastAsia"/>
        </w:rPr>
        <w:t xml:space="preserve"> </w:t>
      </w:r>
      <w:r>
        <w:rPr>
          <w:rFonts w:hint="eastAsia" w:cs="宋体" w:asciiTheme="minorEastAsia" w:hAnsiTheme="minorEastAsia" w:eastAsiaTheme="minorEastAsia"/>
        </w:rPr>
        <w:t>33/1092</w:t>
      </w:r>
      <w:r>
        <w:rPr>
          <w:rFonts w:hint="eastAsia" w:asciiTheme="minorEastAsia" w:hAnsiTheme="minorEastAsia" w:eastAsiaTheme="minorEastAsia"/>
        </w:rPr>
        <w:t>-</w:t>
      </w:r>
      <w:r>
        <w:rPr>
          <w:rFonts w:asciiTheme="minorEastAsia" w:hAnsiTheme="minorEastAsia" w:eastAsiaTheme="minorEastAsia"/>
        </w:rPr>
        <w:t>2021</w:t>
      </w:r>
      <w:r>
        <w:rPr>
          <w:rFonts w:hint="eastAsia" w:asciiTheme="minorEastAsia" w:hAnsiTheme="minorEastAsia" w:eastAsiaTheme="minorEastAsia"/>
        </w:rPr>
        <w:t>，通风散热良好。</w:t>
      </w:r>
    </w:p>
    <w:p>
      <w:pPr>
        <w:pStyle w:val="89"/>
        <w:rPr>
          <w:rFonts w:asciiTheme="minorEastAsia" w:hAnsiTheme="minorEastAsia" w:eastAsiaTheme="minorEastAsia"/>
        </w:rPr>
      </w:pPr>
      <w:r>
        <w:rPr>
          <w:rFonts w:hint="eastAsia" w:asciiTheme="minorEastAsia" w:hAnsiTheme="minorEastAsia" w:eastAsiaTheme="minorEastAsia"/>
        </w:rPr>
        <w:t>□单元式空气调节机□风管送风式空气调节机组□屋顶式空气调节机组在名义制冷工况和规定条件下，其能效比（</w:t>
      </w:r>
      <w:r>
        <w:rPr>
          <w:rFonts w:asciiTheme="minorEastAsia" w:hAnsiTheme="minorEastAsia" w:eastAsiaTheme="minorEastAsia"/>
        </w:rPr>
        <w:t>EER</w:t>
      </w:r>
      <w:r>
        <w:rPr>
          <w:rFonts w:hint="eastAsia" w:asciiTheme="minorEastAsia" w:hAnsiTheme="minorEastAsia" w:eastAsiaTheme="minorEastAsia"/>
        </w:rPr>
        <w:t>）符合下表要求，比现行国家标准《建筑节能与可再生能源利用通用规范》GB 55015提高</w:t>
      </w:r>
      <w:r>
        <w:rPr>
          <w:rFonts w:hint="eastAsia" w:asciiTheme="minorEastAsia" w:hAnsiTheme="minorEastAsia" w:eastAsiaTheme="minorEastAsia"/>
          <w:u w:val="single"/>
        </w:rPr>
        <w:t xml:space="preserve">    </w:t>
      </w:r>
      <w:r>
        <w:rPr>
          <w:rFonts w:hint="eastAsia" w:asciiTheme="minorEastAsia" w:hAnsiTheme="minorEastAsia" w:eastAsiaTheme="minorEastAsia"/>
        </w:rPr>
        <w:t>，且不低于国家现行</w:t>
      </w:r>
      <w:r>
        <w:rPr>
          <w:rFonts w:asciiTheme="minorEastAsia" w:hAnsiTheme="minorEastAsia" w:eastAsiaTheme="minorEastAsia"/>
        </w:rPr>
        <w:t>有关标准</w:t>
      </w:r>
      <w:r>
        <w:rPr>
          <w:rFonts w:hint="eastAsia" w:asciiTheme="minorEastAsia" w:hAnsiTheme="minorEastAsia" w:eastAsiaTheme="minorEastAsia"/>
          <w:u w:val="single"/>
        </w:rPr>
        <w:t xml:space="preserve">     </w:t>
      </w:r>
      <w:r>
        <w:rPr>
          <w:rFonts w:hint="eastAsia" w:asciiTheme="minorEastAsia" w:hAnsiTheme="minorEastAsia" w:eastAsiaTheme="minorEastAsia"/>
        </w:rPr>
        <w:t>级能效的要求。</w:t>
      </w:r>
      <w:r>
        <w:rPr>
          <w:rFonts w:asciiTheme="minorEastAsia" w:hAnsiTheme="minorEastAsia" w:eastAsiaTheme="minorEastAsia"/>
        </w:rPr>
        <w:t xml:space="preserve"> </w:t>
      </w:r>
    </w:p>
    <w:tbl>
      <w:tblPr>
        <w:tblStyle w:val="44"/>
        <w:tblW w:w="8505" w:type="dxa"/>
        <w:jc w:val="center"/>
        <w:tblLayout w:type="autofit"/>
        <w:tblCellMar>
          <w:top w:w="0" w:type="dxa"/>
          <w:left w:w="108" w:type="dxa"/>
          <w:bottom w:w="0" w:type="dxa"/>
          <w:right w:w="108" w:type="dxa"/>
        </w:tblCellMar>
      </w:tblPr>
      <w:tblGrid>
        <w:gridCol w:w="939"/>
        <w:gridCol w:w="1172"/>
        <w:gridCol w:w="1460"/>
        <w:gridCol w:w="2378"/>
        <w:gridCol w:w="2556"/>
      </w:tblGrid>
      <w:tr>
        <w:tblPrEx>
          <w:tblCellMar>
            <w:top w:w="0" w:type="dxa"/>
            <w:left w:w="108" w:type="dxa"/>
            <w:bottom w:w="0" w:type="dxa"/>
            <w:right w:w="108" w:type="dxa"/>
          </w:tblCellMar>
        </w:tblPrEx>
        <w:trPr>
          <w:trHeight w:val="20" w:hRule="atLeast"/>
          <w:jc w:val="center"/>
        </w:trPr>
        <w:tc>
          <w:tcPr>
            <w:tcW w:w="0" w:type="auto"/>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类型</w:t>
            </w:r>
          </w:p>
        </w:tc>
        <w:tc>
          <w:tcPr>
            <w:tcW w:w="0" w:type="auto"/>
            <w:tcBorders>
              <w:top w:val="single" w:color="auto" w:sz="4" w:space="0"/>
              <w:left w:val="nil"/>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名义制冷量</w:t>
            </w:r>
          </w:p>
        </w:tc>
        <w:tc>
          <w:tcPr>
            <w:tcW w:w="0" w:type="auto"/>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热泵式机组全年性能系数</w:t>
            </w:r>
            <w:r>
              <w:rPr>
                <w:rFonts w:asciiTheme="minorEastAsia" w:hAnsiTheme="minorEastAsia" w:eastAsiaTheme="minorEastAsia"/>
                <w:sz w:val="21"/>
                <w:szCs w:val="21"/>
                <w:lang w:eastAsia="zh-CN"/>
              </w:rPr>
              <w:t>APF[(W</w:t>
            </w:r>
            <w:r>
              <w:rPr>
                <w:rFonts w:hint="eastAsia" w:ascii="MS Mincho" w:hAnsi="MS Mincho" w:eastAsia="MS Mincho" w:cs="MS Mincho"/>
                <w:sz w:val="21"/>
                <w:szCs w:val="21"/>
                <w:lang w:eastAsia="zh-CN"/>
              </w:rPr>
              <w:t>・</w:t>
            </w:r>
            <w:r>
              <w:rPr>
                <w:rFonts w:asciiTheme="minorEastAsia" w:hAnsiTheme="minorEastAsia" w:eastAsiaTheme="minorEastAsia"/>
                <w:sz w:val="21"/>
                <w:szCs w:val="21"/>
                <w:lang w:eastAsia="zh-CN"/>
              </w:rPr>
              <w:t>h)/(W</w:t>
            </w:r>
            <w:r>
              <w:rPr>
                <w:rFonts w:hint="eastAsia" w:ascii="MS Mincho" w:hAnsi="MS Mincho" w:eastAsia="MS Mincho" w:cs="MS Mincho"/>
                <w:sz w:val="21"/>
                <w:szCs w:val="21"/>
                <w:lang w:eastAsia="zh-CN"/>
              </w:rPr>
              <w:t>・</w:t>
            </w:r>
            <w:r>
              <w:rPr>
                <w:rFonts w:asciiTheme="minorEastAsia" w:hAnsiTheme="minorEastAsia" w:eastAsiaTheme="minorEastAsia"/>
                <w:sz w:val="21"/>
                <w:szCs w:val="21"/>
                <w:lang w:eastAsia="zh-CN"/>
              </w:rPr>
              <w:t>h)]</w:t>
            </w:r>
          </w:p>
        </w:tc>
      </w:tr>
      <w:tr>
        <w:tblPrEx>
          <w:tblCellMar>
            <w:top w:w="0" w:type="dxa"/>
            <w:left w:w="108" w:type="dxa"/>
            <w:bottom w:w="0" w:type="dxa"/>
            <w:right w:w="108" w:type="dxa"/>
          </w:tblCellMar>
        </w:tblPrEx>
        <w:trPr>
          <w:trHeight w:val="20" w:hRule="atLeast"/>
          <w:jc w:val="center"/>
        </w:trPr>
        <w:tc>
          <w:tcPr>
            <w:tcW w:w="0" w:type="auto"/>
            <w:gridSpan w:val="2"/>
            <w:vMerge w:val="continue"/>
            <w:tcBorders>
              <w:top w:val="single" w:color="auto" w:sz="4" w:space="0"/>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tcBorders>
              <w:top w:val="nil"/>
              <w:left w:val="nil"/>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CC（kW）</w:t>
            </w:r>
          </w:p>
        </w:tc>
        <w:tc>
          <w:tcPr>
            <w:tcW w:w="237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参数要求</w:t>
            </w:r>
          </w:p>
        </w:tc>
        <w:tc>
          <w:tcPr>
            <w:tcW w:w="255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cs="宋体" w:asciiTheme="minorEastAsia" w:hAnsiTheme="minorEastAsia" w:eastAsiaTheme="minorEastAsia"/>
                <w:szCs w:val="21"/>
              </w:rPr>
            </w:pPr>
            <w:r>
              <w:rPr>
                <w:rFonts w:hint="eastAsia" w:cs="宋体" w:asciiTheme="minorEastAsia" w:hAnsiTheme="minorEastAsia" w:eastAsiaTheme="minorEastAsia"/>
                <w:szCs w:val="21"/>
              </w:rPr>
              <w:t>设计值</w:t>
            </w:r>
          </w:p>
        </w:tc>
      </w:tr>
      <w:tr>
        <w:tblPrEx>
          <w:tblCellMar>
            <w:top w:w="0" w:type="dxa"/>
            <w:left w:w="108" w:type="dxa"/>
            <w:bottom w:w="0" w:type="dxa"/>
            <w:right w:w="108" w:type="dxa"/>
          </w:tblCellMar>
        </w:tblPrEx>
        <w:trPr>
          <w:trHeight w:val="20" w:hRule="atLeast"/>
          <w:jc w:val="center"/>
        </w:trPr>
        <w:tc>
          <w:tcPr>
            <w:tcW w:w="0" w:type="auto"/>
            <w:vMerge w:val="restart"/>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风冷式</w:t>
            </w:r>
          </w:p>
        </w:tc>
        <w:tc>
          <w:tcPr>
            <w:tcW w:w="0" w:type="auto"/>
            <w:vMerge w:val="restart"/>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不接风管</w:t>
            </w:r>
          </w:p>
        </w:tc>
        <w:tc>
          <w:tcPr>
            <w:tcW w:w="0" w:type="auto"/>
            <w:tcBorders>
              <w:top w:val="single" w:color="auto" w:sz="4" w:space="0"/>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7.1</w:t>
            </w:r>
            <w:r>
              <w:rPr>
                <w:rFonts w:hint="eastAsia"/>
              </w:rPr>
              <w:t>＜</w:t>
            </w:r>
            <w:r>
              <w:t>CC</w:t>
            </w:r>
            <w:r>
              <w:rPr>
                <w:rFonts w:hint="eastAsia" w:hAnsi="宋体" w:eastAsia="宋体" w:cs="宋体"/>
              </w:rPr>
              <w:t>≤</w:t>
            </w:r>
            <w:r>
              <w:t>14</w:t>
            </w:r>
          </w:p>
        </w:tc>
        <w:tc>
          <w:tcPr>
            <w:tcW w:w="2378" w:type="dxa"/>
            <w:tcBorders>
              <w:top w:val="nil"/>
              <w:left w:val="nil"/>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vMerge w:val="continue"/>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14</w:t>
            </w:r>
            <w:r>
              <w:rPr>
                <w:rFonts w:hint="eastAsia"/>
              </w:rPr>
              <w:t>＜</w:t>
            </w:r>
            <w:r>
              <w:t>CC</w:t>
            </w:r>
            <w:r>
              <w:rPr>
                <w:rFonts w:hint="eastAsia" w:hAnsi="宋体" w:eastAsia="宋体" w:cs="宋体"/>
              </w:rPr>
              <w:t>≤</w:t>
            </w:r>
            <w:r>
              <w:t>28</w:t>
            </w:r>
          </w:p>
        </w:tc>
        <w:tc>
          <w:tcPr>
            <w:tcW w:w="2378" w:type="dxa"/>
            <w:tcBorders>
              <w:top w:val="nil"/>
              <w:left w:val="nil"/>
              <w:bottom w:val="single" w:color="auto" w:sz="4" w:space="0"/>
              <w:right w:val="single" w:color="auto" w:sz="4" w:space="0"/>
            </w:tcBorders>
            <w:shd w:val="clear" w:color="auto" w:fill="auto"/>
            <w:vAlign w:val="center"/>
          </w:tcPr>
          <w:p>
            <w:pPr>
              <w:spacing w:line="400" w:lineRule="exact"/>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CC</w:t>
            </w:r>
            <w:r>
              <w:rPr>
                <w:rFonts w:hint="eastAsia"/>
              </w:rPr>
              <w:t>＞</w:t>
            </w:r>
            <w:r>
              <w:t>28</w:t>
            </w:r>
          </w:p>
        </w:tc>
        <w:tc>
          <w:tcPr>
            <w:tcW w:w="2378" w:type="dxa"/>
            <w:tcBorders>
              <w:top w:val="nil"/>
              <w:left w:val="nil"/>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vMerge w:val="restart"/>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接风管</w:t>
            </w:r>
          </w:p>
        </w:tc>
        <w:tc>
          <w:tcPr>
            <w:tcW w:w="0" w:type="auto"/>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7.1</w:t>
            </w:r>
            <w:r>
              <w:rPr>
                <w:rFonts w:hint="eastAsia"/>
              </w:rPr>
              <w:t>＜</w:t>
            </w:r>
            <w:r>
              <w:t>CC</w:t>
            </w:r>
            <w:r>
              <w:rPr>
                <w:rFonts w:hint="eastAsia" w:hAnsi="宋体" w:eastAsia="宋体" w:cs="宋体"/>
              </w:rPr>
              <w:t>≤</w:t>
            </w:r>
            <w:r>
              <w:t>14</w:t>
            </w:r>
          </w:p>
        </w:tc>
        <w:tc>
          <w:tcPr>
            <w:tcW w:w="2378" w:type="dxa"/>
            <w:tcBorders>
              <w:top w:val="nil"/>
              <w:left w:val="nil"/>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vMerge w:val="continue"/>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14</w:t>
            </w:r>
            <w:r>
              <w:rPr>
                <w:rFonts w:hint="eastAsia"/>
              </w:rPr>
              <w:t>＜</w:t>
            </w:r>
            <w:r>
              <w:t>CC</w:t>
            </w:r>
            <w:r>
              <w:rPr>
                <w:rFonts w:hint="eastAsia" w:hAnsi="宋体" w:eastAsia="宋体" w:cs="宋体"/>
              </w:rPr>
              <w:t>≤</w:t>
            </w:r>
            <w:r>
              <w:t>28</w:t>
            </w:r>
          </w:p>
        </w:tc>
        <w:tc>
          <w:tcPr>
            <w:tcW w:w="2378" w:type="dxa"/>
            <w:tcBorders>
              <w:top w:val="nil"/>
              <w:left w:val="nil"/>
              <w:bottom w:val="single" w:color="auto" w:sz="4" w:space="0"/>
              <w:right w:val="single" w:color="auto" w:sz="4" w:space="0"/>
            </w:tcBorders>
            <w:shd w:val="clear" w:color="auto" w:fill="auto"/>
            <w:vAlign w:val="center"/>
          </w:tcPr>
          <w:p>
            <w:pPr>
              <w:spacing w:line="400" w:lineRule="exact"/>
              <w:jc w:val="center"/>
              <w:rPr>
                <w:rFonts w:asciiTheme="minorEastAsia" w:hAnsiTheme="minorEastAsia" w:eastAsiaTheme="minorEastAsia"/>
                <w:szCs w:val="21"/>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0" w:type="auto"/>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CC</w:t>
            </w:r>
            <w:r>
              <w:rPr>
                <w:rFonts w:hint="eastAsia"/>
              </w:rPr>
              <w:t>＞</w:t>
            </w:r>
            <w:r>
              <w:t>28</w:t>
            </w:r>
          </w:p>
        </w:tc>
        <w:tc>
          <w:tcPr>
            <w:tcW w:w="2378" w:type="dxa"/>
            <w:tcBorders>
              <w:top w:val="nil"/>
              <w:left w:val="nil"/>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jc w:val="center"/>
              <w:rPr>
                <w:rFonts w:cs="宋体" w:asciiTheme="minorEastAsia" w:hAnsiTheme="minorEastAsia" w:eastAsiaTheme="minorEastAsia"/>
                <w:szCs w:val="21"/>
              </w:rPr>
            </w:pPr>
          </w:p>
        </w:tc>
      </w:tr>
    </w:tbl>
    <w:p/>
    <w:tbl>
      <w:tblPr>
        <w:tblStyle w:val="44"/>
        <w:tblW w:w="8505" w:type="dxa"/>
        <w:jc w:val="center"/>
        <w:tblLayout w:type="autofit"/>
        <w:tblCellMar>
          <w:top w:w="0" w:type="dxa"/>
          <w:left w:w="108" w:type="dxa"/>
          <w:bottom w:w="0" w:type="dxa"/>
          <w:right w:w="108" w:type="dxa"/>
        </w:tblCellMar>
      </w:tblPr>
      <w:tblGrid>
        <w:gridCol w:w="847"/>
        <w:gridCol w:w="1192"/>
        <w:gridCol w:w="1500"/>
        <w:gridCol w:w="2410"/>
        <w:gridCol w:w="2556"/>
      </w:tblGrid>
      <w:tr>
        <w:tblPrEx>
          <w:tblCellMar>
            <w:top w:w="0" w:type="dxa"/>
            <w:left w:w="108" w:type="dxa"/>
            <w:bottom w:w="0" w:type="dxa"/>
            <w:right w:w="108" w:type="dxa"/>
          </w:tblCellMar>
        </w:tblPrEx>
        <w:trPr>
          <w:trHeight w:val="20" w:hRule="atLeast"/>
          <w:jc w:val="center"/>
        </w:trPr>
        <w:tc>
          <w:tcPr>
            <w:tcW w:w="2039"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类型</w:t>
            </w:r>
          </w:p>
        </w:tc>
        <w:tc>
          <w:tcPr>
            <w:tcW w:w="1500" w:type="dxa"/>
            <w:tcBorders>
              <w:top w:val="single" w:color="auto" w:sz="4" w:space="0"/>
              <w:left w:val="nil"/>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名义制冷量</w:t>
            </w:r>
          </w:p>
        </w:tc>
        <w:tc>
          <w:tcPr>
            <w:tcW w:w="4966"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综合部分负荷性能系数IPLV</w:t>
            </w:r>
          </w:p>
        </w:tc>
      </w:tr>
      <w:tr>
        <w:tblPrEx>
          <w:tblCellMar>
            <w:top w:w="0" w:type="dxa"/>
            <w:left w:w="108" w:type="dxa"/>
            <w:bottom w:w="0" w:type="dxa"/>
            <w:right w:w="108" w:type="dxa"/>
          </w:tblCellMar>
        </w:tblPrEx>
        <w:trPr>
          <w:trHeight w:val="20" w:hRule="atLeast"/>
          <w:jc w:val="center"/>
        </w:trPr>
        <w:tc>
          <w:tcPr>
            <w:tcW w:w="2039" w:type="dxa"/>
            <w:gridSpan w:val="2"/>
            <w:vMerge w:val="continue"/>
            <w:tcBorders>
              <w:top w:val="single" w:color="auto" w:sz="4" w:space="0"/>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1500" w:type="dxa"/>
            <w:tcBorders>
              <w:top w:val="nil"/>
              <w:left w:val="nil"/>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CC（kW）</w:t>
            </w:r>
          </w:p>
        </w:tc>
        <w:tc>
          <w:tcPr>
            <w:tcW w:w="241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参数要求</w:t>
            </w:r>
          </w:p>
        </w:tc>
        <w:tc>
          <w:tcPr>
            <w:tcW w:w="2556"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cs="宋体" w:asciiTheme="minorEastAsia" w:hAnsiTheme="minorEastAsia" w:eastAsiaTheme="minorEastAsia"/>
                <w:szCs w:val="21"/>
              </w:rPr>
            </w:pPr>
            <w:r>
              <w:rPr>
                <w:rFonts w:hint="eastAsia" w:cs="宋体" w:asciiTheme="minorEastAsia" w:hAnsiTheme="minorEastAsia" w:eastAsiaTheme="minorEastAsia"/>
                <w:szCs w:val="21"/>
              </w:rPr>
              <w:t>设计值</w:t>
            </w:r>
          </w:p>
        </w:tc>
      </w:tr>
      <w:tr>
        <w:tblPrEx>
          <w:tblCellMar>
            <w:top w:w="0" w:type="dxa"/>
            <w:left w:w="108" w:type="dxa"/>
            <w:bottom w:w="0" w:type="dxa"/>
            <w:right w:w="108" w:type="dxa"/>
          </w:tblCellMar>
        </w:tblPrEx>
        <w:trPr>
          <w:trHeight w:val="20" w:hRule="atLeast"/>
          <w:jc w:val="center"/>
        </w:trPr>
        <w:tc>
          <w:tcPr>
            <w:tcW w:w="0" w:type="auto"/>
            <w:vMerge w:val="restart"/>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水冷式</w:t>
            </w:r>
          </w:p>
        </w:tc>
        <w:tc>
          <w:tcPr>
            <w:tcW w:w="1191" w:type="dxa"/>
            <w:vMerge w:val="restart"/>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不接风管</w:t>
            </w:r>
          </w:p>
        </w:tc>
        <w:tc>
          <w:tcPr>
            <w:tcW w:w="1500" w:type="dxa"/>
            <w:tcBorders>
              <w:top w:val="single" w:color="auto" w:sz="4" w:space="0"/>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7.1</w:t>
            </w:r>
            <w:r>
              <w:rPr>
                <w:rFonts w:hint="eastAsia"/>
              </w:rPr>
              <w:t>＜</w:t>
            </w:r>
            <w:r>
              <w:t>CC</w:t>
            </w:r>
            <w:r>
              <w:rPr>
                <w:rFonts w:hint="eastAsia" w:hAnsi="宋体" w:eastAsia="宋体" w:cs="宋体"/>
              </w:rPr>
              <w:t>≤</w:t>
            </w:r>
            <w:r>
              <w:t>14</w:t>
            </w:r>
          </w:p>
        </w:tc>
        <w:tc>
          <w:tcPr>
            <w:tcW w:w="2410" w:type="dxa"/>
            <w:tcBorders>
              <w:top w:val="nil"/>
              <w:left w:val="nil"/>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1191" w:type="dxa"/>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1500" w:type="dxa"/>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CC</w:t>
            </w:r>
            <w:r>
              <w:rPr>
                <w:rFonts w:hint="eastAsia"/>
              </w:rPr>
              <w:t>＞</w:t>
            </w:r>
            <w:r>
              <w:t>14</w:t>
            </w:r>
          </w:p>
        </w:tc>
        <w:tc>
          <w:tcPr>
            <w:tcW w:w="2410" w:type="dxa"/>
            <w:tcBorders>
              <w:top w:val="nil"/>
              <w:left w:val="nil"/>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1191" w:type="dxa"/>
            <w:vMerge w:val="restart"/>
            <w:tcBorders>
              <w:top w:val="nil"/>
              <w:left w:val="single" w:color="auto" w:sz="4" w:space="0"/>
              <w:bottom w:val="single" w:color="auto" w:sz="4" w:space="0"/>
              <w:right w:val="single" w:color="auto" w:sz="4" w:space="0"/>
            </w:tcBorders>
            <w:shd w:val="clear" w:color="auto" w:fill="auto"/>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接风管</w:t>
            </w:r>
          </w:p>
        </w:tc>
        <w:tc>
          <w:tcPr>
            <w:tcW w:w="1500" w:type="dxa"/>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7.1</w:t>
            </w:r>
            <w:r>
              <w:rPr>
                <w:rFonts w:hint="eastAsia"/>
              </w:rPr>
              <w:t>＜</w:t>
            </w:r>
            <w:r>
              <w:t>CC</w:t>
            </w:r>
            <w:r>
              <w:rPr>
                <w:rFonts w:hint="eastAsia" w:hAnsi="宋体" w:eastAsia="宋体" w:cs="宋体"/>
              </w:rPr>
              <w:t>≤</w:t>
            </w:r>
            <w:r>
              <w:t>14</w:t>
            </w:r>
          </w:p>
        </w:tc>
        <w:tc>
          <w:tcPr>
            <w:tcW w:w="2410" w:type="dxa"/>
            <w:tcBorders>
              <w:top w:val="nil"/>
              <w:left w:val="nil"/>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jc w:val="center"/>
              <w:rPr>
                <w:rFonts w:cs="宋体" w:asciiTheme="minorEastAsia" w:hAnsiTheme="minorEastAsia" w:eastAsiaTheme="minorEastAsia"/>
                <w:szCs w:val="21"/>
              </w:rPr>
            </w:pPr>
          </w:p>
        </w:tc>
      </w:tr>
      <w:tr>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1191" w:type="dxa"/>
            <w:vMerge w:val="continue"/>
            <w:tcBorders>
              <w:top w:val="nil"/>
              <w:left w:val="single" w:color="auto" w:sz="4" w:space="0"/>
              <w:bottom w:val="single" w:color="auto" w:sz="4" w:space="0"/>
              <w:right w:val="single" w:color="auto" w:sz="4" w:space="0"/>
            </w:tcBorders>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p>
        </w:tc>
        <w:tc>
          <w:tcPr>
            <w:tcW w:w="1500" w:type="dxa"/>
            <w:tcBorders>
              <w:top w:val="nil"/>
              <w:left w:val="single" w:color="auto" w:sz="4" w:space="0"/>
              <w:bottom w:val="single" w:color="auto" w:sz="4" w:space="0"/>
              <w:right w:val="single" w:color="auto" w:sz="4" w:space="0"/>
            </w:tcBorders>
            <w:shd w:val="clear" w:color="000000" w:fill="FFFFFF"/>
            <w:vAlign w:val="center"/>
          </w:tcPr>
          <w:p>
            <w:pPr>
              <w:pStyle w:val="13"/>
              <w:snapToGrid w:val="0"/>
              <w:spacing w:line="400" w:lineRule="exact"/>
              <w:ind w:firstLine="0" w:firstLineChars="0"/>
              <w:jc w:val="center"/>
              <w:rPr>
                <w:rFonts w:asciiTheme="minorEastAsia" w:hAnsiTheme="minorEastAsia" w:eastAsiaTheme="minorEastAsia"/>
                <w:sz w:val="21"/>
                <w:szCs w:val="21"/>
                <w:lang w:eastAsia="zh-CN"/>
              </w:rPr>
            </w:pPr>
            <w:r>
              <w:t>CC</w:t>
            </w:r>
            <w:r>
              <w:rPr>
                <w:rFonts w:hint="eastAsia"/>
              </w:rPr>
              <w:t>＞</w:t>
            </w:r>
            <w:r>
              <w:t>14</w:t>
            </w:r>
          </w:p>
        </w:tc>
        <w:tc>
          <w:tcPr>
            <w:tcW w:w="2410" w:type="dxa"/>
            <w:tcBorders>
              <w:top w:val="nil"/>
              <w:left w:val="nil"/>
              <w:bottom w:val="single" w:color="auto" w:sz="4" w:space="0"/>
              <w:right w:val="single" w:color="auto" w:sz="4" w:space="0"/>
            </w:tcBorders>
            <w:shd w:val="clear" w:color="auto" w:fill="auto"/>
            <w:vAlign w:val="center"/>
          </w:tcPr>
          <w:p>
            <w:pPr>
              <w:spacing w:line="400" w:lineRule="exact"/>
              <w:jc w:val="center"/>
              <w:rPr>
                <w:rFonts w:cs="宋体" w:asciiTheme="minorEastAsia" w:hAnsiTheme="minorEastAsia" w:eastAsiaTheme="minorEastAsia"/>
                <w:szCs w:val="21"/>
                <w:u w:val="single"/>
              </w:rPr>
            </w:pPr>
            <w:r>
              <w:rPr>
                <w:rFonts w:hint="eastAsia" w:asciiTheme="minorEastAsia" w:hAnsiTheme="minorEastAsia" w:eastAsiaTheme="minorEastAsia"/>
                <w:szCs w:val="21"/>
              </w:rPr>
              <w:t>≥</w:t>
            </w:r>
          </w:p>
        </w:tc>
        <w:tc>
          <w:tcPr>
            <w:tcW w:w="2556" w:type="dxa"/>
            <w:tcBorders>
              <w:top w:val="nil"/>
              <w:left w:val="nil"/>
              <w:bottom w:val="single" w:color="auto" w:sz="4" w:space="0"/>
              <w:right w:val="single" w:color="auto" w:sz="4" w:space="0"/>
            </w:tcBorders>
            <w:vAlign w:val="center"/>
          </w:tcPr>
          <w:p>
            <w:pPr>
              <w:spacing w:line="400" w:lineRule="exact"/>
              <w:jc w:val="center"/>
              <w:rPr>
                <w:rFonts w:cs="宋体" w:asciiTheme="minorEastAsia" w:hAnsiTheme="minorEastAsia" w:eastAsiaTheme="minorEastAsia"/>
                <w:szCs w:val="21"/>
              </w:rPr>
            </w:pPr>
          </w:p>
        </w:tc>
      </w:tr>
    </w:tbl>
    <w:p>
      <w:pPr>
        <w:pStyle w:val="87"/>
        <w:spacing w:before="156" w:beforeLines="50"/>
        <w:ind w:left="424" w:hanging="424" w:hangingChars="202"/>
        <w:rPr>
          <w:rFonts w:asciiTheme="minorEastAsia" w:hAnsiTheme="minorEastAsia" w:eastAsiaTheme="minorEastAsia"/>
        </w:rPr>
      </w:pPr>
      <w:r>
        <w:rPr>
          <w:rFonts w:hint="eastAsia" w:asciiTheme="minorEastAsia" w:hAnsiTheme="minorEastAsia" w:eastAsiaTheme="minorEastAsia"/>
        </w:rPr>
        <w:t>空调末端：</w:t>
      </w:r>
    </w:p>
    <w:p>
      <w:pPr>
        <w:pStyle w:val="88"/>
        <w:numPr>
          <w:ilvl w:val="1"/>
          <w:numId w:val="32"/>
        </w:numPr>
        <w:spacing w:before="156" w:beforeLines="50"/>
        <w:rPr>
          <w:rFonts w:asciiTheme="minorEastAsia" w:hAnsiTheme="minorEastAsia" w:eastAsiaTheme="minorEastAsia"/>
        </w:rPr>
      </w:pPr>
      <w:r>
        <w:rPr>
          <w:rFonts w:hint="eastAsia" w:asciiTheme="minorEastAsia" w:hAnsiTheme="minorEastAsia" w:eastAsiaTheme="minorEastAsia"/>
        </w:rPr>
        <w:t>本项目采用全空气一次回风送风单风道系统：□是；□否。</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电机功率不小于3kW的全空气空调系统风机采用变频调速技术：□是；□否。</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设置</w:t>
      </w:r>
      <w:r>
        <w:rPr>
          <w:rFonts w:hint="eastAsia" w:asciiTheme="minorEastAsia" w:hAnsiTheme="minorEastAsia" w:eastAsiaTheme="minorEastAsia"/>
          <w:u w:val="single"/>
        </w:rPr>
        <w:t xml:space="preserve">     </w:t>
      </w:r>
      <w:r>
        <w:rPr>
          <w:rFonts w:hint="eastAsia" w:asciiTheme="minorEastAsia" w:hAnsiTheme="minorEastAsia" w:eastAsiaTheme="minorEastAsia"/>
        </w:rPr>
        <w:t>集中回风口，经回风风管接入设备。空调箱漏风率要求不大于1％：□是；□否。</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设置CO2浓度检测装置：□是 □否。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u w:val="single"/>
        </w:rPr>
        <w:t xml:space="preserve">       </w:t>
      </w:r>
      <w:r>
        <w:rPr>
          <w:rFonts w:hint="eastAsia" w:asciiTheme="minorEastAsia" w:hAnsiTheme="minorEastAsia" w:eastAsiaTheme="minorEastAsia"/>
        </w:rPr>
        <w:t>区域全空气系统设置CO2浓度检测装置，并联动控制空调通风系统。</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全空气系统可实现变新风比工况运行，</w:t>
      </w:r>
      <w:r>
        <w:rPr>
          <w:rFonts w:asciiTheme="minorEastAsia" w:hAnsiTheme="minorEastAsia" w:eastAsiaTheme="minorEastAsia"/>
        </w:rPr>
        <w:t>最大</w:t>
      </w:r>
      <w:r>
        <w:rPr>
          <w:rFonts w:hint="eastAsia" w:asciiTheme="minorEastAsia" w:hAnsiTheme="minorEastAsia" w:eastAsiaTheme="minorEastAsia"/>
        </w:rPr>
        <w:t>总新风比不低于</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8"/>
        <w:spacing w:before="156" w:beforeLines="50"/>
        <w:rPr>
          <w:rFonts w:asciiTheme="minorEastAsia" w:hAnsiTheme="minorEastAsia" w:eastAsiaTheme="minorEastAsia"/>
        </w:rPr>
      </w:pPr>
      <w:r>
        <w:rPr>
          <w:rFonts w:hint="eastAsia" w:asciiTheme="minorEastAsia" w:hAnsiTheme="minorEastAsia" w:eastAsiaTheme="minorEastAsia"/>
        </w:rPr>
        <w:t>本项目采用风机盘管或室内机</w:t>
      </w:r>
      <w:r>
        <w:rPr>
          <w:rFonts w:asciiTheme="minorEastAsia" w:hAnsiTheme="minorEastAsia" w:eastAsiaTheme="minorEastAsia"/>
        </w:rPr>
        <w:t>+</w:t>
      </w:r>
      <w:r>
        <w:rPr>
          <w:rFonts w:hint="eastAsia" w:asciiTheme="minorEastAsia" w:hAnsiTheme="minorEastAsia" w:eastAsiaTheme="minorEastAsia"/>
        </w:rPr>
        <w:t>新风的空调系统：□是；□否。</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内外区相对分隔，分别设置风机盘管机组或室内机，能够独立开启，并进行温湿度、风速调节：□是；□否。</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风机盘管或室内机</w:t>
      </w:r>
      <w:r>
        <w:rPr>
          <w:rFonts w:asciiTheme="minorEastAsia" w:hAnsiTheme="minorEastAsia" w:eastAsiaTheme="minorEastAsia"/>
        </w:rPr>
        <w:t>+</w:t>
      </w:r>
      <w:r>
        <w:rPr>
          <w:rFonts w:hint="eastAsia" w:asciiTheme="minorEastAsia" w:hAnsiTheme="minorEastAsia" w:eastAsiaTheme="minorEastAsia"/>
        </w:rPr>
        <w:t>新风的系统，除图中特殊注明的情况外，新风均直接送入各空调区：□是；□否。</w:t>
      </w:r>
    </w:p>
    <w:p>
      <w:pPr>
        <w:pStyle w:val="89"/>
      </w:pPr>
      <w:r>
        <w:rPr>
          <w:rFonts w:hint="eastAsia"/>
        </w:rPr>
        <w:t>设置CO2浓度检测装置</w:t>
      </w:r>
      <w:r>
        <w:rPr>
          <w:rFonts w:hint="eastAsia" w:asciiTheme="minorEastAsia" w:hAnsiTheme="minorEastAsia" w:eastAsiaTheme="minorEastAsia"/>
        </w:rPr>
        <w:t>：□是 □否。</w:t>
      </w:r>
    </w:p>
    <w:p>
      <w:pPr>
        <w:pStyle w:val="89"/>
        <w:numPr>
          <w:ilvl w:val="0"/>
          <w:numId w:val="0"/>
        </w:numPr>
        <w:ind w:left="992"/>
      </w:pPr>
      <w:r>
        <w:rPr>
          <w:rFonts w:hint="eastAsia"/>
          <w:u w:val="single"/>
        </w:rPr>
        <w:t xml:space="preserve">        </w:t>
      </w:r>
      <w:r>
        <w:rPr>
          <w:rFonts w:hint="eastAsia"/>
        </w:rPr>
        <w:t>区域单一空间独立新风系统设置CO2浓度检测装置，并联动控制空调通风系统。其新风及相应排风</w:t>
      </w:r>
      <w:r>
        <w:t>风机采用</w:t>
      </w:r>
      <w:r>
        <w:rPr>
          <w:rFonts w:hint="eastAsia"/>
        </w:rPr>
        <w:t>变频调速</w:t>
      </w:r>
      <w:r>
        <w:t>技术</w:t>
      </w:r>
      <w:r>
        <w:rPr>
          <w:rFonts w:hint="eastAsia"/>
        </w:rPr>
        <w:t>：□是 □否</w:t>
      </w:r>
      <w:r>
        <w:t>。</w:t>
      </w:r>
    </w:p>
    <w:p>
      <w:pPr>
        <w:pStyle w:val="88"/>
        <w:numPr>
          <w:ilvl w:val="1"/>
          <w:numId w:val="32"/>
        </w:numPr>
        <w:rPr>
          <w:rFonts w:asciiTheme="minorEastAsia" w:hAnsiTheme="minorEastAsia" w:eastAsiaTheme="minorEastAsia"/>
        </w:rPr>
      </w:pPr>
      <w:r>
        <w:rPr>
          <w:rFonts w:hint="eastAsia" w:asciiTheme="minorEastAsia" w:hAnsiTheme="minorEastAsia" w:eastAsiaTheme="minorEastAsia"/>
        </w:rPr>
        <w:t>本项目采用排风热回收系统：□是；□否。</w:t>
      </w:r>
    </w:p>
    <w:p>
      <w:pPr>
        <w:pStyle w:val="88"/>
        <w:numPr>
          <w:ilvl w:val="0"/>
          <w:numId w:val="0"/>
        </w:numPr>
        <w:ind w:left="992"/>
        <w:rPr>
          <w:rFonts w:asciiTheme="minorEastAsia" w:hAnsiTheme="minorEastAsia" w:eastAsiaTheme="minorEastAsia"/>
        </w:rPr>
      </w:pPr>
      <w:r>
        <w:rPr>
          <w:rFonts w:asciiTheme="minorEastAsia" w:hAnsiTheme="minorEastAsia" w:eastAsiaTheme="minorEastAsia"/>
          <w:u w:val="single"/>
        </w:rPr>
        <w:t xml:space="preserve">        </w:t>
      </w:r>
      <w:r>
        <w:rPr>
          <w:rFonts w:hint="eastAsia" w:asciiTheme="minorEastAsia" w:hAnsiTheme="minorEastAsia" w:eastAsiaTheme="minorEastAsia"/>
        </w:rPr>
        <w:t>区域采用□全热 □显热 排风热回收系统对排风进行冷热量回收，总回收风量</w:t>
      </w:r>
      <w:r>
        <w:rPr>
          <w:rFonts w:asciiTheme="minorEastAsia" w:hAnsiTheme="minorEastAsia" w:eastAsiaTheme="minorEastAsia"/>
          <w:u w:val="single"/>
        </w:rPr>
        <w:t xml:space="preserve">           </w:t>
      </w:r>
      <w:r>
        <w:rPr>
          <w:rFonts w:asciiTheme="minorEastAsia" w:hAnsiTheme="minorEastAsia" w:eastAsiaTheme="minorEastAsia"/>
        </w:rPr>
        <w:t>m³</w:t>
      </w:r>
      <w:r>
        <w:rPr>
          <w:rFonts w:hint="eastAsia" w:asciiTheme="minorEastAsia" w:hAnsiTheme="minorEastAsia" w:eastAsiaTheme="minorEastAsia"/>
        </w:rPr>
        <w:t>/h，热回收效率不低于</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w:t>
      </w:r>
    </w:p>
    <w:p>
      <w:pPr>
        <w:pStyle w:val="88"/>
        <w:rPr>
          <w:rFonts w:asciiTheme="minorEastAsia" w:hAnsiTheme="minorEastAsia" w:eastAsiaTheme="minorEastAsia"/>
        </w:rPr>
      </w:pPr>
      <w:r>
        <w:rPr>
          <w:rFonts w:hint="eastAsia" w:asciiTheme="minorEastAsia" w:hAnsiTheme="minorEastAsia" w:eastAsiaTheme="minorEastAsia"/>
        </w:rPr>
        <w:t>本项目</w:t>
      </w:r>
      <w:r>
        <w:rPr>
          <w:rFonts w:asciiTheme="minorEastAsia" w:hAnsiTheme="minorEastAsia" w:eastAsiaTheme="minorEastAsia"/>
        </w:rPr>
        <w:t>空调系统的新风和回风</w:t>
      </w:r>
      <w:r>
        <w:rPr>
          <w:rFonts w:hint="eastAsia" w:asciiTheme="minorEastAsia" w:hAnsiTheme="minorEastAsia" w:eastAsiaTheme="minorEastAsia"/>
        </w:rPr>
        <w:t>配置净化设施或初效加中效过滤：□是；□否。</w:t>
      </w:r>
    </w:p>
    <w:p>
      <w:pPr>
        <w:pStyle w:val="88"/>
        <w:numPr>
          <w:ilvl w:val="0"/>
          <w:numId w:val="0"/>
        </w:numPr>
        <w:ind w:left="992"/>
        <w:rPr>
          <w:rFonts w:asciiTheme="minorEastAsia" w:hAnsiTheme="minorEastAsia" w:eastAsiaTheme="minorEastAsia"/>
        </w:rPr>
      </w:pPr>
      <w:r>
        <w:rPr>
          <w:rFonts w:hint="eastAsia" w:asciiTheme="minorEastAsia" w:hAnsiTheme="minorEastAsia" w:eastAsiaTheme="minorEastAsia"/>
          <w:u w:val="single"/>
        </w:rPr>
        <w:t xml:space="preserve">         </w:t>
      </w:r>
      <w:r>
        <w:rPr>
          <w:rFonts w:hint="eastAsia" w:asciiTheme="minorEastAsia" w:hAnsiTheme="minorEastAsia" w:eastAsiaTheme="minorEastAsia"/>
        </w:rPr>
        <w:t>系统（设备）设置过滤处理，过滤设施为</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8"/>
        <w:rPr>
          <w:rFonts w:asciiTheme="minorEastAsia" w:hAnsiTheme="minorEastAsia" w:eastAsiaTheme="minorEastAsia"/>
        </w:rPr>
      </w:pPr>
      <w:r>
        <w:rPr>
          <w:rFonts w:hint="eastAsia" w:asciiTheme="minorEastAsia" w:hAnsiTheme="minorEastAsia" w:eastAsiaTheme="minorEastAsia"/>
        </w:rPr>
        <w:t>本项目新风取风口距离室外吸烟区直线距离不小于</w:t>
      </w:r>
      <w:r>
        <w:rPr>
          <w:rFonts w:hint="eastAsia" w:asciiTheme="minorEastAsia" w:hAnsiTheme="minorEastAsia" w:eastAsiaTheme="minorEastAsia"/>
          <w:u w:val="single"/>
        </w:rPr>
        <w:t xml:space="preserve">    </w:t>
      </w:r>
      <w:r>
        <w:rPr>
          <w:rFonts w:hint="eastAsia" w:asciiTheme="minorEastAsia" w:hAnsiTheme="minorEastAsia" w:eastAsiaTheme="minorEastAsia"/>
        </w:rPr>
        <w:t>m。</w:t>
      </w:r>
    </w:p>
    <w:p>
      <w:pPr>
        <w:pStyle w:val="87"/>
        <w:spacing w:before="156" w:beforeLines="50"/>
        <w:ind w:left="424" w:hanging="424" w:hangingChars="202"/>
        <w:rPr>
          <w:rFonts w:asciiTheme="minorEastAsia" w:hAnsiTheme="minorEastAsia" w:eastAsiaTheme="minorEastAsia"/>
        </w:rPr>
      </w:pPr>
      <w:r>
        <w:rPr>
          <w:rFonts w:hint="eastAsia" w:asciiTheme="minorEastAsia" w:hAnsiTheme="minorEastAsia" w:eastAsiaTheme="minorEastAsia"/>
        </w:rPr>
        <w:t>管道与输配系统：</w:t>
      </w:r>
    </w:p>
    <w:p>
      <w:pPr>
        <w:pStyle w:val="88"/>
        <w:numPr>
          <w:ilvl w:val="1"/>
          <w:numId w:val="33"/>
        </w:numPr>
        <w:rPr>
          <w:rFonts w:asciiTheme="minorEastAsia" w:hAnsiTheme="minorEastAsia" w:eastAsiaTheme="minorEastAsia"/>
        </w:rPr>
      </w:pPr>
      <w:r>
        <w:rPr>
          <w:rFonts w:hint="eastAsia" w:asciiTheme="minorEastAsia" w:hAnsiTheme="minorEastAsia" w:eastAsiaTheme="minorEastAsia"/>
        </w:rPr>
        <w:t>本项目空调箱风机效率不小于</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；新风机组效率不小于</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rPr>
        <w:t>；平时通风风机效率不小于</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u w:val="single"/>
        </w:rPr>
        <w:t>；</w:t>
      </w:r>
      <w:r>
        <w:rPr>
          <w:rFonts w:asciiTheme="minorEastAsia" w:hAnsiTheme="minorEastAsia" w:eastAsiaTheme="minorEastAsia"/>
        </w:rPr>
        <w:t>风机</w:t>
      </w:r>
      <w:r>
        <w:rPr>
          <w:rFonts w:hint="eastAsia" w:asciiTheme="minorEastAsia" w:hAnsiTheme="minorEastAsia" w:eastAsiaTheme="minorEastAsia"/>
        </w:rPr>
        <w:t>能效</w:t>
      </w:r>
      <w:r>
        <w:rPr>
          <w:rFonts w:asciiTheme="minorEastAsia" w:hAnsiTheme="minorEastAsia" w:eastAsiaTheme="minorEastAsia"/>
        </w:rPr>
        <w:t>满足</w:t>
      </w:r>
      <w:r>
        <w:rPr>
          <w:rFonts w:hint="eastAsia" w:asciiTheme="minorEastAsia" w:hAnsiTheme="minorEastAsia" w:eastAsiaTheme="minorEastAsia"/>
        </w:rPr>
        <w:t>《通风机</w:t>
      </w:r>
      <w:r>
        <w:rPr>
          <w:rFonts w:asciiTheme="minorEastAsia" w:hAnsiTheme="minorEastAsia" w:eastAsiaTheme="minorEastAsia"/>
        </w:rPr>
        <w:t>能效限定值及能效等级</w:t>
      </w:r>
      <w:r>
        <w:rPr>
          <w:rFonts w:hint="eastAsia" w:asciiTheme="minorEastAsia" w:hAnsiTheme="minorEastAsia" w:eastAsiaTheme="minorEastAsia"/>
        </w:rPr>
        <w:t>》GB 19761-2020中</w:t>
      </w:r>
      <w:r>
        <w:rPr>
          <w:rFonts w:hint="eastAsia" w:asciiTheme="minorEastAsia" w:hAnsiTheme="minorEastAsia" w:eastAsiaTheme="minorEastAsia"/>
          <w:u w:val="single"/>
        </w:rPr>
        <w:t xml:space="preserve"> </w:t>
      </w:r>
      <w:r>
        <w:rPr>
          <w:rFonts w:asciiTheme="minorEastAsia" w:hAnsiTheme="minorEastAsia" w:eastAsiaTheme="minorEastAsia"/>
          <w:u w:val="single"/>
        </w:rPr>
        <w:t xml:space="preserve">  </w:t>
      </w:r>
      <w:r>
        <w:rPr>
          <w:rFonts w:hint="eastAsia" w:asciiTheme="minorEastAsia" w:hAnsiTheme="minorEastAsia" w:eastAsiaTheme="minorEastAsia"/>
          <w:u w:val="single"/>
        </w:rPr>
        <w:t xml:space="preserve"> </w:t>
      </w:r>
      <w:r>
        <w:rPr>
          <w:rFonts w:hint="eastAsia" w:asciiTheme="minorEastAsia" w:hAnsiTheme="minorEastAsia" w:eastAsiaTheme="minorEastAsia"/>
        </w:rPr>
        <w:t>级</w:t>
      </w:r>
      <w:r>
        <w:rPr>
          <w:rFonts w:asciiTheme="minorEastAsia" w:hAnsiTheme="minorEastAsia" w:eastAsiaTheme="minorEastAsia"/>
        </w:rPr>
        <w:t>能效要求</w:t>
      </w:r>
      <w:r>
        <w:rPr>
          <w:rFonts w:hint="eastAsia" w:asciiTheme="minorEastAsia" w:hAnsiTheme="minorEastAsia" w:eastAsiaTheme="minorEastAsia"/>
        </w:rPr>
        <w:t>。新风系统单位风量耗功率最大值为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W/(m³/h）；全空气系统单位风量耗功率最大值为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W/(m³/h）；平时通风系统单位风量耗功率最大值为</w:t>
      </w:r>
      <w:r>
        <w:rPr>
          <w:rFonts w:hint="eastAsia" w:asciiTheme="minorEastAsia" w:hAnsiTheme="minorEastAsia" w:eastAsiaTheme="minorEastAsia"/>
          <w:u w:val="single"/>
        </w:rPr>
        <w:t xml:space="preserve">       </w:t>
      </w:r>
      <w:r>
        <w:rPr>
          <w:rFonts w:hint="eastAsia" w:asciiTheme="minorEastAsia" w:hAnsiTheme="minorEastAsia" w:eastAsiaTheme="minorEastAsia"/>
        </w:rPr>
        <w:t>W/(m³/h）；比现行国家标准《公共建筑节能设计标准》GB50189的规定降低</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p>
    <w:p>
      <w:pPr>
        <w:pStyle w:val="88"/>
        <w:rPr>
          <w:rFonts w:asciiTheme="minorEastAsia" w:hAnsiTheme="minorEastAsia" w:eastAsiaTheme="minorEastAsia"/>
        </w:rPr>
      </w:pPr>
      <w:r>
        <w:rPr>
          <w:rFonts w:hint="eastAsia" w:asciiTheme="minorEastAsia" w:hAnsiTheme="minorEastAsia" w:eastAsiaTheme="minorEastAsia"/>
        </w:rPr>
        <w:t>本项目设置空调水系统：□是；□否</w:t>
      </w:r>
      <w:r>
        <w:rPr>
          <w:rFonts w:hint="eastAsia" w:cs="宋体" w:asciiTheme="minorEastAsia" w:hAnsiTheme="minorEastAsia" w:eastAsiaTheme="minorEastAsia"/>
        </w:rPr>
        <w:t>。</w:t>
      </w:r>
    </w:p>
    <w:p>
      <w:pPr>
        <w:pStyle w:val="88"/>
        <w:numPr>
          <w:ilvl w:val="0"/>
          <w:numId w:val="0"/>
        </w:numPr>
        <w:ind w:left="992"/>
        <w:rPr>
          <w:rFonts w:asciiTheme="minorEastAsia" w:hAnsiTheme="minorEastAsia" w:eastAsiaTheme="minorEastAsia"/>
          <w:u w:val="single"/>
        </w:rPr>
      </w:pPr>
      <w:r>
        <w:rPr>
          <w:rFonts w:hint="eastAsia" w:asciiTheme="minorEastAsia" w:hAnsiTheme="minorEastAsia" w:eastAsiaTheme="minorEastAsia"/>
        </w:rPr>
        <w:t>空调水系统为 □二管制 □四管制 □二管制局部四管制。空调水系统最远环路总长度</w:t>
      </w:r>
      <w:r>
        <w:rPr>
          <w:rFonts w:hint="eastAsia" w:asciiTheme="minorEastAsia" w:hAnsiTheme="minorEastAsia" w:eastAsiaTheme="minorEastAsia"/>
          <w:u w:val="single"/>
        </w:rPr>
        <w:t xml:space="preserve">    </w:t>
      </w:r>
      <w:r>
        <w:rPr>
          <w:rFonts w:hint="eastAsia" w:asciiTheme="minorEastAsia" w:hAnsiTheme="minorEastAsia" w:eastAsiaTheme="minorEastAsia"/>
        </w:rPr>
        <w:t>m，采用□</w:t>
      </w:r>
      <w:r>
        <w:rPr>
          <w:rFonts w:hint="eastAsia" w:asciiTheme="minorEastAsia" w:hAnsiTheme="minorEastAsia" w:eastAsiaTheme="minorEastAsia"/>
          <w:u w:val="single"/>
        </w:rPr>
        <w:t>一级泵□二级泵□多级泵</w:t>
      </w:r>
      <w:r>
        <w:rPr>
          <w:rFonts w:hint="eastAsia" w:asciiTheme="minorEastAsia" w:hAnsiTheme="minorEastAsia" w:eastAsiaTheme="minorEastAsia"/>
        </w:rPr>
        <w:t>系统，单台水泵功率分别为</w:t>
      </w:r>
      <w:r>
        <w:rPr>
          <w:rFonts w:hint="eastAsia" w:asciiTheme="minorEastAsia" w:hAnsiTheme="minorEastAsia" w:eastAsiaTheme="minorEastAsia"/>
          <w:u w:val="single"/>
        </w:rPr>
        <w:t xml:space="preserve">         </w:t>
      </w:r>
      <w:r>
        <w:rPr>
          <w:rFonts w:hint="eastAsia" w:asciiTheme="minorEastAsia" w:hAnsiTheme="minorEastAsia" w:eastAsiaTheme="minorEastAsia"/>
        </w:rPr>
        <w:t>kW，水泵□变频 □定频 且系统通过供回水干管的压差旁通阀变流量运行。</w:t>
      </w:r>
    </w:p>
    <w:p>
      <w:pPr>
        <w:pStyle w:val="88"/>
      </w:pPr>
      <w:r>
        <w:rPr>
          <w:rFonts w:hint="eastAsia"/>
        </w:rPr>
        <w:t>空调水系统原则采用 □异程式 □同程式机械循环，异程处设置压差平衡阀。空调冷水供水温度为</w:t>
      </w:r>
      <w:r>
        <w:rPr>
          <w:u w:val="single"/>
        </w:rPr>
        <w:t xml:space="preserve">  </w:t>
      </w:r>
      <w:r>
        <w:rPr>
          <w:rFonts w:hint="eastAsia"/>
          <w:u w:val="single"/>
        </w:rPr>
        <w:t xml:space="preserve">  </w:t>
      </w:r>
      <w:r>
        <w:rPr>
          <w:u w:val="single"/>
        </w:rPr>
        <w:t xml:space="preserve"> </w:t>
      </w:r>
      <w:r>
        <w:rPr>
          <w:rFonts w:hint="eastAsia"/>
        </w:rPr>
        <w:t>℃，空调冷水回水温度为</w:t>
      </w:r>
      <w:r>
        <w:rPr>
          <w:u w:val="single"/>
        </w:rPr>
        <w:t xml:space="preserve">  </w:t>
      </w:r>
      <w:r>
        <w:rPr>
          <w:rFonts w:hint="eastAsia"/>
          <w:u w:val="single"/>
        </w:rPr>
        <w:t xml:space="preserve">  </w:t>
      </w:r>
      <w:r>
        <w:rPr>
          <w:u w:val="single"/>
        </w:rPr>
        <w:t xml:space="preserve"> </w:t>
      </w:r>
      <w:r>
        <w:rPr>
          <w:rFonts w:hint="eastAsia"/>
        </w:rPr>
        <w:t>℃；空调热水供水温度为</w:t>
      </w:r>
      <w:r>
        <w:rPr>
          <w:u w:val="single"/>
        </w:rPr>
        <w:t xml:space="preserve"> </w:t>
      </w:r>
      <w:r>
        <w:rPr>
          <w:rFonts w:hint="eastAsia"/>
          <w:u w:val="single"/>
        </w:rPr>
        <w:t xml:space="preserve">  </w:t>
      </w:r>
      <w:r>
        <w:rPr>
          <w:u w:val="single"/>
        </w:rPr>
        <w:t xml:space="preserve">  </w:t>
      </w:r>
      <w:r>
        <w:rPr>
          <w:rFonts w:hint="eastAsia"/>
        </w:rPr>
        <w:t>℃，空调热水回水温度为</w:t>
      </w:r>
      <w:r>
        <w:rPr>
          <w:u w:val="single"/>
        </w:rPr>
        <w:t xml:space="preserve"> </w:t>
      </w:r>
      <w:r>
        <w:rPr>
          <w:rFonts w:hint="eastAsia"/>
          <w:u w:val="single"/>
        </w:rPr>
        <w:t xml:space="preserve">  </w:t>
      </w:r>
      <w:r>
        <w:rPr>
          <w:u w:val="single"/>
        </w:rPr>
        <w:t xml:space="preserve">  </w:t>
      </w:r>
      <w:r>
        <w:rPr>
          <w:rFonts w:hint="eastAsia"/>
        </w:rPr>
        <w:t>℃。冷热水泵 □分设 □合设。水泵效率不小于</w:t>
      </w:r>
      <w:r>
        <w:rPr>
          <w:u w:val="single"/>
        </w:rPr>
        <w:t xml:space="preserve">     </w:t>
      </w:r>
      <w:r>
        <w:t>％</w:t>
      </w:r>
      <w:r>
        <w:rPr>
          <w:rFonts w:hint="eastAsia"/>
        </w:rPr>
        <w:t>；</w:t>
      </w:r>
      <w:r>
        <w:rPr>
          <w:rFonts w:hint="eastAsia" w:asciiTheme="minorEastAsia" w:hAnsiTheme="minorEastAsia" w:eastAsiaTheme="minorEastAsia"/>
        </w:rPr>
        <w:t>水泵能效满足《清水离心泵能效</w:t>
      </w:r>
      <w:r>
        <w:rPr>
          <w:rFonts w:asciiTheme="minorEastAsia" w:hAnsiTheme="minorEastAsia" w:eastAsiaTheme="minorEastAsia"/>
        </w:rPr>
        <w:t>限定值及节能评价值</w:t>
      </w:r>
      <w:r>
        <w:rPr>
          <w:rFonts w:hint="eastAsia" w:asciiTheme="minorEastAsia" w:hAnsiTheme="minorEastAsia" w:eastAsiaTheme="minorEastAsia"/>
        </w:rPr>
        <w:t xml:space="preserve">》GB </w:t>
      </w:r>
      <w:r>
        <w:rPr>
          <w:rFonts w:asciiTheme="minorEastAsia" w:hAnsiTheme="minorEastAsia" w:eastAsiaTheme="minorEastAsia"/>
        </w:rPr>
        <w:t>19762</w:t>
      </w:r>
      <w:r>
        <w:rPr>
          <w:rFonts w:hint="eastAsia" w:asciiTheme="minorEastAsia" w:hAnsiTheme="minorEastAsia" w:eastAsiaTheme="minorEastAsia"/>
        </w:rPr>
        <w:t>-20</w:t>
      </w:r>
      <w:r>
        <w:rPr>
          <w:rFonts w:asciiTheme="minorEastAsia" w:hAnsiTheme="minorEastAsia" w:eastAsiaTheme="minorEastAsia"/>
        </w:rPr>
        <w:t>07</w:t>
      </w:r>
      <w:r>
        <w:rPr>
          <w:rFonts w:hint="eastAsia" w:asciiTheme="minorEastAsia" w:hAnsiTheme="minorEastAsia" w:eastAsiaTheme="minorEastAsia"/>
        </w:rPr>
        <w:t>中节能评价值要求。</w:t>
      </w:r>
      <w:r>
        <w:rPr>
          <w:rFonts w:hint="eastAsia"/>
        </w:rPr>
        <w:t>循环水泵耗电输冷比计算值</w:t>
      </w:r>
      <w:r>
        <w:rPr>
          <w:u w:val="single"/>
        </w:rPr>
        <w:t xml:space="preserve">      </w:t>
      </w:r>
      <w:r>
        <w:rPr>
          <w:rFonts w:hint="eastAsia"/>
        </w:rPr>
        <w:t>，判定值</w:t>
      </w:r>
      <w:r>
        <w:rPr>
          <w:u w:val="single"/>
        </w:rPr>
        <w:t xml:space="preserve">     </w:t>
      </w:r>
      <w:r>
        <w:rPr>
          <w:rFonts w:hint="eastAsia"/>
        </w:rPr>
        <w:t>；耗电输热比计算值</w:t>
      </w:r>
      <w:r>
        <w:rPr>
          <w:u w:val="single"/>
        </w:rPr>
        <w:t xml:space="preserve">     </w:t>
      </w:r>
      <w:r>
        <w:rPr>
          <w:rFonts w:hint="eastAsia"/>
        </w:rPr>
        <w:t>，</w:t>
      </w:r>
      <w:r>
        <w:t>判定值</w:t>
      </w:r>
      <w:r>
        <w:rPr>
          <w:u w:val="single"/>
        </w:rPr>
        <w:t xml:space="preserve">     </w:t>
      </w:r>
      <w:r>
        <w:rPr>
          <w:rFonts w:hint="eastAsia"/>
        </w:rPr>
        <w:t>。</w:t>
      </w:r>
    </w:p>
    <w:p>
      <w:pPr>
        <w:pStyle w:val="88"/>
      </w:pPr>
      <w:r>
        <w:rPr>
          <w:rFonts w:hint="eastAsia"/>
        </w:rPr>
        <w:t>本项目空调系统电制冷性能系数SCOP≥</w:t>
      </w:r>
      <w:r>
        <w:rPr>
          <w:u w:val="single"/>
        </w:rPr>
        <w:t xml:space="preserve">       </w:t>
      </w:r>
      <w:r>
        <w:t>W/W</w:t>
      </w:r>
      <w:r>
        <w:rPr>
          <w:rFonts w:hint="eastAsia"/>
        </w:rPr>
        <w:t>，满足</w:t>
      </w:r>
      <w:r>
        <w:rPr>
          <w:rFonts w:hint="eastAsia" w:asciiTheme="minorEastAsia" w:hAnsiTheme="minorEastAsia" w:eastAsiaTheme="minorEastAsia"/>
        </w:rPr>
        <w:tab/>
      </w:r>
      <w:r>
        <w:rPr>
          <w:rFonts w:hint="eastAsia" w:asciiTheme="minorEastAsia" w:hAnsiTheme="minorEastAsia" w:eastAsiaTheme="minorEastAsia"/>
        </w:rPr>
        <w:t>浙江省《绿色建筑设计标准》 DB 33/1092-2021</w:t>
      </w:r>
      <w:r>
        <w:rPr>
          <w:rFonts w:hint="eastAsia"/>
        </w:rPr>
        <w:t>的规定。</w:t>
      </w:r>
    </w:p>
    <w:p>
      <w:pPr>
        <w:pStyle w:val="88"/>
        <w:rPr>
          <w:rFonts w:asciiTheme="minorEastAsia" w:hAnsiTheme="minorEastAsia" w:eastAsiaTheme="minorEastAsia"/>
        </w:rPr>
      </w:pPr>
      <w:r>
        <w:rPr>
          <w:rFonts w:asciiTheme="minorEastAsia" w:hAnsiTheme="minorEastAsia" w:eastAsiaTheme="minorEastAsia"/>
        </w:rPr>
        <w:t>循环冷却水系统及空调冷、热水系统设置</w:t>
      </w:r>
      <w:r>
        <w:rPr>
          <w:rFonts w:hint="eastAsia" w:asciiTheme="minorEastAsia" w:hAnsiTheme="minorEastAsia" w:eastAsiaTheme="minorEastAsia"/>
          <w:u w:val="single"/>
        </w:rPr>
        <w:t xml:space="preserve">            </w:t>
      </w:r>
      <w:r>
        <w:rPr>
          <w:rFonts w:asciiTheme="minorEastAsia" w:hAnsiTheme="minorEastAsia" w:eastAsiaTheme="minorEastAsia"/>
        </w:rPr>
        <w:t>水处理设施。</w:t>
      </w:r>
    </w:p>
    <w:p>
      <w:pPr>
        <w:pStyle w:val="87"/>
        <w:spacing w:before="156" w:beforeLines="50"/>
        <w:ind w:left="424" w:hanging="424" w:hangingChars="202"/>
        <w:rPr>
          <w:rFonts w:asciiTheme="minorEastAsia" w:hAnsiTheme="minorEastAsia" w:eastAsiaTheme="minorEastAsia"/>
        </w:rPr>
      </w:pPr>
      <w:r>
        <w:rPr>
          <w:rFonts w:hint="eastAsia" w:asciiTheme="minorEastAsia" w:hAnsiTheme="minorEastAsia" w:eastAsiaTheme="minorEastAsia"/>
        </w:rPr>
        <w:t>保温与隔热：</w:t>
      </w:r>
    </w:p>
    <w:p>
      <w:pPr>
        <w:pStyle w:val="88"/>
        <w:numPr>
          <w:ilvl w:val="1"/>
          <w:numId w:val="34"/>
        </w:numPr>
        <w:rPr>
          <w:rFonts w:asciiTheme="minorEastAsia" w:hAnsiTheme="minorEastAsia" w:eastAsiaTheme="minorEastAsia"/>
        </w:rPr>
      </w:pPr>
      <w:r>
        <w:rPr>
          <w:rFonts w:hint="eastAsia" w:asciiTheme="minorEastAsia" w:hAnsiTheme="minorEastAsia" w:eastAsiaTheme="minorEastAsia"/>
        </w:rPr>
        <w:t>空调风管采用</w:t>
      </w:r>
      <w:r>
        <w:rPr>
          <w:rFonts w:hint="eastAsia" w:asciiTheme="minorEastAsia" w:hAnsiTheme="minorEastAsia" w:eastAsiaTheme="minorEastAsia"/>
          <w:u w:val="single"/>
        </w:rPr>
        <w:t xml:space="preserve">         </w:t>
      </w:r>
      <w:r>
        <w:rPr>
          <w:rFonts w:hint="eastAsia" w:asciiTheme="minorEastAsia" w:hAnsiTheme="minorEastAsia" w:eastAsiaTheme="minorEastAsia"/>
        </w:rPr>
        <w:t>材料保温，保温热阻</w:t>
      </w:r>
      <w:r>
        <w:rPr>
          <w:rFonts w:hint="eastAsia" w:cs="宋体" w:asciiTheme="minorEastAsia" w:hAnsiTheme="minorEastAsia" w:eastAsiaTheme="minorEastAsia"/>
        </w:rPr>
        <w:t>≥</w:t>
      </w:r>
      <w:r>
        <w:rPr>
          <w:rFonts w:hint="eastAsia" w:cs="宋体" w:asciiTheme="minorEastAsia" w:hAnsiTheme="minorEastAsia" w:eastAsiaTheme="minorEastAsia"/>
          <w:u w:val="single"/>
        </w:rPr>
        <w:t xml:space="preserve">      </w:t>
      </w:r>
      <w:r>
        <w:rPr>
          <w:rFonts w:hint="eastAsia" w:cs="宋体" w:asciiTheme="minorEastAsia" w:hAnsiTheme="minorEastAsia" w:eastAsiaTheme="minorEastAsia"/>
        </w:rPr>
        <w:t>m²·K/W，</w:t>
      </w:r>
      <w:r>
        <w:rPr>
          <w:rFonts w:hint="eastAsia" w:asciiTheme="minorEastAsia" w:hAnsiTheme="minorEastAsia" w:eastAsiaTheme="minorEastAsia"/>
        </w:rPr>
        <w:t>保温厚度为</w:t>
      </w:r>
      <w:r>
        <w:rPr>
          <w:rFonts w:hint="eastAsia" w:asciiTheme="minorEastAsia" w:hAnsiTheme="minorEastAsia" w:eastAsiaTheme="minorEastAsia"/>
          <w:u w:val="single"/>
        </w:rPr>
        <w:t xml:space="preserve">       </w:t>
      </w:r>
      <w:r>
        <w:rPr>
          <w:rFonts w:hint="eastAsia" w:asciiTheme="minorEastAsia" w:hAnsiTheme="minorEastAsia" w:eastAsiaTheme="minorEastAsia"/>
        </w:rPr>
        <w:t>mm。</w:t>
      </w:r>
    </w:p>
    <w:p>
      <w:pPr>
        <w:pStyle w:val="88"/>
        <w:rPr>
          <w:rFonts w:asciiTheme="minorEastAsia" w:hAnsiTheme="minorEastAsia" w:eastAsiaTheme="minorEastAsia"/>
        </w:rPr>
      </w:pPr>
      <w:r>
        <w:rPr>
          <w:rFonts w:hint="eastAsia" w:asciiTheme="minorEastAsia" w:hAnsiTheme="minorEastAsia" w:eastAsiaTheme="minorEastAsia"/>
        </w:rPr>
        <w:t>空调水管采用</w:t>
      </w:r>
      <w:r>
        <w:rPr>
          <w:rFonts w:hint="eastAsia" w:asciiTheme="minorEastAsia" w:hAnsiTheme="minorEastAsia" w:eastAsiaTheme="minorEastAsia"/>
          <w:u w:val="single"/>
        </w:rPr>
        <w:t xml:space="preserve">         </w:t>
      </w:r>
      <w:r>
        <w:rPr>
          <w:rFonts w:hint="eastAsia" w:asciiTheme="minorEastAsia" w:hAnsiTheme="minorEastAsia" w:eastAsiaTheme="minorEastAsia"/>
        </w:rPr>
        <w:t>材料保温，保温厚度见下表：</w:t>
      </w:r>
    </w:p>
    <w:tbl>
      <w:tblPr>
        <w:tblStyle w:val="4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6"/>
        <w:gridCol w:w="1633"/>
        <w:gridCol w:w="1111"/>
        <w:gridCol w:w="2050"/>
        <w:gridCol w:w="12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restart"/>
            <w:tcBorders>
              <w:tl2br w:val="single" w:color="auto" w:sz="4" w:space="0"/>
            </w:tcBorders>
            <w:vAlign w:val="bottom"/>
          </w:tcPr>
          <w:p>
            <w:pPr>
              <w:spacing w:line="400" w:lineRule="exact"/>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rPr>
                <w:rFonts w:cs="宋体" w:asciiTheme="minorEastAsia" w:hAnsiTheme="minorEastAsia" w:eastAsiaTheme="minorEastAsia"/>
                <w:szCs w:val="21"/>
              </w:rPr>
              <w:t>绝热材料</w:t>
            </w:r>
          </w:p>
          <w:p>
            <w:pPr>
              <w:spacing w:line="400" w:lineRule="exact"/>
              <w:rPr>
                <w:rFonts w:cs="宋体" w:asciiTheme="minorEastAsia" w:hAnsiTheme="minorEastAsia" w:eastAsiaTheme="minorEastAsia"/>
                <w:szCs w:val="21"/>
              </w:rPr>
            </w:pPr>
            <w:r>
              <w:rPr>
                <w:rFonts w:cs="宋体" w:asciiTheme="minorEastAsia" w:hAnsiTheme="minorEastAsia" w:eastAsiaTheme="minorEastAsia"/>
                <w:szCs w:val="21"/>
              </w:rPr>
              <w:t>管道类型</w:t>
            </w:r>
          </w:p>
        </w:tc>
        <w:tc>
          <w:tcPr>
            <w:tcW w:w="2835" w:type="dxa"/>
            <w:gridSpan w:val="2"/>
            <w:vAlign w:val="center"/>
          </w:tcPr>
          <w:p>
            <w:pPr>
              <w:spacing w:line="400" w:lineRule="exact"/>
              <w:jc w:val="center"/>
              <w:rPr>
                <w:rFonts w:cs="宋体" w:asciiTheme="minorEastAsia" w:hAnsiTheme="minorEastAsia" w:eastAsiaTheme="minorEastAsia"/>
                <w:szCs w:val="21"/>
              </w:rPr>
            </w:pPr>
            <w:r>
              <w:rPr>
                <w:rFonts w:hint="eastAsia" w:cs="宋体" w:asciiTheme="minorEastAsia" w:hAnsiTheme="minorEastAsia" w:eastAsiaTheme="minorEastAsia"/>
                <w:szCs w:val="21"/>
              </w:rPr>
              <w:t>玻璃棉管壳</w:t>
            </w:r>
          </w:p>
        </w:tc>
        <w:tc>
          <w:tcPr>
            <w:tcW w:w="3489" w:type="dxa"/>
            <w:gridSpan w:val="2"/>
            <w:vAlign w:val="center"/>
          </w:tcPr>
          <w:p>
            <w:pPr>
              <w:spacing w:line="400" w:lineRule="exact"/>
              <w:jc w:val="center"/>
              <w:rPr>
                <w:rFonts w:cs="宋体" w:asciiTheme="minorEastAsia" w:hAnsiTheme="minorEastAsia" w:eastAsiaTheme="minorEastAsia"/>
                <w:szCs w:val="21"/>
              </w:rPr>
            </w:pPr>
            <w:r>
              <w:rPr>
                <w:rFonts w:cs="宋体" w:asciiTheme="minorEastAsia" w:hAnsiTheme="minorEastAsia" w:eastAsiaTheme="minorEastAsia"/>
                <w:szCs w:val="21"/>
              </w:rPr>
              <w:t>柔性泡沫橡塑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tcBorders>
              <w:tl2br w:val="single" w:color="auto" w:sz="4" w:space="0"/>
            </w:tcBorders>
            <w:vAlign w:val="center"/>
          </w:tcPr>
          <w:p>
            <w:pPr>
              <w:spacing w:line="400" w:lineRule="exact"/>
              <w:jc w:val="center"/>
              <w:rPr>
                <w:rFonts w:cs="宋体" w:asciiTheme="minorEastAsia" w:hAnsiTheme="minorEastAsia" w:eastAsiaTheme="minorEastAsia"/>
                <w:szCs w:val="21"/>
              </w:rPr>
            </w:pPr>
          </w:p>
        </w:tc>
        <w:tc>
          <w:tcPr>
            <w:tcW w:w="1701" w:type="dxa"/>
            <w:vAlign w:val="center"/>
          </w:tcPr>
          <w:p>
            <w:pPr>
              <w:spacing w:line="400" w:lineRule="exact"/>
              <w:jc w:val="center"/>
              <w:rPr>
                <w:rFonts w:cs="宋体" w:asciiTheme="minorEastAsia" w:hAnsiTheme="minorEastAsia" w:eastAsiaTheme="minorEastAsia"/>
                <w:szCs w:val="21"/>
              </w:rPr>
            </w:pPr>
            <w:r>
              <w:rPr>
                <w:rFonts w:cs="宋体" w:asciiTheme="minorEastAsia" w:hAnsiTheme="minorEastAsia" w:eastAsiaTheme="minorEastAsia"/>
                <w:szCs w:val="21"/>
              </w:rPr>
              <w:t>公称管径（mm）</w:t>
            </w:r>
          </w:p>
        </w:tc>
        <w:tc>
          <w:tcPr>
            <w:tcW w:w="1134" w:type="dxa"/>
            <w:vAlign w:val="center"/>
          </w:tcPr>
          <w:p>
            <w:pPr>
              <w:spacing w:line="400" w:lineRule="exact"/>
              <w:jc w:val="center"/>
              <w:rPr>
                <w:rFonts w:cs="宋体" w:asciiTheme="minorEastAsia" w:hAnsiTheme="minorEastAsia" w:eastAsiaTheme="minorEastAsia"/>
                <w:szCs w:val="21"/>
              </w:rPr>
            </w:pPr>
            <w:r>
              <w:rPr>
                <w:rFonts w:cs="宋体" w:asciiTheme="minorEastAsia" w:hAnsiTheme="minorEastAsia" w:eastAsiaTheme="minorEastAsia"/>
                <w:szCs w:val="21"/>
              </w:rPr>
              <w:t>厚度（mm）</w:t>
            </w:r>
          </w:p>
        </w:tc>
        <w:tc>
          <w:tcPr>
            <w:tcW w:w="2155" w:type="dxa"/>
            <w:vAlign w:val="center"/>
          </w:tcPr>
          <w:p>
            <w:pPr>
              <w:spacing w:line="400" w:lineRule="exact"/>
              <w:jc w:val="center"/>
              <w:rPr>
                <w:rFonts w:cs="宋体" w:asciiTheme="minorEastAsia" w:hAnsiTheme="minorEastAsia" w:eastAsiaTheme="minorEastAsia"/>
                <w:szCs w:val="21"/>
              </w:rPr>
            </w:pPr>
            <w:r>
              <w:rPr>
                <w:rFonts w:cs="宋体" w:asciiTheme="minorEastAsia" w:hAnsiTheme="minorEastAsia" w:eastAsiaTheme="minorEastAsia"/>
                <w:szCs w:val="21"/>
              </w:rPr>
              <w:t>公称管径（mm）</w:t>
            </w:r>
          </w:p>
        </w:tc>
        <w:tc>
          <w:tcPr>
            <w:tcW w:w="1334" w:type="dxa"/>
            <w:vAlign w:val="center"/>
          </w:tcPr>
          <w:p>
            <w:pPr>
              <w:spacing w:line="400" w:lineRule="exact"/>
              <w:jc w:val="center"/>
              <w:rPr>
                <w:rFonts w:cs="宋体" w:asciiTheme="minorEastAsia" w:hAnsiTheme="minorEastAsia" w:eastAsiaTheme="minorEastAsia"/>
                <w:szCs w:val="21"/>
              </w:rPr>
            </w:pPr>
            <w:r>
              <w:rPr>
                <w:rFonts w:cs="宋体" w:asciiTheme="minorEastAsia" w:hAnsiTheme="minorEastAsia" w:eastAsiaTheme="minorEastAsia"/>
                <w:szCs w:val="21"/>
              </w:rPr>
              <w:t>厚度（mm）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restart"/>
            <w:vAlign w:val="center"/>
          </w:tcPr>
          <w:p>
            <w:pPr>
              <w:spacing w:line="400" w:lineRule="exact"/>
              <w:jc w:val="center"/>
              <w:rPr>
                <w:rFonts w:cs="宋体" w:asciiTheme="minorEastAsia" w:hAnsiTheme="minorEastAsia" w:eastAsiaTheme="minorEastAsia"/>
                <w:szCs w:val="21"/>
                <w:u w:val="single"/>
              </w:rPr>
            </w:pPr>
            <w:r>
              <w:rPr>
                <w:rFonts w:cs="宋体" w:asciiTheme="minorEastAsia" w:hAnsiTheme="minorEastAsia" w:eastAsiaTheme="minorEastAsia"/>
                <w:szCs w:val="21"/>
                <w:u w:val="single"/>
              </w:rPr>
              <w:t>单冷管道</w:t>
            </w:r>
          </w:p>
          <w:p>
            <w:pPr>
              <w:spacing w:line="400" w:lineRule="exact"/>
              <w:jc w:val="center"/>
              <w:rPr>
                <w:rFonts w:cs="宋体" w:asciiTheme="minorEastAsia" w:hAnsiTheme="minorEastAsia" w:eastAsiaTheme="minorEastAsia"/>
                <w:szCs w:val="21"/>
                <w:u w:val="single"/>
              </w:rPr>
            </w:pPr>
            <w:r>
              <w:rPr>
                <w:rFonts w:cs="宋体" w:asciiTheme="minorEastAsia" w:hAnsiTheme="minorEastAsia" w:eastAsiaTheme="minorEastAsia"/>
                <w:szCs w:val="21"/>
                <w:u w:val="single"/>
              </w:rPr>
              <w:t>（管内介质温度</w:t>
            </w:r>
            <w:r>
              <w:rPr>
                <w:rFonts w:hint="eastAsia" w:cs="宋体" w:asciiTheme="minorEastAsia" w:hAnsiTheme="minorEastAsia" w:eastAsiaTheme="minorEastAsia"/>
                <w:szCs w:val="21"/>
                <w:u w:val="single"/>
              </w:rPr>
              <w:t>5℃</w:t>
            </w:r>
            <w:r>
              <w:rPr>
                <w:rFonts w:cs="宋体" w:asciiTheme="minorEastAsia" w:hAnsiTheme="minorEastAsia" w:eastAsiaTheme="minorEastAsia"/>
                <w:szCs w:val="21"/>
                <w:u w:val="single"/>
              </w:rPr>
              <w:t>~常温）</w:t>
            </w:r>
          </w:p>
        </w:tc>
        <w:tc>
          <w:tcPr>
            <w:tcW w:w="1701" w:type="dxa"/>
            <w:vAlign w:val="center"/>
          </w:tcPr>
          <w:p>
            <w:pPr>
              <w:spacing w:line="400" w:lineRule="exact"/>
              <w:jc w:val="center"/>
              <w:rPr>
                <w:rFonts w:cs="宋体" w:asciiTheme="minorEastAsia" w:hAnsiTheme="minorEastAsia" w:eastAsiaTheme="minorEastAsia"/>
                <w:szCs w:val="21"/>
              </w:rPr>
            </w:pPr>
          </w:p>
        </w:tc>
        <w:tc>
          <w:tcPr>
            <w:tcW w:w="1134" w:type="dxa"/>
            <w:vAlign w:val="center"/>
          </w:tcPr>
          <w:p>
            <w:pPr>
              <w:spacing w:line="400" w:lineRule="exact"/>
              <w:jc w:val="center"/>
              <w:rPr>
                <w:rFonts w:cs="宋体" w:asciiTheme="minorEastAsia" w:hAnsiTheme="minorEastAsia" w:eastAsiaTheme="minorEastAsia"/>
                <w:szCs w:val="21"/>
                <w:u w:val="single"/>
              </w:rPr>
            </w:pPr>
          </w:p>
        </w:tc>
        <w:tc>
          <w:tcPr>
            <w:tcW w:w="2155" w:type="dxa"/>
            <w:vAlign w:val="center"/>
          </w:tcPr>
          <w:p>
            <w:pPr>
              <w:spacing w:line="400" w:lineRule="exact"/>
              <w:jc w:val="center"/>
              <w:rPr>
                <w:rFonts w:cs="宋体" w:asciiTheme="minorEastAsia" w:hAnsiTheme="minorEastAsia" w:eastAsiaTheme="minorEastAsia"/>
                <w:szCs w:val="21"/>
              </w:rPr>
            </w:pPr>
          </w:p>
        </w:tc>
        <w:tc>
          <w:tcPr>
            <w:tcW w:w="1334" w:type="dxa"/>
            <w:vAlign w:val="center"/>
          </w:tcPr>
          <w:p>
            <w:pPr>
              <w:spacing w:line="400" w:lineRule="exact"/>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jc w:val="center"/>
              <w:rPr>
                <w:rFonts w:cs="宋体" w:asciiTheme="minorEastAsia" w:hAnsiTheme="minorEastAsia" w:eastAsiaTheme="minorEastAsia"/>
                <w:szCs w:val="21"/>
              </w:rPr>
            </w:pPr>
          </w:p>
        </w:tc>
        <w:tc>
          <w:tcPr>
            <w:tcW w:w="1701" w:type="dxa"/>
            <w:vAlign w:val="center"/>
          </w:tcPr>
          <w:p>
            <w:pPr>
              <w:spacing w:line="400" w:lineRule="exact"/>
              <w:jc w:val="center"/>
              <w:rPr>
                <w:rFonts w:cs="宋体" w:asciiTheme="minorEastAsia" w:hAnsiTheme="minorEastAsia" w:eastAsiaTheme="minorEastAsia"/>
                <w:szCs w:val="21"/>
              </w:rPr>
            </w:pPr>
          </w:p>
        </w:tc>
        <w:tc>
          <w:tcPr>
            <w:tcW w:w="1134" w:type="dxa"/>
            <w:vAlign w:val="center"/>
          </w:tcPr>
          <w:p>
            <w:pPr>
              <w:spacing w:line="400" w:lineRule="exact"/>
              <w:jc w:val="center"/>
              <w:rPr>
                <w:rFonts w:cs="宋体" w:asciiTheme="minorEastAsia" w:hAnsiTheme="minorEastAsia" w:eastAsiaTheme="minorEastAsia"/>
                <w:szCs w:val="21"/>
                <w:u w:val="single"/>
              </w:rPr>
            </w:pPr>
          </w:p>
        </w:tc>
        <w:tc>
          <w:tcPr>
            <w:tcW w:w="2155" w:type="dxa"/>
            <w:vAlign w:val="center"/>
          </w:tcPr>
          <w:p>
            <w:pPr>
              <w:spacing w:line="400" w:lineRule="exact"/>
              <w:jc w:val="center"/>
              <w:rPr>
                <w:rFonts w:cs="宋体" w:asciiTheme="minorEastAsia" w:hAnsiTheme="minorEastAsia" w:eastAsiaTheme="minorEastAsia"/>
                <w:szCs w:val="21"/>
              </w:rPr>
            </w:pPr>
          </w:p>
        </w:tc>
        <w:tc>
          <w:tcPr>
            <w:tcW w:w="1334" w:type="dxa"/>
            <w:vAlign w:val="center"/>
          </w:tcPr>
          <w:p>
            <w:pPr>
              <w:spacing w:line="400" w:lineRule="exact"/>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jc w:val="center"/>
              <w:rPr>
                <w:rFonts w:cs="宋体" w:asciiTheme="minorEastAsia" w:hAnsiTheme="minorEastAsia" w:eastAsiaTheme="minorEastAsia"/>
                <w:szCs w:val="21"/>
              </w:rPr>
            </w:pPr>
          </w:p>
        </w:tc>
        <w:tc>
          <w:tcPr>
            <w:tcW w:w="1701" w:type="dxa"/>
            <w:vAlign w:val="center"/>
          </w:tcPr>
          <w:p>
            <w:pPr>
              <w:spacing w:line="400" w:lineRule="exact"/>
              <w:jc w:val="center"/>
              <w:rPr>
                <w:rFonts w:cs="宋体" w:asciiTheme="minorEastAsia" w:hAnsiTheme="minorEastAsia" w:eastAsiaTheme="minorEastAsia"/>
                <w:szCs w:val="21"/>
              </w:rPr>
            </w:pPr>
          </w:p>
        </w:tc>
        <w:tc>
          <w:tcPr>
            <w:tcW w:w="1134" w:type="dxa"/>
            <w:vAlign w:val="center"/>
          </w:tcPr>
          <w:p>
            <w:pPr>
              <w:spacing w:line="400" w:lineRule="exact"/>
              <w:jc w:val="center"/>
              <w:rPr>
                <w:rFonts w:cs="宋体" w:asciiTheme="minorEastAsia" w:hAnsiTheme="minorEastAsia" w:eastAsiaTheme="minorEastAsia"/>
                <w:szCs w:val="21"/>
                <w:u w:val="single"/>
              </w:rPr>
            </w:pPr>
          </w:p>
        </w:tc>
        <w:tc>
          <w:tcPr>
            <w:tcW w:w="2155" w:type="dxa"/>
            <w:vAlign w:val="center"/>
          </w:tcPr>
          <w:p>
            <w:pPr>
              <w:spacing w:line="400" w:lineRule="exact"/>
              <w:jc w:val="center"/>
              <w:rPr>
                <w:rFonts w:cs="宋体" w:asciiTheme="minorEastAsia" w:hAnsiTheme="minorEastAsia" w:eastAsiaTheme="minorEastAsia"/>
                <w:szCs w:val="21"/>
              </w:rPr>
            </w:pPr>
          </w:p>
        </w:tc>
        <w:tc>
          <w:tcPr>
            <w:tcW w:w="1334" w:type="dxa"/>
            <w:vAlign w:val="center"/>
          </w:tcPr>
          <w:p>
            <w:pPr>
              <w:spacing w:line="400" w:lineRule="exact"/>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restart"/>
            <w:vAlign w:val="center"/>
          </w:tcPr>
          <w:p>
            <w:pPr>
              <w:spacing w:line="400" w:lineRule="exact"/>
              <w:jc w:val="center"/>
              <w:rPr>
                <w:rFonts w:cs="宋体" w:asciiTheme="minorEastAsia" w:hAnsiTheme="minorEastAsia" w:eastAsiaTheme="minorEastAsia"/>
                <w:szCs w:val="21"/>
                <w:u w:val="single"/>
              </w:rPr>
            </w:pPr>
            <w:r>
              <w:rPr>
                <w:rFonts w:cs="宋体" w:asciiTheme="minorEastAsia" w:hAnsiTheme="minorEastAsia" w:eastAsiaTheme="minorEastAsia"/>
                <w:szCs w:val="21"/>
                <w:u w:val="single"/>
              </w:rPr>
              <w:t>热或冷热合用管道</w:t>
            </w:r>
          </w:p>
          <w:p>
            <w:pPr>
              <w:spacing w:line="400" w:lineRule="exact"/>
              <w:jc w:val="center"/>
              <w:rPr>
                <w:rFonts w:cs="宋体" w:asciiTheme="minorEastAsia" w:hAnsiTheme="minorEastAsia" w:eastAsiaTheme="minorEastAsia"/>
                <w:szCs w:val="21"/>
                <w:u w:val="single"/>
              </w:rPr>
            </w:pPr>
            <w:r>
              <w:rPr>
                <w:rFonts w:cs="宋体" w:asciiTheme="minorEastAsia" w:hAnsiTheme="minorEastAsia" w:eastAsiaTheme="minorEastAsia"/>
                <w:szCs w:val="21"/>
                <w:u w:val="single"/>
              </w:rPr>
              <w:t>（管内介质温度</w:t>
            </w:r>
          </w:p>
          <w:p>
            <w:pPr>
              <w:spacing w:line="400" w:lineRule="exact"/>
              <w:jc w:val="center"/>
              <w:rPr>
                <w:rFonts w:cs="宋体" w:asciiTheme="minorEastAsia" w:hAnsiTheme="minorEastAsia" w:eastAsiaTheme="minorEastAsia"/>
                <w:szCs w:val="21"/>
                <w:u w:val="single"/>
              </w:rPr>
            </w:pPr>
            <w:r>
              <w:rPr>
                <w:rFonts w:cs="宋体" w:asciiTheme="minorEastAsia" w:hAnsiTheme="minorEastAsia" w:eastAsiaTheme="minorEastAsia"/>
                <w:szCs w:val="21"/>
                <w:u w:val="single"/>
              </w:rPr>
              <w:t>5</w:t>
            </w:r>
            <w:r>
              <w:rPr>
                <w:rFonts w:hint="eastAsia" w:cs="宋体" w:asciiTheme="minorEastAsia" w:hAnsiTheme="minorEastAsia" w:eastAsiaTheme="minorEastAsia"/>
                <w:szCs w:val="21"/>
                <w:u w:val="single"/>
              </w:rPr>
              <w:t>～</w:t>
            </w:r>
            <w:r>
              <w:rPr>
                <w:rFonts w:cs="宋体" w:asciiTheme="minorEastAsia" w:hAnsiTheme="minorEastAsia" w:eastAsiaTheme="minorEastAsia"/>
                <w:szCs w:val="21"/>
                <w:u w:val="single"/>
              </w:rPr>
              <w:t>60</w:t>
            </w:r>
            <w:r>
              <w:rPr>
                <w:rFonts w:hint="eastAsia" w:cs="宋体" w:asciiTheme="minorEastAsia" w:hAnsiTheme="minorEastAsia" w:eastAsiaTheme="minorEastAsia"/>
                <w:szCs w:val="21"/>
                <w:u w:val="single"/>
              </w:rPr>
              <w:t>℃</w:t>
            </w:r>
            <w:r>
              <w:rPr>
                <w:rFonts w:cs="宋体" w:asciiTheme="minorEastAsia" w:hAnsiTheme="minorEastAsia" w:eastAsiaTheme="minorEastAsia"/>
                <w:szCs w:val="21"/>
                <w:u w:val="single"/>
              </w:rPr>
              <w:t>）</w:t>
            </w:r>
          </w:p>
        </w:tc>
        <w:tc>
          <w:tcPr>
            <w:tcW w:w="1701" w:type="dxa"/>
            <w:vAlign w:val="center"/>
          </w:tcPr>
          <w:p>
            <w:pPr>
              <w:spacing w:line="400" w:lineRule="exact"/>
              <w:jc w:val="center"/>
              <w:rPr>
                <w:rFonts w:cs="宋体" w:asciiTheme="minorEastAsia" w:hAnsiTheme="minorEastAsia" w:eastAsiaTheme="minorEastAsia"/>
                <w:szCs w:val="21"/>
              </w:rPr>
            </w:pPr>
          </w:p>
        </w:tc>
        <w:tc>
          <w:tcPr>
            <w:tcW w:w="1134" w:type="dxa"/>
            <w:vAlign w:val="center"/>
          </w:tcPr>
          <w:p>
            <w:pPr>
              <w:spacing w:line="400" w:lineRule="exact"/>
              <w:jc w:val="center"/>
              <w:rPr>
                <w:rFonts w:cs="宋体" w:asciiTheme="minorEastAsia" w:hAnsiTheme="minorEastAsia" w:eastAsiaTheme="minorEastAsia"/>
                <w:szCs w:val="21"/>
                <w:u w:val="single"/>
              </w:rPr>
            </w:pPr>
          </w:p>
        </w:tc>
        <w:tc>
          <w:tcPr>
            <w:tcW w:w="2155" w:type="dxa"/>
            <w:vAlign w:val="center"/>
          </w:tcPr>
          <w:p>
            <w:pPr>
              <w:spacing w:line="400" w:lineRule="exact"/>
              <w:jc w:val="center"/>
              <w:rPr>
                <w:rFonts w:cs="宋体" w:asciiTheme="minorEastAsia" w:hAnsiTheme="minorEastAsia" w:eastAsiaTheme="minorEastAsia"/>
                <w:szCs w:val="21"/>
              </w:rPr>
            </w:pPr>
          </w:p>
        </w:tc>
        <w:tc>
          <w:tcPr>
            <w:tcW w:w="1334" w:type="dxa"/>
            <w:vAlign w:val="center"/>
          </w:tcPr>
          <w:p>
            <w:pPr>
              <w:spacing w:line="400" w:lineRule="exact"/>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jc w:val="center"/>
              <w:rPr>
                <w:rFonts w:cs="宋体" w:asciiTheme="minorEastAsia" w:hAnsiTheme="minorEastAsia" w:eastAsiaTheme="minorEastAsia"/>
                <w:szCs w:val="21"/>
                <w:u w:val="single"/>
              </w:rPr>
            </w:pPr>
          </w:p>
        </w:tc>
        <w:tc>
          <w:tcPr>
            <w:tcW w:w="1701" w:type="dxa"/>
            <w:vAlign w:val="center"/>
          </w:tcPr>
          <w:p>
            <w:pPr>
              <w:spacing w:line="400" w:lineRule="exact"/>
              <w:jc w:val="center"/>
              <w:rPr>
                <w:rFonts w:cs="宋体" w:asciiTheme="minorEastAsia" w:hAnsiTheme="minorEastAsia" w:eastAsiaTheme="minorEastAsia"/>
                <w:szCs w:val="21"/>
              </w:rPr>
            </w:pPr>
          </w:p>
        </w:tc>
        <w:tc>
          <w:tcPr>
            <w:tcW w:w="1134" w:type="dxa"/>
            <w:vAlign w:val="center"/>
          </w:tcPr>
          <w:p>
            <w:pPr>
              <w:spacing w:line="400" w:lineRule="exact"/>
              <w:jc w:val="center"/>
              <w:rPr>
                <w:rFonts w:cs="宋体" w:asciiTheme="minorEastAsia" w:hAnsiTheme="minorEastAsia" w:eastAsiaTheme="minorEastAsia"/>
                <w:szCs w:val="21"/>
                <w:u w:val="single"/>
              </w:rPr>
            </w:pPr>
          </w:p>
        </w:tc>
        <w:tc>
          <w:tcPr>
            <w:tcW w:w="2155" w:type="dxa"/>
            <w:vAlign w:val="center"/>
          </w:tcPr>
          <w:p>
            <w:pPr>
              <w:spacing w:line="400" w:lineRule="exact"/>
              <w:ind w:right="-105" w:rightChars="-50"/>
              <w:jc w:val="center"/>
              <w:rPr>
                <w:rFonts w:cs="宋体" w:asciiTheme="minorEastAsia" w:hAnsiTheme="minorEastAsia" w:eastAsiaTheme="minorEastAsia"/>
                <w:szCs w:val="21"/>
              </w:rPr>
            </w:pPr>
          </w:p>
        </w:tc>
        <w:tc>
          <w:tcPr>
            <w:tcW w:w="1334" w:type="dxa"/>
            <w:vAlign w:val="center"/>
          </w:tcPr>
          <w:p>
            <w:pPr>
              <w:spacing w:line="400" w:lineRule="exact"/>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jc w:val="center"/>
              <w:rPr>
                <w:rFonts w:cs="宋体" w:asciiTheme="minorEastAsia" w:hAnsiTheme="minorEastAsia" w:eastAsiaTheme="minorEastAsia"/>
                <w:szCs w:val="21"/>
                <w:u w:val="single"/>
              </w:rPr>
            </w:pPr>
          </w:p>
        </w:tc>
        <w:tc>
          <w:tcPr>
            <w:tcW w:w="1701" w:type="dxa"/>
            <w:vAlign w:val="center"/>
          </w:tcPr>
          <w:p>
            <w:pPr>
              <w:spacing w:line="400" w:lineRule="exact"/>
              <w:jc w:val="center"/>
              <w:rPr>
                <w:rFonts w:cs="宋体" w:asciiTheme="minorEastAsia" w:hAnsiTheme="minorEastAsia" w:eastAsiaTheme="minorEastAsia"/>
                <w:szCs w:val="21"/>
              </w:rPr>
            </w:pPr>
          </w:p>
        </w:tc>
        <w:tc>
          <w:tcPr>
            <w:tcW w:w="1134" w:type="dxa"/>
            <w:vAlign w:val="center"/>
          </w:tcPr>
          <w:p>
            <w:pPr>
              <w:spacing w:line="400" w:lineRule="exact"/>
              <w:jc w:val="center"/>
              <w:rPr>
                <w:rFonts w:cs="宋体" w:asciiTheme="minorEastAsia" w:hAnsiTheme="minorEastAsia" w:eastAsiaTheme="minorEastAsia"/>
                <w:szCs w:val="21"/>
                <w:u w:val="single"/>
              </w:rPr>
            </w:pPr>
          </w:p>
        </w:tc>
        <w:tc>
          <w:tcPr>
            <w:tcW w:w="2155" w:type="dxa"/>
            <w:vAlign w:val="center"/>
          </w:tcPr>
          <w:p>
            <w:pPr>
              <w:spacing w:line="400" w:lineRule="exact"/>
              <w:jc w:val="center"/>
              <w:rPr>
                <w:rFonts w:cs="宋体" w:asciiTheme="minorEastAsia" w:hAnsiTheme="minorEastAsia" w:eastAsiaTheme="minorEastAsia"/>
                <w:szCs w:val="21"/>
              </w:rPr>
            </w:pPr>
          </w:p>
        </w:tc>
        <w:tc>
          <w:tcPr>
            <w:tcW w:w="1334" w:type="dxa"/>
            <w:vAlign w:val="center"/>
          </w:tcPr>
          <w:p>
            <w:pPr>
              <w:spacing w:line="400" w:lineRule="exact"/>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jc w:val="center"/>
              <w:rPr>
                <w:rFonts w:cs="宋体" w:asciiTheme="minorEastAsia" w:hAnsiTheme="minorEastAsia" w:eastAsiaTheme="minorEastAsia"/>
                <w:szCs w:val="21"/>
                <w:u w:val="single"/>
              </w:rPr>
            </w:pPr>
          </w:p>
        </w:tc>
        <w:tc>
          <w:tcPr>
            <w:tcW w:w="1701" w:type="dxa"/>
            <w:vAlign w:val="center"/>
          </w:tcPr>
          <w:p>
            <w:pPr>
              <w:spacing w:line="400" w:lineRule="exact"/>
              <w:jc w:val="center"/>
              <w:rPr>
                <w:rFonts w:cs="宋体" w:asciiTheme="minorEastAsia" w:hAnsiTheme="minorEastAsia" w:eastAsiaTheme="minorEastAsia"/>
                <w:szCs w:val="21"/>
              </w:rPr>
            </w:pPr>
          </w:p>
        </w:tc>
        <w:tc>
          <w:tcPr>
            <w:tcW w:w="1134" w:type="dxa"/>
            <w:vAlign w:val="center"/>
          </w:tcPr>
          <w:p>
            <w:pPr>
              <w:spacing w:line="400" w:lineRule="exact"/>
              <w:jc w:val="center"/>
              <w:rPr>
                <w:rFonts w:cs="宋体" w:asciiTheme="minorEastAsia" w:hAnsiTheme="minorEastAsia" w:eastAsiaTheme="minorEastAsia"/>
                <w:szCs w:val="21"/>
                <w:u w:val="single"/>
              </w:rPr>
            </w:pPr>
          </w:p>
        </w:tc>
        <w:tc>
          <w:tcPr>
            <w:tcW w:w="2155" w:type="dxa"/>
            <w:vAlign w:val="center"/>
          </w:tcPr>
          <w:p>
            <w:pPr>
              <w:spacing w:line="400" w:lineRule="exact"/>
              <w:jc w:val="center"/>
              <w:rPr>
                <w:rFonts w:cs="宋体" w:asciiTheme="minorEastAsia" w:hAnsiTheme="minorEastAsia" w:eastAsiaTheme="minorEastAsia"/>
                <w:szCs w:val="21"/>
              </w:rPr>
            </w:pPr>
          </w:p>
        </w:tc>
        <w:tc>
          <w:tcPr>
            <w:tcW w:w="1334" w:type="dxa"/>
            <w:vAlign w:val="center"/>
          </w:tcPr>
          <w:p>
            <w:pPr>
              <w:spacing w:line="400" w:lineRule="exact"/>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restart"/>
            <w:vAlign w:val="center"/>
          </w:tcPr>
          <w:p>
            <w:pPr>
              <w:spacing w:line="400" w:lineRule="exact"/>
              <w:jc w:val="center"/>
              <w:rPr>
                <w:rFonts w:cs="宋体" w:asciiTheme="minorEastAsia" w:hAnsiTheme="minorEastAsia" w:eastAsiaTheme="minorEastAsia"/>
                <w:szCs w:val="21"/>
                <w:u w:val="single"/>
              </w:rPr>
            </w:pPr>
            <w:r>
              <w:rPr>
                <w:rFonts w:hint="eastAsia" w:cs="宋体" w:asciiTheme="minorEastAsia" w:hAnsiTheme="minorEastAsia" w:eastAsiaTheme="minorEastAsia"/>
                <w:szCs w:val="21"/>
                <w:u w:val="single"/>
              </w:rPr>
              <w:t>热或冷热合用管道</w:t>
            </w:r>
          </w:p>
          <w:p>
            <w:pPr>
              <w:spacing w:line="400" w:lineRule="exact"/>
              <w:jc w:val="center"/>
              <w:rPr>
                <w:rFonts w:cs="宋体" w:asciiTheme="minorEastAsia" w:hAnsiTheme="minorEastAsia" w:eastAsiaTheme="minorEastAsia"/>
                <w:szCs w:val="21"/>
                <w:u w:val="single"/>
              </w:rPr>
            </w:pPr>
            <w:r>
              <w:rPr>
                <w:rFonts w:hint="eastAsia" w:cs="宋体" w:asciiTheme="minorEastAsia" w:hAnsiTheme="minorEastAsia" w:eastAsiaTheme="minorEastAsia"/>
                <w:szCs w:val="21"/>
                <w:u w:val="single"/>
              </w:rPr>
              <w:t>（管内介质温度</w:t>
            </w:r>
          </w:p>
          <w:p>
            <w:pPr>
              <w:spacing w:line="400" w:lineRule="exact"/>
              <w:jc w:val="center"/>
              <w:rPr>
                <w:rFonts w:cs="宋体" w:asciiTheme="minorEastAsia" w:hAnsiTheme="minorEastAsia" w:eastAsiaTheme="minorEastAsia"/>
                <w:szCs w:val="21"/>
                <w:u w:val="single"/>
              </w:rPr>
            </w:pPr>
            <w:r>
              <w:rPr>
                <w:rFonts w:cs="宋体" w:asciiTheme="minorEastAsia" w:hAnsiTheme="minorEastAsia" w:eastAsiaTheme="minorEastAsia"/>
                <w:szCs w:val="21"/>
                <w:u w:val="single"/>
              </w:rPr>
              <w:t>0</w:t>
            </w:r>
            <w:r>
              <w:rPr>
                <w:rFonts w:hint="eastAsia" w:cs="宋体" w:asciiTheme="minorEastAsia" w:hAnsiTheme="minorEastAsia" w:eastAsiaTheme="minorEastAsia"/>
                <w:szCs w:val="21"/>
                <w:u w:val="single"/>
              </w:rPr>
              <w:t>～</w:t>
            </w:r>
            <w:r>
              <w:rPr>
                <w:rFonts w:cs="宋体" w:asciiTheme="minorEastAsia" w:hAnsiTheme="minorEastAsia" w:eastAsiaTheme="minorEastAsia"/>
                <w:szCs w:val="21"/>
                <w:u w:val="single"/>
              </w:rPr>
              <w:t>95</w:t>
            </w:r>
            <w:r>
              <w:rPr>
                <w:rFonts w:hint="eastAsia" w:cs="宋体" w:asciiTheme="minorEastAsia" w:hAnsiTheme="minorEastAsia" w:eastAsiaTheme="minorEastAsia"/>
                <w:szCs w:val="21"/>
                <w:u w:val="single"/>
              </w:rPr>
              <w:t>℃</w:t>
            </w:r>
            <w:r>
              <w:rPr>
                <w:rFonts w:cs="宋体" w:asciiTheme="minorEastAsia" w:hAnsiTheme="minorEastAsia" w:eastAsiaTheme="minorEastAsia"/>
                <w:szCs w:val="21"/>
                <w:u w:val="single"/>
              </w:rPr>
              <w:t>）</w:t>
            </w:r>
          </w:p>
        </w:tc>
        <w:tc>
          <w:tcPr>
            <w:tcW w:w="1701" w:type="dxa"/>
            <w:vAlign w:val="center"/>
          </w:tcPr>
          <w:p>
            <w:pPr>
              <w:spacing w:line="400" w:lineRule="exact"/>
              <w:jc w:val="center"/>
              <w:rPr>
                <w:rFonts w:cs="宋体" w:asciiTheme="minorEastAsia" w:hAnsiTheme="minorEastAsia" w:eastAsiaTheme="minorEastAsia"/>
                <w:szCs w:val="21"/>
              </w:rPr>
            </w:pPr>
          </w:p>
        </w:tc>
        <w:tc>
          <w:tcPr>
            <w:tcW w:w="1134" w:type="dxa"/>
            <w:vAlign w:val="center"/>
          </w:tcPr>
          <w:p>
            <w:pPr>
              <w:spacing w:line="400" w:lineRule="exact"/>
              <w:jc w:val="center"/>
              <w:rPr>
                <w:rFonts w:cs="宋体" w:asciiTheme="minorEastAsia" w:hAnsiTheme="minorEastAsia" w:eastAsiaTheme="minorEastAsia"/>
                <w:szCs w:val="21"/>
                <w:u w:val="single"/>
              </w:rPr>
            </w:pPr>
          </w:p>
        </w:tc>
        <w:tc>
          <w:tcPr>
            <w:tcW w:w="3489" w:type="dxa"/>
            <w:gridSpan w:val="2"/>
            <w:vMerge w:val="restart"/>
            <w:vAlign w:val="center"/>
          </w:tcPr>
          <w:p>
            <w:pPr>
              <w:spacing w:line="400" w:lineRule="exact"/>
              <w:jc w:val="center"/>
              <w:rPr>
                <w:rFonts w:cs="宋体" w:asciiTheme="minorEastAsia" w:hAnsiTheme="minorEastAsia" w:eastAsiaTheme="minorEastAsia"/>
                <w:szCs w:val="21"/>
              </w:rPr>
            </w:pPr>
            <w:r>
              <w:rPr>
                <w:rFonts w:hint="eastAsia" w:cs="宋体" w:asciiTheme="minorEastAsia" w:hAnsiTheme="minorEastAsia" w:eastAsiaTheme="minorEastAsia"/>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jc w:val="center"/>
              <w:rPr>
                <w:rFonts w:cs="宋体" w:asciiTheme="minorEastAsia" w:hAnsiTheme="minorEastAsia" w:eastAsiaTheme="minorEastAsia"/>
                <w:szCs w:val="21"/>
                <w:u w:val="single"/>
              </w:rPr>
            </w:pPr>
          </w:p>
        </w:tc>
        <w:tc>
          <w:tcPr>
            <w:tcW w:w="1701" w:type="dxa"/>
            <w:vAlign w:val="center"/>
          </w:tcPr>
          <w:p>
            <w:pPr>
              <w:spacing w:line="400" w:lineRule="exact"/>
              <w:jc w:val="center"/>
              <w:rPr>
                <w:rFonts w:cs="宋体" w:asciiTheme="minorEastAsia" w:hAnsiTheme="minorEastAsia" w:eastAsiaTheme="minorEastAsia"/>
                <w:szCs w:val="21"/>
              </w:rPr>
            </w:pPr>
          </w:p>
        </w:tc>
        <w:tc>
          <w:tcPr>
            <w:tcW w:w="1134" w:type="dxa"/>
            <w:vAlign w:val="center"/>
          </w:tcPr>
          <w:p>
            <w:pPr>
              <w:spacing w:line="400" w:lineRule="exact"/>
              <w:jc w:val="center"/>
              <w:rPr>
                <w:rFonts w:cs="宋体" w:asciiTheme="minorEastAsia" w:hAnsiTheme="minorEastAsia" w:eastAsiaTheme="minorEastAsia"/>
                <w:szCs w:val="21"/>
                <w:u w:val="single"/>
              </w:rPr>
            </w:pPr>
          </w:p>
        </w:tc>
        <w:tc>
          <w:tcPr>
            <w:tcW w:w="3489" w:type="dxa"/>
            <w:gridSpan w:val="2"/>
            <w:vMerge w:val="continue"/>
            <w:vAlign w:val="center"/>
          </w:tcPr>
          <w:p>
            <w:pPr>
              <w:spacing w:line="400" w:lineRule="exact"/>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jc w:val="center"/>
              <w:rPr>
                <w:rFonts w:cs="宋体" w:asciiTheme="minorEastAsia" w:hAnsiTheme="minorEastAsia" w:eastAsiaTheme="minorEastAsia"/>
                <w:szCs w:val="21"/>
                <w:u w:val="single"/>
              </w:rPr>
            </w:pPr>
          </w:p>
        </w:tc>
        <w:tc>
          <w:tcPr>
            <w:tcW w:w="1701" w:type="dxa"/>
            <w:vAlign w:val="center"/>
          </w:tcPr>
          <w:p>
            <w:pPr>
              <w:spacing w:line="400" w:lineRule="exact"/>
              <w:jc w:val="center"/>
              <w:rPr>
                <w:rFonts w:cs="宋体" w:asciiTheme="minorEastAsia" w:hAnsiTheme="minorEastAsia" w:eastAsiaTheme="minorEastAsia"/>
                <w:szCs w:val="21"/>
              </w:rPr>
            </w:pPr>
          </w:p>
        </w:tc>
        <w:tc>
          <w:tcPr>
            <w:tcW w:w="1134" w:type="dxa"/>
            <w:vAlign w:val="center"/>
          </w:tcPr>
          <w:p>
            <w:pPr>
              <w:spacing w:line="400" w:lineRule="exact"/>
              <w:jc w:val="center"/>
              <w:rPr>
                <w:rFonts w:cs="宋体" w:asciiTheme="minorEastAsia" w:hAnsiTheme="minorEastAsia" w:eastAsiaTheme="minorEastAsia"/>
                <w:szCs w:val="21"/>
                <w:u w:val="single"/>
              </w:rPr>
            </w:pPr>
          </w:p>
        </w:tc>
        <w:tc>
          <w:tcPr>
            <w:tcW w:w="3489" w:type="dxa"/>
            <w:gridSpan w:val="2"/>
            <w:vMerge w:val="continue"/>
            <w:vAlign w:val="center"/>
          </w:tcPr>
          <w:p>
            <w:pPr>
              <w:spacing w:line="400" w:lineRule="exact"/>
              <w:jc w:val="center"/>
              <w:rPr>
                <w:rFonts w:cs="宋体" w:asciiTheme="minorEastAsia" w:hAnsiTheme="minorEastAsia" w:eastAsiaTheme="minorEastAsia"/>
                <w:szCs w:val="21"/>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2552" w:type="dxa"/>
            <w:vMerge w:val="continue"/>
            <w:vAlign w:val="center"/>
          </w:tcPr>
          <w:p>
            <w:pPr>
              <w:spacing w:line="400" w:lineRule="exact"/>
              <w:jc w:val="center"/>
              <w:rPr>
                <w:rFonts w:cs="宋体" w:asciiTheme="minorEastAsia" w:hAnsiTheme="minorEastAsia" w:eastAsiaTheme="minorEastAsia"/>
                <w:szCs w:val="21"/>
                <w:u w:val="single"/>
              </w:rPr>
            </w:pPr>
          </w:p>
        </w:tc>
        <w:tc>
          <w:tcPr>
            <w:tcW w:w="1701" w:type="dxa"/>
            <w:vAlign w:val="center"/>
          </w:tcPr>
          <w:p>
            <w:pPr>
              <w:spacing w:line="400" w:lineRule="exact"/>
              <w:jc w:val="center"/>
              <w:rPr>
                <w:rFonts w:cs="宋体" w:asciiTheme="minorEastAsia" w:hAnsiTheme="minorEastAsia" w:eastAsiaTheme="minorEastAsia"/>
                <w:szCs w:val="21"/>
              </w:rPr>
            </w:pPr>
          </w:p>
        </w:tc>
        <w:tc>
          <w:tcPr>
            <w:tcW w:w="1134" w:type="dxa"/>
            <w:vAlign w:val="center"/>
          </w:tcPr>
          <w:p>
            <w:pPr>
              <w:spacing w:line="400" w:lineRule="exact"/>
              <w:jc w:val="center"/>
              <w:rPr>
                <w:rFonts w:cs="宋体" w:asciiTheme="minorEastAsia" w:hAnsiTheme="minorEastAsia" w:eastAsiaTheme="minorEastAsia"/>
                <w:szCs w:val="21"/>
                <w:u w:val="single"/>
              </w:rPr>
            </w:pPr>
          </w:p>
        </w:tc>
        <w:tc>
          <w:tcPr>
            <w:tcW w:w="3489" w:type="dxa"/>
            <w:gridSpan w:val="2"/>
            <w:vAlign w:val="center"/>
          </w:tcPr>
          <w:p>
            <w:pPr>
              <w:spacing w:line="400" w:lineRule="exact"/>
              <w:jc w:val="center"/>
              <w:rPr>
                <w:rFonts w:cs="宋体" w:asciiTheme="minorEastAsia" w:hAnsiTheme="minorEastAsia" w:eastAsiaTheme="minorEastAsia"/>
                <w:szCs w:val="21"/>
                <w:u w:val="single"/>
              </w:rPr>
            </w:pPr>
          </w:p>
        </w:tc>
      </w:tr>
    </w:tbl>
    <w:p>
      <w:pPr>
        <w:pStyle w:val="70"/>
        <w:spacing w:line="400" w:lineRule="exact"/>
        <w:ind w:firstLine="945" w:firstLineChars="450"/>
        <w:jc w:val="left"/>
        <w:rPr>
          <w:rFonts w:asciiTheme="minorEastAsia" w:hAnsiTheme="minorEastAsia" w:eastAsiaTheme="minorEastAsia"/>
          <w:kern w:val="24"/>
          <w:szCs w:val="21"/>
        </w:rPr>
      </w:pPr>
      <w:r>
        <w:rPr>
          <w:rFonts w:hint="eastAsia" w:asciiTheme="minorEastAsia" w:hAnsiTheme="minorEastAsia" w:eastAsiaTheme="minorEastAsia"/>
          <w:kern w:val="24"/>
          <w:szCs w:val="21"/>
        </w:rPr>
        <w:t>注：对于潮湿环境下及室外的的水管保温厚度根据表中数据加厚一档设置。</w:t>
      </w:r>
    </w:p>
    <w:p>
      <w:pPr>
        <w:pStyle w:val="88"/>
        <w:rPr>
          <w:rFonts w:asciiTheme="minorEastAsia" w:hAnsiTheme="minorEastAsia" w:eastAsiaTheme="minorEastAsia"/>
        </w:rPr>
      </w:pPr>
      <w:r>
        <w:rPr>
          <w:rFonts w:hint="eastAsia" w:asciiTheme="minorEastAsia" w:hAnsiTheme="minorEastAsia" w:eastAsiaTheme="minorEastAsia"/>
        </w:rPr>
        <w:t>冷媒管采用</w:t>
      </w:r>
      <w:r>
        <w:rPr>
          <w:rFonts w:hint="eastAsia" w:asciiTheme="minorEastAsia" w:hAnsiTheme="minorEastAsia" w:eastAsiaTheme="minorEastAsia"/>
          <w:u w:val="single"/>
        </w:rPr>
        <w:t xml:space="preserve">         </w:t>
      </w:r>
      <w:r>
        <w:rPr>
          <w:rFonts w:hint="eastAsia" w:asciiTheme="minorEastAsia" w:hAnsiTheme="minorEastAsia" w:eastAsiaTheme="minorEastAsia"/>
        </w:rPr>
        <w:t>材料保温，其导热系数</w:t>
      </w:r>
      <w:r>
        <w:rPr>
          <w:rFonts w:hint="eastAsia" w:asciiTheme="minorEastAsia" w:hAnsiTheme="minorEastAsia" w:eastAsiaTheme="minorEastAsia"/>
          <w:u w:val="single"/>
        </w:rPr>
        <w:t xml:space="preserve">     </w:t>
      </w:r>
      <w:r>
        <w:rPr>
          <w:rFonts w:hint="eastAsia" w:asciiTheme="minorEastAsia" w:hAnsiTheme="minorEastAsia" w:eastAsiaTheme="minorEastAsia"/>
        </w:rPr>
        <w:t>，保温厚度为</w:t>
      </w:r>
      <w:r>
        <w:rPr>
          <w:rFonts w:hint="eastAsia" w:asciiTheme="minorEastAsia" w:hAnsiTheme="minorEastAsia" w:eastAsiaTheme="minorEastAsia"/>
          <w:u w:val="single"/>
        </w:rPr>
        <w:t xml:space="preserve">       </w:t>
      </w:r>
      <w:r>
        <w:rPr>
          <w:rFonts w:hint="eastAsia" w:asciiTheme="minorEastAsia" w:hAnsiTheme="minorEastAsia" w:eastAsiaTheme="minorEastAsia"/>
        </w:rPr>
        <w:t>mm。</w:t>
      </w:r>
    </w:p>
    <w:p>
      <w:pPr>
        <w:pStyle w:val="88"/>
        <w:rPr>
          <w:rFonts w:asciiTheme="minorEastAsia" w:hAnsiTheme="minorEastAsia" w:eastAsiaTheme="minorEastAsia"/>
        </w:rPr>
      </w:pPr>
      <w:r>
        <w:rPr>
          <w:rFonts w:hint="eastAsia" w:asciiTheme="minorEastAsia" w:hAnsiTheme="minorEastAsia" w:eastAsiaTheme="minorEastAsia"/>
        </w:rPr>
        <w:t>空调冷凝水管采用</w:t>
      </w:r>
      <w:r>
        <w:rPr>
          <w:rFonts w:hint="eastAsia" w:asciiTheme="minorEastAsia" w:hAnsiTheme="minorEastAsia" w:eastAsiaTheme="minorEastAsia"/>
          <w:u w:val="single"/>
        </w:rPr>
        <w:t xml:space="preserve">         </w:t>
      </w:r>
      <w:r>
        <w:rPr>
          <w:rFonts w:hint="eastAsia" w:asciiTheme="minorEastAsia" w:hAnsiTheme="minorEastAsia" w:eastAsiaTheme="minorEastAsia"/>
        </w:rPr>
        <w:t>材料保温，其导热系数</w:t>
      </w:r>
      <w:r>
        <w:rPr>
          <w:rFonts w:hint="eastAsia" w:asciiTheme="minorEastAsia" w:hAnsiTheme="minorEastAsia" w:eastAsiaTheme="minorEastAsia"/>
          <w:u w:val="single"/>
        </w:rPr>
        <w:t xml:space="preserve">     </w:t>
      </w:r>
      <w:r>
        <w:rPr>
          <w:rFonts w:hint="eastAsia" w:asciiTheme="minorEastAsia" w:hAnsiTheme="minorEastAsia" w:eastAsiaTheme="minorEastAsia"/>
        </w:rPr>
        <w:t>，保温厚度为</w:t>
      </w:r>
      <w:r>
        <w:rPr>
          <w:rFonts w:hint="eastAsia" w:asciiTheme="minorEastAsia" w:hAnsiTheme="minorEastAsia" w:eastAsiaTheme="minorEastAsia"/>
          <w:u w:val="single"/>
        </w:rPr>
        <w:t xml:space="preserve">       </w:t>
      </w:r>
      <w:r>
        <w:rPr>
          <w:rFonts w:hint="eastAsia" w:asciiTheme="minorEastAsia" w:hAnsiTheme="minorEastAsia" w:eastAsiaTheme="minorEastAsia"/>
        </w:rPr>
        <w:t>mm。</w:t>
      </w:r>
    </w:p>
    <w:p>
      <w:pPr>
        <w:pStyle w:val="87"/>
        <w:spacing w:before="156" w:beforeLines="50"/>
        <w:ind w:left="424" w:hanging="424" w:hangingChars="202"/>
        <w:rPr>
          <w:rFonts w:asciiTheme="minorEastAsia" w:hAnsiTheme="minorEastAsia" w:eastAsiaTheme="minorEastAsia"/>
        </w:rPr>
      </w:pPr>
      <w:r>
        <w:rPr>
          <w:rFonts w:hint="eastAsia" w:asciiTheme="minorEastAsia" w:hAnsiTheme="minorEastAsia" w:eastAsiaTheme="minorEastAsia"/>
        </w:rPr>
        <w:t>空调系统控制：</w:t>
      </w:r>
    </w:p>
    <w:p>
      <w:pPr>
        <w:pStyle w:val="88"/>
        <w:rPr>
          <w:rFonts w:asciiTheme="minorEastAsia" w:hAnsiTheme="minorEastAsia" w:eastAsiaTheme="minorEastAsia"/>
        </w:rPr>
      </w:pPr>
      <w:r>
        <w:rPr>
          <w:rFonts w:hint="eastAsia" w:asciiTheme="minorEastAsia" w:hAnsiTheme="minorEastAsia" w:eastAsiaTheme="minorEastAsia"/>
        </w:rPr>
        <w:t>本项目空调冷热源中心设置机组群控系统：□是；□否。当采用群控方式时，控制系统能根据负荷变化、系统特性来进行优化运行控制。</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空调冷、热源系统的控制应满足下列基本要求：</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冷水机组采用冷量优化控制运行台数的方式：□是；□否。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冷水机组或热交换器、水泵、冷却塔的风机等设备连锁启停：□是；□否。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对供、回水温度及压差进行监测：□是；□否。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对设备运行状态进行监测及故障报警：□是；□否。</w:t>
      </w:r>
    </w:p>
    <w:p>
      <w:pPr>
        <w:pStyle w:val="89"/>
        <w:numPr>
          <w:ilvl w:val="0"/>
          <w:numId w:val="0"/>
        </w:numPr>
        <w:spacing w:line="400" w:lineRule="exact"/>
        <w:ind w:left="987"/>
        <w:rPr>
          <w:rFonts w:asciiTheme="minorEastAsia" w:hAnsiTheme="minorEastAsia" w:eastAsiaTheme="minorEastAsia"/>
        </w:rPr>
      </w:pPr>
      <w:r>
        <w:rPr>
          <w:rFonts w:asciiTheme="minorEastAsia" w:hAnsiTheme="minorEastAsia" w:eastAsiaTheme="minorEastAsia"/>
        </w:rPr>
        <w:t>根据末端需求进行水泵台数和转速的控制</w:t>
      </w:r>
      <w:r>
        <w:rPr>
          <w:rFonts w:hint="eastAsia" w:asciiTheme="minorEastAsia" w:hAnsiTheme="minorEastAsia" w:eastAsiaTheme="minorEastAsia"/>
        </w:rPr>
        <w:t>：□是；□否。</w:t>
      </w:r>
    </w:p>
    <w:p>
      <w:pPr>
        <w:pStyle w:val="89"/>
        <w:spacing w:line="400" w:lineRule="exact"/>
        <w:rPr>
          <w:rFonts w:asciiTheme="minorEastAsia" w:hAnsiTheme="minorEastAsia" w:eastAsiaTheme="minorEastAsia"/>
        </w:rPr>
      </w:pPr>
      <w:r>
        <w:rPr>
          <w:rFonts w:hint="eastAsia" w:asciiTheme="minorEastAsia" w:hAnsiTheme="minorEastAsia" w:eastAsiaTheme="minorEastAsia"/>
        </w:rPr>
        <w:t>空调风系统应满足下列基本控制要求：</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空气温、湿度的监测和控制：□是；□否。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风机、风阀的启停连锁控制：□是；□否。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全空气系统风机采用变速控制方式：□是；□否。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全空气系统通过室内外焓值比较，来确定采用变新风比运行：□是；□否。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设备运行状态的监测及故障报警：□是；□否。</w:t>
      </w:r>
    </w:p>
    <w:p>
      <w:pPr>
        <w:pStyle w:val="89"/>
        <w:numPr>
          <w:ilvl w:val="0"/>
          <w:numId w:val="0"/>
        </w:numPr>
        <w:spacing w:line="400" w:lineRule="exact"/>
        <w:ind w:left="987"/>
        <w:rPr>
          <w:rFonts w:asciiTheme="minorEastAsia" w:hAnsiTheme="minorEastAsia" w:eastAsiaTheme="minorEastAsia"/>
        </w:rPr>
      </w:pPr>
      <w:r>
        <w:rPr>
          <w:rFonts w:hint="eastAsia" w:asciiTheme="minorEastAsia" w:hAnsiTheme="minorEastAsia" w:eastAsiaTheme="minorEastAsia"/>
        </w:rPr>
        <w:t>过滤器超压报警或显示：□是；□否。</w:t>
      </w:r>
    </w:p>
    <w:p>
      <w:pPr>
        <w:pStyle w:val="88"/>
        <w:spacing w:before="156" w:beforeLines="50"/>
        <w:rPr>
          <w:rFonts w:asciiTheme="minorEastAsia" w:hAnsiTheme="minorEastAsia" w:eastAsiaTheme="minorEastAsia"/>
        </w:rPr>
      </w:pPr>
      <w:r>
        <w:rPr>
          <w:rFonts w:hint="eastAsia" w:asciiTheme="minorEastAsia" w:hAnsiTheme="minorEastAsia" w:eastAsiaTheme="minorEastAsia"/>
        </w:rPr>
        <w:t>多联式空调（热泵）系统□不设置 □设置集中控制系统。</w:t>
      </w:r>
    </w:p>
    <w:p>
      <w:pPr>
        <w:pStyle w:val="88"/>
        <w:rPr>
          <w:rFonts w:asciiTheme="minorEastAsia" w:hAnsiTheme="minorEastAsia" w:eastAsiaTheme="minorEastAsia"/>
        </w:rPr>
      </w:pPr>
      <w:r>
        <w:rPr>
          <w:rFonts w:hint="eastAsia" w:asciiTheme="minorEastAsia" w:hAnsiTheme="minorEastAsia" w:eastAsiaTheme="minorEastAsia"/>
        </w:rPr>
        <w:t>锅炉房及换热机房 □不设置 □设置 供热量控制装置。锅炉房、换热机房和制冷机房对燃料的消耗量、耗电量、集中供热系统的供热量、补水量以及集中空调系统冷源的供冷量设置计量，循环水泵耗电量单独计量。</w:t>
      </w:r>
    </w:p>
    <w:p>
      <w:pPr>
        <w:pStyle w:val="88"/>
        <w:rPr>
          <w:rFonts w:asciiTheme="minorEastAsia" w:hAnsiTheme="minorEastAsia" w:eastAsiaTheme="minorEastAsia"/>
          <w:sz w:val="22"/>
        </w:rPr>
      </w:pPr>
      <w:r>
        <w:rPr>
          <w:rFonts w:hint="eastAsia" w:asciiTheme="minorEastAsia" w:hAnsiTheme="minorEastAsia" w:eastAsiaTheme="minorEastAsia"/>
          <w:sz w:val="22"/>
        </w:rPr>
        <w:t>地下车库□不设置 □设置与排风设备联动的一氧化碳浓度监测装置。CO浓度监控系统监测点每个防烟分区设置</w:t>
      </w:r>
      <w:r>
        <w:rPr>
          <w:rFonts w:hint="eastAsia" w:asciiTheme="minorEastAsia" w:hAnsiTheme="minorEastAsia" w:eastAsiaTheme="minorEastAsia"/>
          <w:sz w:val="22"/>
          <w:u w:val="single"/>
        </w:rPr>
        <w:t xml:space="preserve"> </w:t>
      </w:r>
      <w:r>
        <w:rPr>
          <w:rFonts w:asciiTheme="minorEastAsia" w:hAnsiTheme="minorEastAsia" w:eastAsiaTheme="minorEastAsia"/>
          <w:sz w:val="22"/>
          <w:u w:val="single"/>
        </w:rPr>
        <w:t xml:space="preserve">    </w:t>
      </w:r>
      <w:r>
        <w:rPr>
          <w:rFonts w:hint="eastAsia" w:asciiTheme="minorEastAsia" w:hAnsiTheme="minorEastAsia" w:eastAsiaTheme="minorEastAsia"/>
          <w:sz w:val="22"/>
        </w:rPr>
        <w:t>个，敷设于车库行车通道两侧的结构柱上并远离车库出入口，监测点距离车库地面完成面1.5m。当CO短时间接触浓度（15分钟的时间加权平均浓度）大于20mg/m</w:t>
      </w:r>
      <w:r>
        <w:rPr>
          <w:rFonts w:hint="eastAsia" w:asciiTheme="minorEastAsia" w:hAnsiTheme="minorEastAsia" w:eastAsiaTheme="minorEastAsia"/>
          <w:sz w:val="22"/>
          <w:vertAlign w:val="superscript"/>
        </w:rPr>
        <w:t>3</w:t>
      </w:r>
      <w:r>
        <w:rPr>
          <w:rFonts w:hint="eastAsia" w:asciiTheme="minorEastAsia" w:hAnsiTheme="minorEastAsia" w:eastAsiaTheme="minorEastAsia"/>
          <w:sz w:val="22"/>
        </w:rPr>
        <w:t>时启动该防烟分区排风机及其联动的进风机运行。</w:t>
      </w:r>
    </w:p>
    <w:p>
      <w:pPr>
        <w:pStyle w:val="88"/>
        <w:rPr>
          <w:rFonts w:asciiTheme="minorEastAsia" w:hAnsiTheme="minorEastAsia" w:eastAsiaTheme="minorEastAsia"/>
        </w:rPr>
      </w:pPr>
      <w:r>
        <w:rPr>
          <w:rFonts w:hint="eastAsia" w:asciiTheme="minorEastAsia" w:hAnsiTheme="minorEastAsia" w:eastAsiaTheme="minorEastAsia"/>
        </w:rPr>
        <w:t>本项目</w:t>
      </w:r>
      <w:r>
        <w:rPr>
          <w:rFonts w:asciiTheme="minorEastAsia" w:hAnsiTheme="minorEastAsia" w:eastAsiaTheme="minorEastAsia"/>
        </w:rPr>
        <w:t>空调系统</w:t>
      </w:r>
      <w:r>
        <w:rPr>
          <w:rFonts w:hint="eastAsia" w:asciiTheme="minorEastAsia" w:hAnsiTheme="minorEastAsia" w:eastAsiaTheme="minorEastAsia"/>
        </w:rPr>
        <w:t>□不设置  □设置包含 CO2、PM2.5及PM10的测量功能的室内空气质量监测系统，并具备定时连续测量、显示、记录和数据传输功能，监测系统对污染物的采样周期不得长于10min。</w:t>
      </w:r>
    </w:p>
    <w:p>
      <w:pPr>
        <w:pStyle w:val="87"/>
        <w:spacing w:before="156" w:beforeLines="50"/>
        <w:ind w:left="424" w:hanging="424" w:hangingChars="202"/>
        <w:rPr>
          <w:rFonts w:asciiTheme="minorEastAsia" w:hAnsiTheme="minorEastAsia" w:eastAsiaTheme="minorEastAsia"/>
        </w:rPr>
      </w:pPr>
      <w:r>
        <w:rPr>
          <w:rFonts w:hint="eastAsia" w:asciiTheme="minorEastAsia" w:hAnsiTheme="minorEastAsia" w:eastAsiaTheme="minorEastAsia"/>
        </w:rPr>
        <w:t>其它：</w:t>
      </w:r>
    </w:p>
    <w:p>
      <w:pPr>
        <w:pStyle w:val="88"/>
        <w:numPr>
          <w:ilvl w:val="1"/>
          <w:numId w:val="35"/>
        </w:numPr>
        <w:rPr>
          <w:rFonts w:asciiTheme="minorEastAsia" w:hAnsiTheme="minorEastAsia" w:eastAsiaTheme="minorEastAsia"/>
        </w:rPr>
      </w:pPr>
      <w:r>
        <w:rPr>
          <w:rFonts w:hint="eastAsia" w:asciiTheme="minorEastAsia" w:hAnsiTheme="minorEastAsia" w:eastAsiaTheme="minorEastAsia"/>
        </w:rPr>
        <w:t>供暖、通风与空调系统能耗降低幅度经过模拟优化且被评审认定。□否；□是，供暖、通风与空调系统能耗降低幅度</w:t>
      </w:r>
      <w:r>
        <w:rPr>
          <w:rFonts w:hint="eastAsia" w:asciiTheme="minorEastAsia" w:hAnsiTheme="minorEastAsia" w:eastAsiaTheme="minorEastAsia"/>
          <w:u w:val="single"/>
        </w:rPr>
        <w:t xml:space="preserve">          。</w:t>
      </w:r>
    </w:p>
    <w:p>
      <w:pPr>
        <w:pStyle w:val="88"/>
        <w:rPr>
          <w:rFonts w:asciiTheme="minorEastAsia" w:hAnsiTheme="minorEastAsia" w:eastAsiaTheme="minorEastAsia"/>
        </w:rPr>
      </w:pPr>
      <w:r>
        <w:rPr>
          <w:rFonts w:hint="eastAsia" w:asciiTheme="minorEastAsia" w:hAnsiTheme="minorEastAsia" w:eastAsiaTheme="minorEastAsia"/>
        </w:rPr>
        <w:t>其它说明的内容</w:t>
      </w:r>
      <w:r>
        <w:rPr>
          <w:rFonts w:hint="eastAsia" w:asciiTheme="minorEastAsia" w:hAnsiTheme="minorEastAsia" w:eastAsiaTheme="minorEastAsia"/>
          <w:b/>
        </w:rPr>
        <w:t>（表中内容罗列了常见暖通空调系统填写内容，对于实际项目中，应根据实际设计中采取的技术措施相应增加与减少对应的条款。）</w:t>
      </w:r>
    </w:p>
    <w:p>
      <w:pPr>
        <w:rPr>
          <w:rFonts w:hAnsi="宋体"/>
        </w:rPr>
      </w:pPr>
    </w:p>
    <w:p>
      <w:pPr>
        <w:rPr>
          <w:rFonts w:hAnsi="宋体"/>
          <w:b/>
          <w:kern w:val="0"/>
          <w:sz w:val="24"/>
        </w:rPr>
      </w:pPr>
    </w:p>
    <w:p>
      <w:pPr>
        <w:rPr>
          <w:rFonts w:hAnsi="宋体"/>
          <w:b/>
          <w:kern w:val="0"/>
          <w:sz w:val="24"/>
        </w:rPr>
      </w:pPr>
    </w:p>
    <w:p>
      <w:pPr>
        <w:rPr>
          <w:rFonts w:hAnsi="宋体"/>
          <w:b/>
          <w:kern w:val="0"/>
          <w:sz w:val="24"/>
        </w:rPr>
      </w:pPr>
    </w:p>
    <w:p>
      <w:pPr>
        <w:rPr>
          <w:rFonts w:hAnsi="宋体"/>
          <w:b/>
          <w:kern w:val="0"/>
          <w:sz w:val="24"/>
        </w:rPr>
      </w:pPr>
    </w:p>
    <w:p>
      <w:pPr>
        <w:rPr>
          <w:rFonts w:hAnsi="宋体"/>
          <w:sz w:val="18"/>
          <w:szCs w:val="18"/>
        </w:rPr>
      </w:pPr>
    </w:p>
    <w:p>
      <w:pPr>
        <w:rPr>
          <w:rFonts w:hAnsi="宋体"/>
        </w:rPr>
      </w:pPr>
    </w:p>
    <w:p>
      <w:pPr>
        <w:rPr>
          <w:rFonts w:hAnsi="宋体"/>
        </w:rPr>
      </w:pPr>
    </w:p>
    <w:p>
      <w:pPr>
        <w:rPr>
          <w:rFonts w:hAnsi="宋体"/>
        </w:rPr>
      </w:pPr>
    </w:p>
    <w:p>
      <w:pPr>
        <w:rPr>
          <w:rFonts w:hAnsi="宋体"/>
        </w:rPr>
      </w:pPr>
    </w:p>
    <w:p>
      <w:pPr>
        <w:pStyle w:val="265"/>
        <w:sectPr>
          <w:headerReference r:id="rId9" w:type="default"/>
          <w:pgSz w:w="23814" w:h="16840" w:orient="landscape"/>
          <w:pgMar w:top="1134" w:right="1134" w:bottom="1134" w:left="1134" w:header="851" w:footer="992" w:gutter="0"/>
          <w:cols w:space="630" w:num="2"/>
          <w:docGrid w:type="lines" w:linePitch="312" w:charSpace="0"/>
        </w:sectPr>
      </w:pPr>
    </w:p>
    <w:p>
      <w:pPr>
        <w:pStyle w:val="63"/>
        <w:ind w:firstLine="0"/>
        <w:rPr>
          <w:rFonts w:asciiTheme="minorEastAsia" w:hAnsiTheme="minorEastAsia" w:eastAsiaTheme="minorEastAsia"/>
          <w:b/>
        </w:rPr>
      </w:pPr>
      <w:bookmarkStart w:id="19" w:name="_Toc109325908"/>
      <w:bookmarkStart w:id="20" w:name="_Toc109325272"/>
      <w:r>
        <w:rPr>
          <w:rFonts w:hint="eastAsia" w:asciiTheme="minorEastAsia" w:hAnsiTheme="minorEastAsia" w:eastAsiaTheme="minorEastAsia"/>
          <w:b/>
        </w:rPr>
        <w:t>一、电气及智能化主要设计依据：</w:t>
      </w:r>
      <w:bookmarkEnd w:id="19"/>
      <w:bookmarkEnd w:id="20"/>
    </w:p>
    <w:p>
      <w:pPr>
        <w:widowControl/>
        <w:numPr>
          <w:ilvl w:val="0"/>
          <w:numId w:val="36"/>
        </w:numPr>
        <w:spacing w:line="454" w:lineRule="exact"/>
        <w:rPr>
          <w:rFonts w:hAnsi="宋体"/>
          <w:szCs w:val="21"/>
        </w:rPr>
      </w:pPr>
      <w:r>
        <w:rPr>
          <w:rFonts w:hint="eastAsia" w:hAnsi="宋体"/>
          <w:szCs w:val="21"/>
        </w:rPr>
        <w:t>《浙江省绿色建筑条例》 ；</w:t>
      </w:r>
    </w:p>
    <w:p>
      <w:pPr>
        <w:widowControl/>
        <w:numPr>
          <w:ilvl w:val="0"/>
          <w:numId w:val="36"/>
        </w:numPr>
        <w:spacing w:line="454" w:lineRule="exact"/>
        <w:rPr>
          <w:rFonts w:hAnsi="宋体"/>
          <w:szCs w:val="21"/>
        </w:rPr>
      </w:pPr>
      <w:r>
        <w:rPr>
          <w:rFonts w:hint="eastAsia" w:hAnsi="宋体"/>
          <w:szCs w:val="21"/>
        </w:rPr>
        <w:t>《杭州市民用建筑节能条例》 ；</w:t>
      </w:r>
    </w:p>
    <w:p>
      <w:pPr>
        <w:numPr>
          <w:ilvl w:val="0"/>
          <w:numId w:val="36"/>
        </w:numPr>
        <w:autoSpaceDE w:val="0"/>
        <w:autoSpaceDN w:val="0"/>
        <w:adjustRightInd w:val="0"/>
        <w:spacing w:line="400" w:lineRule="exact"/>
        <w:jc w:val="left"/>
        <w:rPr>
          <w:rFonts w:asciiTheme="minorEastAsia" w:hAnsiTheme="minorEastAsia" w:eastAsiaTheme="minorEastAsia"/>
          <w:szCs w:val="21"/>
        </w:rPr>
      </w:pPr>
      <w:r>
        <w:rPr>
          <w:rFonts w:asciiTheme="minorEastAsia" w:hAnsiTheme="minorEastAsia" w:eastAsiaTheme="minorEastAsia"/>
          <w:szCs w:val="21"/>
        </w:rPr>
        <w:t>《建筑节能与可再生能源利用通用规范》GB 55015-2021</w:t>
      </w:r>
    </w:p>
    <w:p>
      <w:pPr>
        <w:numPr>
          <w:ilvl w:val="0"/>
          <w:numId w:val="36"/>
        </w:numPr>
        <w:autoSpaceDE w:val="0"/>
        <w:autoSpaceDN w:val="0"/>
        <w:adjustRightInd w:val="0"/>
        <w:spacing w:line="400" w:lineRule="exact"/>
        <w:jc w:val="left"/>
        <w:rPr>
          <w:rFonts w:asciiTheme="minorEastAsia" w:hAnsiTheme="minorEastAsia" w:eastAsiaTheme="minorEastAsia"/>
          <w:szCs w:val="21"/>
        </w:rPr>
      </w:pPr>
      <w:r>
        <w:rPr>
          <w:rFonts w:asciiTheme="minorEastAsia" w:hAnsiTheme="minorEastAsia" w:eastAsiaTheme="minorEastAsia"/>
          <w:szCs w:val="21"/>
        </w:rPr>
        <w:t>《建筑环境通用规范》GB 55016-2021</w:t>
      </w:r>
    </w:p>
    <w:p>
      <w:pPr>
        <w:widowControl/>
        <w:numPr>
          <w:ilvl w:val="0"/>
          <w:numId w:val="36"/>
        </w:numPr>
        <w:spacing w:line="454" w:lineRule="exact"/>
        <w:rPr>
          <w:rFonts w:hAnsi="宋体"/>
          <w:szCs w:val="21"/>
        </w:rPr>
      </w:pPr>
      <w:r>
        <w:rPr>
          <w:rFonts w:hint="eastAsia" w:hAnsi="宋体"/>
          <w:szCs w:val="21"/>
        </w:rPr>
        <w:t>《绿色建筑评价标准》 GB/T 50378-</w:t>
      </w:r>
      <w:r>
        <w:rPr>
          <w:rFonts w:hAnsi="宋体"/>
          <w:szCs w:val="21"/>
        </w:rPr>
        <w:t>2019</w:t>
      </w:r>
      <w:r>
        <w:rPr>
          <w:rFonts w:hint="eastAsia" w:hAnsi="宋体"/>
          <w:szCs w:val="21"/>
        </w:rPr>
        <w:t>；</w:t>
      </w:r>
    </w:p>
    <w:p>
      <w:pPr>
        <w:widowControl/>
        <w:numPr>
          <w:ilvl w:val="0"/>
          <w:numId w:val="36"/>
        </w:numPr>
        <w:spacing w:line="454" w:lineRule="exact"/>
        <w:rPr>
          <w:rFonts w:hAnsi="宋体"/>
          <w:szCs w:val="21"/>
        </w:rPr>
      </w:pPr>
      <w:r>
        <w:rPr>
          <w:rFonts w:hint="eastAsia" w:hAnsi="宋体"/>
          <w:szCs w:val="21"/>
        </w:rPr>
        <w:t>《供配电系统设计规范》 GB 50052-2009；</w:t>
      </w:r>
    </w:p>
    <w:p>
      <w:pPr>
        <w:widowControl/>
        <w:numPr>
          <w:ilvl w:val="0"/>
          <w:numId w:val="36"/>
        </w:numPr>
        <w:spacing w:line="454" w:lineRule="exact"/>
        <w:rPr>
          <w:rFonts w:hAnsi="宋体"/>
          <w:szCs w:val="21"/>
        </w:rPr>
      </w:pPr>
      <w:r>
        <w:rPr>
          <w:rFonts w:hint="eastAsia" w:hAnsi="宋体"/>
          <w:szCs w:val="21"/>
        </w:rPr>
        <w:t>《电能质量 公共电网谐波》 GB/T</w:t>
      </w:r>
      <w:r>
        <w:rPr>
          <w:rFonts w:hAnsi="宋体"/>
          <w:szCs w:val="21"/>
        </w:rPr>
        <w:t xml:space="preserve"> </w:t>
      </w:r>
      <w:r>
        <w:rPr>
          <w:rFonts w:hint="eastAsia" w:hAnsi="宋体"/>
          <w:szCs w:val="21"/>
        </w:rPr>
        <w:t>14549-1993；</w:t>
      </w:r>
    </w:p>
    <w:p>
      <w:pPr>
        <w:widowControl/>
        <w:numPr>
          <w:ilvl w:val="0"/>
          <w:numId w:val="36"/>
        </w:numPr>
        <w:spacing w:line="454" w:lineRule="exact"/>
        <w:rPr>
          <w:rFonts w:hAnsi="宋体"/>
          <w:szCs w:val="21"/>
        </w:rPr>
      </w:pPr>
      <w:r>
        <w:rPr>
          <w:rFonts w:hint="eastAsia" w:hAnsi="宋体"/>
          <w:szCs w:val="21"/>
        </w:rPr>
        <w:t>《建筑照明设计标准》 GB 50034-2013；</w:t>
      </w:r>
    </w:p>
    <w:p>
      <w:pPr>
        <w:widowControl/>
        <w:numPr>
          <w:ilvl w:val="0"/>
          <w:numId w:val="36"/>
        </w:numPr>
        <w:spacing w:line="454" w:lineRule="exact"/>
        <w:rPr>
          <w:rFonts w:hAnsi="宋体"/>
          <w:szCs w:val="21"/>
        </w:rPr>
      </w:pPr>
      <w:r>
        <w:rPr>
          <w:rFonts w:hint="eastAsia" w:hAnsi="宋体"/>
          <w:szCs w:val="21"/>
        </w:rPr>
        <w:t>《城市夜景照明设计规范》 JGJ/T 163-2008；</w:t>
      </w:r>
    </w:p>
    <w:p>
      <w:pPr>
        <w:widowControl/>
        <w:numPr>
          <w:ilvl w:val="0"/>
          <w:numId w:val="36"/>
        </w:numPr>
        <w:spacing w:line="454" w:lineRule="exact"/>
        <w:rPr>
          <w:rFonts w:hAnsi="宋体"/>
          <w:szCs w:val="21"/>
        </w:rPr>
      </w:pPr>
      <w:r>
        <w:rPr>
          <w:rFonts w:hint="eastAsia" w:hAnsi="宋体"/>
          <w:szCs w:val="21"/>
        </w:rPr>
        <w:t xml:space="preserve">《智能建筑设计标准》 GB 50314-2015； </w:t>
      </w:r>
    </w:p>
    <w:p>
      <w:pPr>
        <w:widowControl/>
        <w:numPr>
          <w:ilvl w:val="0"/>
          <w:numId w:val="36"/>
        </w:numPr>
        <w:spacing w:line="454" w:lineRule="exact"/>
        <w:rPr>
          <w:rFonts w:hAnsi="宋体"/>
          <w:szCs w:val="21"/>
        </w:rPr>
      </w:pPr>
      <w:r>
        <w:rPr>
          <w:rFonts w:hint="eastAsia" w:hAnsi="宋体"/>
          <w:szCs w:val="21"/>
        </w:rPr>
        <w:t>《居住区智能化系统配置与技术要求》</w:t>
      </w:r>
      <w:r>
        <w:rPr>
          <w:rFonts w:hAnsi="宋体"/>
          <w:szCs w:val="21"/>
        </w:rPr>
        <w:t>CJ/T 174-2003</w:t>
      </w:r>
      <w:r>
        <w:rPr>
          <w:rFonts w:hint="eastAsia" w:hAnsi="宋体"/>
          <w:szCs w:val="21"/>
        </w:rPr>
        <w:t>；</w:t>
      </w:r>
    </w:p>
    <w:p>
      <w:pPr>
        <w:widowControl/>
        <w:numPr>
          <w:ilvl w:val="0"/>
          <w:numId w:val="36"/>
        </w:numPr>
        <w:spacing w:line="454" w:lineRule="exact"/>
        <w:rPr>
          <w:rFonts w:hAnsi="宋体"/>
          <w:szCs w:val="21"/>
        </w:rPr>
      </w:pPr>
      <w:r>
        <w:rPr>
          <w:rFonts w:hint="eastAsia" w:hAnsi="宋体"/>
          <w:szCs w:val="21"/>
        </w:rPr>
        <w:t>浙江省《民用建筑项目节能评估技术导则》；</w:t>
      </w:r>
    </w:p>
    <w:p>
      <w:pPr>
        <w:widowControl/>
        <w:numPr>
          <w:ilvl w:val="0"/>
          <w:numId w:val="36"/>
        </w:numPr>
        <w:spacing w:line="454" w:lineRule="exact"/>
        <w:rPr>
          <w:rFonts w:hAnsi="宋体"/>
          <w:szCs w:val="21"/>
        </w:rPr>
      </w:pPr>
      <w:r>
        <w:rPr>
          <w:rFonts w:hint="eastAsia" w:hAnsi="宋体" w:cs="宋体"/>
          <w:kern w:val="0"/>
          <w:szCs w:val="21"/>
        </w:rPr>
        <w:t>浙江省</w:t>
      </w:r>
      <w:r>
        <w:rPr>
          <w:rFonts w:hint="eastAsia" w:hAnsi="宋体"/>
          <w:szCs w:val="21"/>
        </w:rPr>
        <w:t>《绿色建筑设计标准》 DB</w:t>
      </w:r>
      <w:r>
        <w:rPr>
          <w:rFonts w:hAnsi="宋体"/>
          <w:szCs w:val="21"/>
        </w:rPr>
        <w:t xml:space="preserve"> </w:t>
      </w:r>
      <w:r>
        <w:rPr>
          <w:rFonts w:hint="eastAsia" w:hAnsi="宋体"/>
          <w:szCs w:val="21"/>
        </w:rPr>
        <w:t>33/1092</w:t>
      </w:r>
      <w:r>
        <w:rPr>
          <w:rFonts w:hAnsi="宋体"/>
          <w:szCs w:val="21"/>
        </w:rPr>
        <w:t>-2021</w:t>
      </w:r>
      <w:r>
        <w:rPr>
          <w:rFonts w:hint="eastAsia" w:hAnsi="宋体"/>
          <w:szCs w:val="21"/>
        </w:rPr>
        <w:t>；</w:t>
      </w:r>
    </w:p>
    <w:p>
      <w:pPr>
        <w:widowControl/>
        <w:numPr>
          <w:ilvl w:val="0"/>
          <w:numId w:val="36"/>
        </w:numPr>
        <w:spacing w:line="454" w:lineRule="exact"/>
        <w:rPr>
          <w:rFonts w:hAnsi="宋体"/>
          <w:szCs w:val="21"/>
        </w:rPr>
      </w:pPr>
      <w:r>
        <w:rPr>
          <w:rFonts w:hint="eastAsia" w:hAnsi="宋体" w:cs="宋体"/>
          <w:kern w:val="0"/>
          <w:szCs w:val="21"/>
        </w:rPr>
        <w:t>浙江省</w:t>
      </w:r>
      <w:r>
        <w:rPr>
          <w:rFonts w:hint="eastAsia" w:hAnsi="宋体"/>
          <w:szCs w:val="21"/>
        </w:rPr>
        <w:t>《居住建筑节能设计标准》DB</w:t>
      </w:r>
      <w:r>
        <w:rPr>
          <w:rFonts w:hAnsi="宋体"/>
          <w:szCs w:val="21"/>
        </w:rPr>
        <w:t xml:space="preserve"> </w:t>
      </w:r>
      <w:r>
        <w:rPr>
          <w:rFonts w:hint="eastAsia" w:hAnsi="宋体"/>
          <w:szCs w:val="21"/>
        </w:rPr>
        <w:t>33/1015-2021；</w:t>
      </w:r>
    </w:p>
    <w:p>
      <w:pPr>
        <w:widowControl/>
        <w:numPr>
          <w:ilvl w:val="0"/>
          <w:numId w:val="36"/>
        </w:numPr>
        <w:spacing w:line="454" w:lineRule="exact"/>
        <w:rPr>
          <w:rFonts w:hAnsi="宋体"/>
          <w:szCs w:val="21"/>
        </w:rPr>
      </w:pPr>
      <w:r>
        <w:rPr>
          <w:rFonts w:hint="eastAsia" w:hAnsi="宋体" w:cs="宋体"/>
          <w:kern w:val="0"/>
          <w:szCs w:val="21"/>
        </w:rPr>
        <w:t>浙江省</w:t>
      </w:r>
      <w:r>
        <w:rPr>
          <w:rFonts w:hint="eastAsia" w:hAnsi="宋体"/>
          <w:szCs w:val="21"/>
        </w:rPr>
        <w:t>《环境照明工程技术规范》 DB</w:t>
      </w:r>
      <w:r>
        <w:rPr>
          <w:rFonts w:hAnsi="宋体"/>
          <w:szCs w:val="21"/>
        </w:rPr>
        <w:t xml:space="preserve"> </w:t>
      </w:r>
      <w:r>
        <w:rPr>
          <w:rFonts w:hint="eastAsia" w:hAnsi="宋体"/>
          <w:szCs w:val="21"/>
        </w:rPr>
        <w:t>33/T 1055-2018；</w:t>
      </w:r>
    </w:p>
    <w:p>
      <w:pPr>
        <w:widowControl/>
        <w:numPr>
          <w:ilvl w:val="0"/>
          <w:numId w:val="36"/>
        </w:numPr>
        <w:spacing w:line="454" w:lineRule="exact"/>
        <w:rPr>
          <w:rFonts w:hAnsi="宋体"/>
          <w:szCs w:val="21"/>
        </w:rPr>
      </w:pPr>
      <w:r>
        <w:rPr>
          <w:rFonts w:hint="eastAsia" w:hAnsi="宋体" w:cs="宋体"/>
          <w:kern w:val="0"/>
          <w:szCs w:val="21"/>
        </w:rPr>
        <w:t>浙江省</w:t>
      </w:r>
      <w:r>
        <w:rPr>
          <w:rFonts w:hAnsi="宋体"/>
          <w:szCs w:val="21"/>
        </w:rPr>
        <w:t>《</w:t>
      </w:r>
      <w:r>
        <w:rPr>
          <w:rFonts w:hint="eastAsia" w:hAnsi="宋体"/>
          <w:szCs w:val="21"/>
        </w:rPr>
        <w:t>民</w:t>
      </w:r>
      <w:r>
        <w:rPr>
          <w:rFonts w:hAnsi="宋体"/>
          <w:szCs w:val="21"/>
        </w:rPr>
        <w:t>用建筑电动汽车充电设施配置与设计规范》</w:t>
      </w:r>
      <w:r>
        <w:rPr>
          <w:rFonts w:hint="eastAsia" w:hAnsi="宋体"/>
          <w:szCs w:val="21"/>
        </w:rPr>
        <w:t xml:space="preserve"> DB</w:t>
      </w:r>
      <w:r>
        <w:rPr>
          <w:rFonts w:hAnsi="宋体"/>
          <w:szCs w:val="21"/>
        </w:rPr>
        <w:t xml:space="preserve"> </w:t>
      </w:r>
      <w:r>
        <w:rPr>
          <w:rFonts w:hint="eastAsia" w:hAnsi="宋体"/>
          <w:szCs w:val="21"/>
        </w:rPr>
        <w:t>33/1121-2016；</w:t>
      </w:r>
    </w:p>
    <w:p>
      <w:pPr>
        <w:widowControl/>
        <w:numPr>
          <w:ilvl w:val="0"/>
          <w:numId w:val="36"/>
        </w:numPr>
        <w:spacing w:line="454" w:lineRule="exact"/>
        <w:rPr>
          <w:rFonts w:hAnsi="宋体"/>
          <w:szCs w:val="21"/>
        </w:rPr>
      </w:pPr>
      <w:r>
        <w:rPr>
          <w:rFonts w:hint="eastAsia" w:asciiTheme="minorEastAsia" w:hAnsiTheme="minorEastAsia" w:eastAsiaTheme="minorEastAsia"/>
          <w:szCs w:val="21"/>
          <w:lang w:eastAsia="zh-CN"/>
        </w:rPr>
        <w:t>节</w:t>
      </w:r>
      <w:r>
        <w:rPr>
          <w:rFonts w:hint="eastAsia" w:asciiTheme="minorEastAsia" w:hAnsiTheme="minorEastAsia" w:eastAsiaTheme="minorEastAsia"/>
          <w:szCs w:val="21"/>
        </w:rPr>
        <w:t>能评估报告书（表）；</w:t>
      </w:r>
    </w:p>
    <w:p>
      <w:pPr>
        <w:numPr>
          <w:ilvl w:val="0"/>
          <w:numId w:val="36"/>
        </w:numPr>
        <w:spacing w:line="454" w:lineRule="exact"/>
        <w:rPr>
          <w:rFonts w:hAnsi="宋体" w:cs="宋体"/>
          <w:kern w:val="0"/>
          <w:szCs w:val="21"/>
        </w:rPr>
      </w:pPr>
      <w:r>
        <w:rPr>
          <w:rFonts w:hint="eastAsia" w:hAnsi="宋体" w:cs="宋体"/>
          <w:kern w:val="0"/>
          <w:szCs w:val="21"/>
        </w:rPr>
        <w:t>建设单位提供的文件资料要求；</w:t>
      </w:r>
    </w:p>
    <w:p>
      <w:pPr>
        <w:numPr>
          <w:ilvl w:val="0"/>
          <w:numId w:val="36"/>
        </w:numPr>
        <w:spacing w:line="454" w:lineRule="exact"/>
        <w:rPr>
          <w:rFonts w:hAnsi="宋体" w:cs="宋体"/>
          <w:kern w:val="0"/>
          <w:szCs w:val="21"/>
        </w:rPr>
      </w:pPr>
      <w:r>
        <w:rPr>
          <w:rFonts w:hAnsi="宋体" w:cs="宋体"/>
          <w:kern w:val="0"/>
          <w:szCs w:val="21"/>
        </w:rPr>
        <w:t>现行国家、</w:t>
      </w:r>
      <w:r>
        <w:rPr>
          <w:rFonts w:hint="eastAsia" w:hAnsi="宋体" w:cs="宋体"/>
          <w:kern w:val="0"/>
          <w:szCs w:val="21"/>
        </w:rPr>
        <w:t>行业、地方</w:t>
      </w:r>
      <w:r>
        <w:rPr>
          <w:rFonts w:hAnsi="宋体" w:cs="宋体"/>
          <w:kern w:val="0"/>
          <w:szCs w:val="21"/>
        </w:rPr>
        <w:t>相关</w:t>
      </w:r>
      <w:r>
        <w:rPr>
          <w:rFonts w:hint="eastAsia" w:hAnsi="宋体" w:cs="宋体"/>
          <w:kern w:val="0"/>
          <w:szCs w:val="21"/>
        </w:rPr>
        <w:t>绿色建筑与</w:t>
      </w:r>
      <w:r>
        <w:rPr>
          <w:rFonts w:hAnsi="宋体" w:cs="宋体"/>
          <w:kern w:val="0"/>
          <w:szCs w:val="21"/>
        </w:rPr>
        <w:t>节能</w:t>
      </w:r>
      <w:r>
        <w:rPr>
          <w:rFonts w:hint="eastAsia" w:hAnsi="宋体" w:cs="宋体"/>
          <w:kern w:val="0"/>
          <w:szCs w:val="21"/>
        </w:rPr>
        <w:t>的</w:t>
      </w:r>
      <w:r>
        <w:rPr>
          <w:rFonts w:hAnsi="宋体" w:cs="宋体"/>
          <w:kern w:val="0"/>
          <w:szCs w:val="21"/>
        </w:rPr>
        <w:t>法律、法规</w:t>
      </w:r>
      <w:r>
        <w:rPr>
          <w:rFonts w:hint="eastAsia" w:hAnsi="宋体" w:cs="宋体"/>
          <w:kern w:val="0"/>
          <w:szCs w:val="21"/>
        </w:rPr>
        <w:t>和规范性文件。</w:t>
      </w:r>
    </w:p>
    <w:p>
      <w:pPr>
        <w:spacing w:line="360" w:lineRule="auto"/>
        <w:rPr>
          <w:rFonts w:hAnsi="宋体" w:cs="宋体"/>
          <w:sz w:val="18"/>
          <w:szCs w:val="18"/>
        </w:rPr>
      </w:pPr>
    </w:p>
    <w:p>
      <w:pPr>
        <w:pStyle w:val="63"/>
        <w:ind w:firstLine="0"/>
        <w:rPr>
          <w:rFonts w:asciiTheme="minorEastAsia" w:hAnsiTheme="minorEastAsia" w:eastAsiaTheme="minorEastAsia"/>
          <w:b/>
        </w:rPr>
      </w:pPr>
      <w:bookmarkStart w:id="21" w:name="_Toc109325909"/>
      <w:bookmarkStart w:id="22" w:name="_Toc109325273"/>
      <w:r>
        <w:rPr>
          <w:rFonts w:hint="eastAsia" w:asciiTheme="minorEastAsia" w:hAnsiTheme="minorEastAsia" w:eastAsiaTheme="minorEastAsia"/>
          <w:b/>
        </w:rPr>
        <w:t>二、电气</w:t>
      </w:r>
      <w:r>
        <w:rPr>
          <w:rFonts w:asciiTheme="minorEastAsia" w:hAnsiTheme="minorEastAsia" w:eastAsiaTheme="minorEastAsia"/>
          <w:b/>
        </w:rPr>
        <w:t>设计技术措施</w:t>
      </w:r>
      <w:r>
        <w:rPr>
          <w:rFonts w:hint="eastAsia" w:asciiTheme="minorEastAsia" w:hAnsiTheme="minorEastAsia" w:eastAsiaTheme="minorEastAsia"/>
          <w:b/>
        </w:rPr>
        <w:t>:</w:t>
      </w:r>
      <w:bookmarkEnd w:id="21"/>
      <w:bookmarkEnd w:id="22"/>
    </w:p>
    <w:p>
      <w:pPr>
        <w:spacing w:line="360" w:lineRule="auto"/>
        <w:rPr>
          <w:rFonts w:hAnsi="宋体"/>
          <w:b/>
          <w:sz w:val="24"/>
        </w:rPr>
      </w:pPr>
      <w:r>
        <w:rPr>
          <w:rFonts w:hAnsi="宋体"/>
          <w:b/>
          <w:sz w:val="24"/>
        </w:rPr>
        <w:t>可达绿色建筑</w:t>
      </w:r>
      <w:r>
        <w:rPr>
          <w:rFonts w:hint="eastAsia" w:hAnsi="宋体"/>
          <w:b/>
          <w:sz w:val="24"/>
        </w:rPr>
        <w:t>预评价</w:t>
      </w:r>
      <w:r>
        <w:rPr>
          <w:rFonts w:hAnsi="宋体"/>
          <w:b/>
          <w:sz w:val="24"/>
        </w:rPr>
        <w:t>等级</w:t>
      </w:r>
      <w:r>
        <w:rPr>
          <w:rFonts w:hint="eastAsia" w:hAnsi="宋体"/>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一</w:t>
      </w:r>
      <w:r>
        <w:rPr>
          <w:rFonts w:asciiTheme="minorEastAsia" w:hAnsiTheme="minorEastAsia" w:eastAsiaTheme="minorEastAsia"/>
          <w:b/>
          <w:sz w:val="24"/>
        </w:rPr>
        <w:t>星级</w:t>
      </w:r>
      <w:r>
        <w:rPr>
          <w:rFonts w:hint="eastAsia" w:asciiTheme="minorEastAsia" w:hAnsiTheme="minorEastAsia" w:eastAsiaTheme="minorEastAsia"/>
          <w:b/>
          <w:sz w:val="24"/>
        </w:rPr>
        <w:t>；</w:t>
      </w:r>
      <w:r>
        <w:rPr>
          <w:rFonts w:hAnsi="宋体"/>
          <w:b/>
          <w:sz w:val="24"/>
        </w:rPr>
        <w:t>□ 二星级</w:t>
      </w:r>
      <w:r>
        <w:rPr>
          <w:rFonts w:hint="eastAsia" w:hAnsi="宋体"/>
          <w:b/>
          <w:sz w:val="24"/>
        </w:rPr>
        <w:t>；</w:t>
      </w:r>
      <w:r>
        <w:rPr>
          <w:rFonts w:hAnsi="宋体"/>
          <w:b/>
          <w:sz w:val="24"/>
        </w:rPr>
        <w:t xml:space="preserve">□ </w:t>
      </w:r>
      <w:r>
        <w:rPr>
          <w:rFonts w:hint="eastAsia" w:hAnsi="宋体"/>
          <w:b/>
          <w:sz w:val="24"/>
        </w:rPr>
        <w:t>三</w:t>
      </w:r>
      <w:r>
        <w:rPr>
          <w:rFonts w:hAnsi="宋体"/>
          <w:b/>
          <w:sz w:val="24"/>
        </w:rPr>
        <w:t>星级</w:t>
      </w:r>
      <w:r>
        <w:rPr>
          <w:rFonts w:hint="eastAsia" w:hAnsi="宋体"/>
          <w:b/>
          <w:sz w:val="24"/>
        </w:rPr>
        <w:t>。</w:t>
      </w:r>
    </w:p>
    <w:p>
      <w:pPr>
        <w:pBdr>
          <w:top w:val="single" w:color="auto" w:sz="4" w:space="6"/>
          <w:left w:val="single" w:color="auto" w:sz="4" w:space="4"/>
          <w:bottom w:val="single" w:color="auto" w:sz="4" w:space="1"/>
          <w:right w:val="single" w:color="auto" w:sz="4" w:space="4"/>
          <w:between w:val="single" w:color="auto" w:sz="4" w:space="1"/>
        </w:pBdr>
        <w:spacing w:line="360" w:lineRule="auto"/>
        <w:jc w:val="center"/>
        <w:rPr>
          <w:rFonts w:hAnsi="宋体"/>
          <w:b/>
          <w:sz w:val="24"/>
        </w:rPr>
      </w:pPr>
      <w:r>
        <w:rPr>
          <w:rFonts w:hint="eastAsia" w:hAnsi="宋体"/>
          <w:b/>
          <w:sz w:val="24"/>
        </w:rPr>
        <w:t>电气</w:t>
      </w:r>
      <w:r>
        <w:rPr>
          <w:rFonts w:hint="eastAsia" w:hAnsi="宋体"/>
          <w:b/>
          <w:sz w:val="24"/>
          <w:lang w:val="en-GB"/>
        </w:rPr>
        <w:t>设计技术措施</w:t>
      </w:r>
    </w:p>
    <w:p>
      <w:pPr>
        <w:pBdr>
          <w:top w:val="single" w:color="auto" w:sz="4" w:space="6"/>
          <w:left w:val="single" w:color="auto" w:sz="4" w:space="4"/>
          <w:bottom w:val="single" w:color="auto" w:sz="4" w:space="1"/>
          <w:right w:val="single" w:color="auto" w:sz="4" w:space="4"/>
          <w:between w:val="single" w:color="auto" w:sz="4" w:space="1"/>
        </w:pBdr>
        <w:spacing w:line="360" w:lineRule="auto"/>
        <w:jc w:val="center"/>
        <w:rPr>
          <w:rFonts w:hAnsi="宋体"/>
          <w:b/>
          <w:sz w:val="24"/>
        </w:rPr>
      </w:pPr>
      <w:r>
        <w:rPr>
          <w:rFonts w:hint="eastAsia" w:hAnsi="宋体"/>
          <w:b/>
          <w:sz w:val="24"/>
          <w:lang w:val="en-GB"/>
        </w:rPr>
        <w:t>控制项内容</w:t>
      </w:r>
    </w:p>
    <w:p>
      <w:pPr>
        <w:pStyle w:val="90"/>
        <w:numPr>
          <w:ilvl w:val="0"/>
          <w:numId w:val="37"/>
        </w:numPr>
        <w:rPr>
          <w:lang w:val="en-GB"/>
        </w:rPr>
      </w:pPr>
      <w:r>
        <w:rPr>
          <w:rFonts w:hint="eastAsia"/>
          <w:lang w:val="en-GB"/>
        </w:rPr>
        <w:t>负荷计算采用</w:t>
      </w:r>
      <w:r>
        <w:rPr>
          <w:rFonts w:hint="eastAsia"/>
          <w:u w:val="single"/>
          <w:lang w:val="en-GB"/>
        </w:rPr>
        <w:t xml:space="preserve">         </w:t>
      </w:r>
      <w:r>
        <w:rPr>
          <w:rFonts w:hint="eastAsia"/>
          <w:lang w:val="en-GB"/>
        </w:rPr>
        <w:t>法；负荷的总计算容量为</w:t>
      </w:r>
      <w:r>
        <w:rPr>
          <w:rFonts w:hint="eastAsia"/>
          <w:u w:val="single"/>
          <w:lang w:val="en-GB"/>
        </w:rPr>
        <w:t xml:space="preserve">        </w:t>
      </w:r>
      <w:r>
        <w:rPr>
          <w:rFonts w:hint="eastAsia"/>
          <w:lang w:val="en-GB"/>
        </w:rPr>
        <w:t>kW；</w:t>
      </w:r>
    </w:p>
    <w:p>
      <w:pPr>
        <w:pStyle w:val="90"/>
        <w:ind w:left="424" w:leftChars="202"/>
        <w:rPr>
          <w:lang w:val="en-GB"/>
        </w:rPr>
      </w:pPr>
      <w:r>
        <w:rPr>
          <w:rFonts w:hint="eastAsia"/>
          <w:lang w:val="en-GB"/>
        </w:rPr>
        <w:t>供电电压等级：</w:t>
      </w:r>
      <w:r>
        <w:rPr>
          <w:rFonts w:hint="eastAsia"/>
          <w:u w:val="single"/>
          <w:lang w:val="en-GB"/>
        </w:rPr>
        <w:t xml:space="preserve">        </w:t>
      </w:r>
      <w:r>
        <w:rPr>
          <w:lang w:val="en-GB"/>
        </w:rPr>
        <w:t xml:space="preserve"> kV </w:t>
      </w:r>
      <w:r>
        <w:rPr>
          <w:rFonts w:hint="eastAsia"/>
          <w:lang w:val="en-GB"/>
        </w:rPr>
        <w:t>，变压器容量共</w:t>
      </w:r>
      <w:r>
        <w:rPr>
          <w:rFonts w:hint="eastAsia"/>
          <w:u w:val="single"/>
          <w:lang w:val="en-GB"/>
        </w:rPr>
        <w:t xml:space="preserve">        </w:t>
      </w:r>
      <w:r>
        <w:rPr>
          <w:lang w:val="en-GB"/>
        </w:rPr>
        <w:t xml:space="preserve"> kVA</w:t>
      </w:r>
      <w:r>
        <w:rPr>
          <w:rFonts w:hint="eastAsia"/>
          <w:lang w:val="en-GB"/>
        </w:rPr>
        <w:t>；</w:t>
      </w:r>
    </w:p>
    <w:p>
      <w:pPr>
        <w:pStyle w:val="90"/>
        <w:ind w:left="424" w:leftChars="202"/>
        <w:rPr>
          <w:lang w:val="en-GB"/>
        </w:rPr>
      </w:pPr>
      <w:r>
        <w:rPr>
          <w:rFonts w:hint="eastAsia"/>
          <w:lang w:val="en-GB"/>
        </w:rPr>
        <w:t>变配电所靠近负荷中心，供配电线路的敷设路径设计合理</w:t>
      </w:r>
      <w:r>
        <w:rPr>
          <w:lang w:val="en-GB"/>
        </w:rPr>
        <w:t>。</w:t>
      </w:r>
    </w:p>
    <w:p>
      <w:pPr>
        <w:pStyle w:val="90"/>
        <w:numPr>
          <w:ilvl w:val="0"/>
          <w:numId w:val="37"/>
        </w:numPr>
        <w:rPr>
          <w:lang w:val="en-GB"/>
        </w:rPr>
      </w:pPr>
      <w:r>
        <w:rPr>
          <w:rFonts w:hint="eastAsia"/>
          <w:lang w:val="en-GB"/>
        </w:rPr>
        <w:t>用户系统的功率因数、无功补偿满足电力部门的要求；</w:t>
      </w:r>
    </w:p>
    <w:p>
      <w:pPr>
        <w:pStyle w:val="90"/>
        <w:ind w:left="420" w:firstLine="6"/>
        <w:rPr>
          <w:lang w:val="en-GB"/>
        </w:rPr>
      </w:pPr>
      <w:r>
        <w:rPr>
          <w:rFonts w:hint="eastAsia"/>
          <w:lang w:val="en-GB"/>
        </w:rPr>
        <w:t>供配电系统向公共电网注入的谐波电流满足《电能质量 公共电网谐波》GB/T</w:t>
      </w:r>
      <w:r>
        <w:rPr>
          <w:lang w:val="en-GB"/>
        </w:rPr>
        <w:t xml:space="preserve"> </w:t>
      </w:r>
      <w:r>
        <w:rPr>
          <w:rFonts w:hint="eastAsia"/>
          <w:lang w:val="en-GB"/>
        </w:rPr>
        <w:t>14549的规定</w:t>
      </w:r>
      <w:r>
        <w:rPr>
          <w:rFonts w:hint="eastAsia"/>
        </w:rPr>
        <w:t>。</w:t>
      </w:r>
    </w:p>
    <w:p>
      <w:pPr>
        <w:pStyle w:val="90"/>
        <w:numPr>
          <w:ilvl w:val="0"/>
          <w:numId w:val="37"/>
        </w:numPr>
        <w:rPr>
          <w:lang w:val="en-GB"/>
        </w:rPr>
      </w:pPr>
      <w:r>
        <w:rPr>
          <w:lang w:val="en-GB"/>
        </w:rPr>
        <w:t>电动汽车充电设施</w:t>
      </w:r>
      <w:r>
        <w:rPr>
          <w:rFonts w:hint="eastAsia"/>
          <w:lang w:val="en-GB"/>
        </w:rPr>
        <w:t>的供配电设计满足</w:t>
      </w:r>
      <w:r>
        <w:rPr>
          <w:lang w:val="en-GB"/>
        </w:rPr>
        <w:t>《</w:t>
      </w:r>
      <w:r>
        <w:rPr>
          <w:rFonts w:hint="eastAsia"/>
          <w:lang w:val="en-GB"/>
        </w:rPr>
        <w:t>民</w:t>
      </w:r>
      <w:r>
        <w:rPr>
          <w:lang w:val="en-GB"/>
        </w:rPr>
        <w:t>用建筑电动汽车充电设施配置与设计规范》</w:t>
      </w:r>
      <w:r>
        <w:rPr>
          <w:rFonts w:hint="eastAsia"/>
          <w:lang w:val="en-GB"/>
        </w:rPr>
        <w:t>DB 33/1121</w:t>
      </w:r>
      <w:r>
        <w:rPr>
          <w:lang w:val="en-GB"/>
        </w:rPr>
        <w:t>的</w:t>
      </w:r>
      <w:r>
        <w:rPr>
          <w:rFonts w:hint="eastAsia"/>
          <w:lang w:val="en-GB"/>
        </w:rPr>
        <w:t>要求。</w:t>
      </w:r>
    </w:p>
    <w:p>
      <w:pPr>
        <w:pStyle w:val="90"/>
        <w:numPr>
          <w:ilvl w:val="0"/>
          <w:numId w:val="37"/>
        </w:numPr>
        <w:rPr>
          <w:lang w:val="en-GB"/>
        </w:rPr>
      </w:pPr>
      <w:r>
        <w:rPr>
          <w:rFonts w:hint="eastAsia"/>
          <w:lang w:val="en-GB"/>
        </w:rPr>
        <w:t>照明设计满足《建筑照明设计标准》GB50034规定的照度标准、均匀度、眩光值、显色指数；</w:t>
      </w:r>
    </w:p>
    <w:p>
      <w:pPr>
        <w:pStyle w:val="90"/>
        <w:ind w:left="420"/>
        <w:rPr>
          <w:lang w:val="en-GB"/>
        </w:rPr>
      </w:pPr>
      <w:r>
        <w:rPr>
          <w:rFonts w:hint="eastAsia"/>
          <w:lang w:val="en-GB"/>
        </w:rPr>
        <w:t xml:space="preserve"> </w:t>
      </w:r>
      <w:r>
        <w:rPr>
          <w:lang w:val="en-GB"/>
        </w:rPr>
        <w:t xml:space="preserve">   </w:t>
      </w:r>
      <w:r>
        <w:rPr>
          <w:rFonts w:hint="eastAsia"/>
          <w:lang w:val="en-GB"/>
        </w:rPr>
        <w:t>各场所的照明功率密度值满足《建筑节能与可再生能源利用通用规范》GB 55015的规定；</w:t>
      </w:r>
    </w:p>
    <w:p>
      <w:pPr>
        <w:pStyle w:val="90"/>
        <w:ind w:left="845"/>
        <w:rPr>
          <w:u w:val="single"/>
          <w:lang w:val="en-GB"/>
        </w:rPr>
      </w:pPr>
      <w:r>
        <w:rPr>
          <w:rFonts w:hint="eastAsia"/>
          <w:lang w:val="en-GB"/>
        </w:rPr>
        <w:t>室内、外照明主要控制方式说明：</w:t>
      </w:r>
      <w:r>
        <w:rPr>
          <w:u w:val="single"/>
          <w:lang w:val="en-GB"/>
        </w:rPr>
        <w:t xml:space="preserve">                </w:t>
      </w:r>
    </w:p>
    <w:p>
      <w:pPr>
        <w:pStyle w:val="90"/>
        <w:ind w:left="845"/>
        <w:rPr>
          <w:rFonts w:asciiTheme="minorEastAsia" w:hAnsiTheme="minorEastAsia" w:eastAsiaTheme="minorEastAsia"/>
          <w:lang w:val="en-GB"/>
        </w:rPr>
      </w:pPr>
      <w:r>
        <w:rPr>
          <w:rFonts w:hint="eastAsia" w:asciiTheme="minorEastAsia" w:hAnsiTheme="minorEastAsia" w:eastAsiaTheme="minorEastAsia"/>
          <w:lang w:val="en-GB"/>
        </w:rPr>
        <w:t>人员长期停留的场所采用光生物安全性为“无危险类（</w:t>
      </w:r>
      <w:r>
        <w:rPr>
          <w:rFonts w:asciiTheme="minorEastAsia" w:hAnsiTheme="minorEastAsia" w:eastAsiaTheme="minorEastAsia"/>
          <w:lang w:val="en-GB"/>
        </w:rPr>
        <w:t>RG0）”的照明产品；</w:t>
      </w:r>
    </w:p>
    <w:p>
      <w:pPr>
        <w:pStyle w:val="90"/>
        <w:ind w:left="845"/>
      </w:pPr>
      <w:r>
        <w:t>各场所选用光源和灯具的闪变指数（Pst</w:t>
      </w:r>
      <w:r>
        <w:rPr>
          <w:vertAlign w:val="superscript"/>
        </w:rPr>
        <w:t>LM</w:t>
      </w:r>
      <w:r>
        <w:t>）不大于1； 儿童及青少年长时间学习或活动的场所选用光源和灯具的频闪效应可视度（SVM）不大于1.0</w:t>
      </w:r>
      <w:r>
        <w:rPr>
          <w:rFonts w:hint="eastAsia"/>
        </w:rPr>
        <w:t>。</w:t>
      </w:r>
    </w:p>
    <w:p>
      <w:pPr>
        <w:pStyle w:val="90"/>
        <w:numPr>
          <w:ilvl w:val="0"/>
          <w:numId w:val="37"/>
        </w:numPr>
        <w:rPr>
          <w:lang w:val="en-GB"/>
        </w:rPr>
      </w:pPr>
      <w:r>
        <w:rPr>
          <w:rFonts w:hint="eastAsia"/>
          <w:lang w:val="en-GB"/>
        </w:rPr>
        <w:t>可再生能源发电系统与建筑同步设计，同步实施。</w:t>
      </w:r>
    </w:p>
    <w:p>
      <w:pPr>
        <w:pStyle w:val="90"/>
        <w:ind w:left="845"/>
        <w:rPr>
          <w:lang w:val="en-GB"/>
        </w:rPr>
      </w:pP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lang w:val="en-GB"/>
        </w:rPr>
      </w:pPr>
      <w:r>
        <w:rPr>
          <w:rFonts w:hint="eastAsia" w:hAnsi="宋体"/>
          <w:b/>
          <w:sz w:val="24"/>
          <w:lang w:val="en-GB"/>
        </w:rPr>
        <w:t>一般项内容</w:t>
      </w:r>
    </w:p>
    <w:p>
      <w:pPr>
        <w:pStyle w:val="87"/>
        <w:numPr>
          <w:ilvl w:val="0"/>
          <w:numId w:val="38"/>
        </w:numPr>
        <w:rPr>
          <w:lang w:val="en-GB"/>
        </w:rPr>
      </w:pPr>
      <w:r>
        <w:rPr>
          <w:rFonts w:hint="eastAsia"/>
          <w:lang w:val="en-GB"/>
        </w:rPr>
        <w:t>各变配电所低压最大供电半径约为：</w:t>
      </w:r>
      <w:r>
        <w:rPr>
          <w:rFonts w:hint="eastAsia"/>
          <w:u w:val="single"/>
          <w:lang w:val="en-GB"/>
        </w:rPr>
        <w:t xml:space="preserve">      </w:t>
      </w:r>
      <w:r>
        <w:rPr>
          <w:rFonts w:hint="eastAsia"/>
          <w:lang w:val="en-GB"/>
        </w:rPr>
        <w:t>米。</w:t>
      </w:r>
    </w:p>
    <w:p>
      <w:pPr>
        <w:pStyle w:val="87"/>
        <w:rPr>
          <w:lang w:val="en-GB"/>
        </w:rPr>
      </w:pPr>
      <w:r>
        <w:rPr>
          <w:lang w:val="en-GB"/>
        </w:rPr>
        <w:t>变压器</w:t>
      </w:r>
      <w:r>
        <w:rPr>
          <w:rFonts w:hint="eastAsia"/>
          <w:lang w:val="en-GB"/>
        </w:rPr>
        <w:t>的</w:t>
      </w:r>
      <w:r>
        <w:rPr>
          <w:lang w:val="en-GB"/>
        </w:rPr>
        <w:t>能效</w:t>
      </w:r>
      <w:r>
        <w:rPr>
          <w:rFonts w:hint="eastAsia"/>
          <w:lang w:val="en-GB"/>
        </w:rPr>
        <w:t>等级：</w:t>
      </w:r>
      <w:r>
        <w:rPr>
          <w:rFonts w:hint="eastAsia"/>
          <w:u w:val="single"/>
          <w:lang w:val="en-GB"/>
        </w:rPr>
        <w:t xml:space="preserve">      </w:t>
      </w:r>
      <w:r>
        <w:rPr>
          <w:rFonts w:hint="eastAsia"/>
          <w:lang w:val="en-GB"/>
        </w:rPr>
        <w:t>级；变压器的接线组别：</w:t>
      </w:r>
      <w:r>
        <w:rPr>
          <w:rFonts w:hint="eastAsia"/>
          <w:u w:val="single"/>
          <w:lang w:val="en-GB"/>
        </w:rPr>
        <w:t xml:space="preserve">      </w:t>
      </w:r>
      <w:r>
        <w:rPr>
          <w:rFonts w:hint="eastAsia"/>
          <w:lang w:val="en-GB"/>
        </w:rPr>
        <w:t>。</w:t>
      </w:r>
    </w:p>
    <w:p>
      <w:pPr>
        <w:pStyle w:val="87"/>
        <w:rPr>
          <w:lang w:val="en-GB"/>
        </w:rPr>
      </w:pPr>
      <w:r>
        <w:rPr>
          <w:rFonts w:hint="eastAsia"/>
          <w:lang w:val="en-GB"/>
        </w:rPr>
        <w:t xml:space="preserve">单相负荷经计算选择相位，最大相负荷不超过三相平均负荷的115％，最小不小于85％： </w:t>
      </w:r>
      <w:r>
        <w:rPr>
          <w:rFonts w:hint="eastAsia"/>
        </w:rPr>
        <w:t>□是；□否。</w:t>
      </w:r>
    </w:p>
    <w:p>
      <w:pPr>
        <w:pStyle w:val="87"/>
        <w:numPr>
          <w:ilvl w:val="0"/>
          <w:numId w:val="0"/>
        </w:numPr>
        <w:ind w:left="425"/>
        <w:rPr>
          <w:lang w:val="en-GB"/>
        </w:rPr>
      </w:pPr>
      <w:r>
        <w:rPr>
          <w:rFonts w:hint="eastAsia"/>
          <w:lang w:val="en-GB"/>
        </w:rPr>
        <w:t>避免</w:t>
      </w:r>
      <w:r>
        <w:rPr>
          <w:lang w:val="en-GB"/>
        </w:rPr>
        <w:t>同一类型的单相负荷集中</w:t>
      </w:r>
      <w:r>
        <w:rPr>
          <w:rFonts w:hint="eastAsia"/>
          <w:lang w:val="en-GB"/>
        </w:rPr>
        <w:t>设</w:t>
      </w:r>
      <w:r>
        <w:rPr>
          <w:lang w:val="en-GB"/>
        </w:rPr>
        <w:t>于同一相上</w:t>
      </w:r>
      <w:r>
        <w:rPr>
          <w:rFonts w:hint="eastAsia"/>
          <w:lang w:val="en-GB"/>
        </w:rPr>
        <w:t xml:space="preserve">： </w:t>
      </w:r>
      <w:r>
        <w:rPr>
          <w:rFonts w:hint="eastAsia"/>
        </w:rPr>
        <w:t>□是；□否。</w:t>
      </w:r>
    </w:p>
    <w:p>
      <w:pPr>
        <w:pStyle w:val="87"/>
        <w:rPr>
          <w:lang w:val="en-GB"/>
        </w:rPr>
      </w:pPr>
      <w:r>
        <w:rPr>
          <w:rFonts w:hint="eastAsia"/>
          <w:lang w:val="en-GB"/>
        </w:rPr>
        <w:t>采用集中无功补偿：□高压侧集中补偿  □低压侧集中补偿   □未设集中补偿；</w:t>
      </w:r>
    </w:p>
    <w:p>
      <w:pPr>
        <w:pStyle w:val="87"/>
        <w:numPr>
          <w:ilvl w:val="0"/>
          <w:numId w:val="0"/>
        </w:numPr>
        <w:ind w:left="425"/>
        <w:rPr>
          <w:lang w:val="en-GB"/>
        </w:rPr>
      </w:pPr>
      <w:r>
        <w:rPr>
          <w:rFonts w:hint="eastAsia"/>
          <w:lang w:val="en-GB"/>
        </w:rPr>
        <w:t xml:space="preserve">设置适当容量的分相无功补偿： </w:t>
      </w:r>
      <w:r>
        <w:rPr>
          <w:rFonts w:hint="eastAsia"/>
        </w:rPr>
        <w:t>□是；□否。</w:t>
      </w:r>
    </w:p>
    <w:p>
      <w:pPr>
        <w:pStyle w:val="87"/>
        <w:numPr>
          <w:ilvl w:val="0"/>
          <w:numId w:val="0"/>
        </w:numPr>
        <w:ind w:left="425"/>
        <w:rPr>
          <w:lang w:val="en-GB"/>
        </w:rPr>
      </w:pPr>
      <w:r>
        <w:rPr>
          <w:rFonts w:hint="eastAsia"/>
          <w:lang w:val="en-GB"/>
        </w:rPr>
        <w:t xml:space="preserve">设置就地无功补偿： </w:t>
      </w:r>
      <w:r>
        <w:rPr>
          <w:rFonts w:hint="eastAsia"/>
        </w:rPr>
        <w:t>□是；□否。</w:t>
      </w:r>
    </w:p>
    <w:p>
      <w:pPr>
        <w:pStyle w:val="87"/>
        <w:rPr>
          <w:lang w:val="en-GB"/>
        </w:rPr>
      </w:pPr>
      <w:r>
        <w:rPr>
          <w:rFonts w:hint="eastAsia"/>
          <w:lang w:val="en-GB"/>
        </w:rPr>
        <w:t>谐波防治：</w:t>
      </w:r>
    </w:p>
    <w:p>
      <w:pPr>
        <w:pStyle w:val="88"/>
        <w:rPr>
          <w:lang w:val="en-GB"/>
        </w:rPr>
      </w:pPr>
      <w:r>
        <w:rPr>
          <w:lang w:val="en-GB"/>
        </w:rPr>
        <w:t>选用用电设备的谐波电流限值满足《电磁兼容限值谐波电流发射限值</w:t>
      </w:r>
      <w:r>
        <w:rPr>
          <w:rFonts w:hint="eastAsia"/>
          <w:lang w:val="en-GB"/>
        </w:rPr>
        <w:t>（设备每相输入电流≤16A）</w:t>
      </w:r>
      <w:r>
        <w:rPr>
          <w:lang w:val="en-GB"/>
        </w:rPr>
        <w:t>》GB 17625.1的要求</w:t>
      </w:r>
      <w:r>
        <w:rPr>
          <w:rFonts w:hint="eastAsia"/>
          <w:lang w:val="en-GB"/>
        </w:rPr>
        <w:t xml:space="preserve">： </w:t>
      </w:r>
      <w:r>
        <w:rPr>
          <w:rFonts w:hint="eastAsia"/>
        </w:rPr>
        <w:t>□是；□否</w:t>
      </w:r>
      <w:r>
        <w:rPr>
          <w:rFonts w:hint="eastAsia"/>
          <w:lang w:val="en-GB"/>
        </w:rPr>
        <w:t>。</w:t>
      </w:r>
    </w:p>
    <w:p>
      <w:pPr>
        <w:pStyle w:val="88"/>
        <w:rPr>
          <w:lang w:val="en-GB"/>
        </w:rPr>
      </w:pPr>
      <w:r>
        <w:rPr>
          <w:rFonts w:hint="eastAsia"/>
          <w:lang w:val="en-GB"/>
        </w:rPr>
        <w:t>在</w:t>
      </w:r>
      <w:r>
        <w:rPr>
          <w:lang w:val="en-GB"/>
        </w:rPr>
        <w:t>变电所对供电系统进行谐波监测</w:t>
      </w:r>
      <w:r>
        <w:rPr>
          <w:rFonts w:hint="eastAsia"/>
          <w:lang w:val="en-GB"/>
        </w:rPr>
        <w:t xml:space="preserve">： </w:t>
      </w:r>
      <w:r>
        <w:rPr>
          <w:rFonts w:hint="eastAsia"/>
        </w:rPr>
        <w:t>□是；□否；</w:t>
      </w:r>
      <w:r>
        <w:rPr>
          <w:rFonts w:hint="eastAsia"/>
          <w:lang w:val="en-GB"/>
        </w:rPr>
        <w:t>□未涉及。</w:t>
      </w:r>
    </w:p>
    <w:p>
      <w:pPr>
        <w:pStyle w:val="88"/>
        <w:rPr>
          <w:lang w:val="en-GB"/>
        </w:rPr>
      </w:pPr>
      <w:r>
        <w:rPr>
          <w:lang w:val="en-GB"/>
        </w:rPr>
        <w:t>无功补偿电容串接电抗器，防止谐波放大</w:t>
      </w:r>
      <w:r>
        <w:rPr>
          <w:rFonts w:hint="eastAsia"/>
          <w:lang w:val="en-GB"/>
        </w:rPr>
        <w:t>：</w:t>
      </w:r>
      <w:r>
        <w:rPr>
          <w:rFonts w:hint="eastAsia"/>
        </w:rPr>
        <w:t>□是；□否；</w:t>
      </w:r>
      <w:r>
        <w:rPr>
          <w:rFonts w:hint="eastAsia"/>
          <w:lang w:val="en-GB"/>
        </w:rPr>
        <w:t>□未涉及。</w:t>
      </w:r>
    </w:p>
    <w:p>
      <w:pPr>
        <w:pStyle w:val="88"/>
        <w:rPr>
          <w:lang w:val="en-GB"/>
        </w:rPr>
      </w:pPr>
      <w:r>
        <w:rPr>
          <w:lang w:val="en-GB"/>
        </w:rPr>
        <w:t>功率较大、谐波严重的设备，由变电所专线供电</w:t>
      </w:r>
      <w:r>
        <w:rPr>
          <w:rFonts w:hint="eastAsia"/>
          <w:lang w:val="en-GB"/>
        </w:rPr>
        <w:t>：</w:t>
      </w:r>
      <w:r>
        <w:rPr>
          <w:rFonts w:hint="eastAsia"/>
        </w:rPr>
        <w:t>□是；□否；</w:t>
      </w:r>
      <w:r>
        <w:rPr>
          <w:rFonts w:hint="eastAsia"/>
          <w:lang w:val="en-GB"/>
        </w:rPr>
        <w:t>□未涉及。</w:t>
      </w:r>
    </w:p>
    <w:p>
      <w:pPr>
        <w:pStyle w:val="88"/>
        <w:rPr>
          <w:lang w:val="en-GB"/>
        </w:rPr>
      </w:pPr>
      <w:r>
        <w:rPr>
          <w:lang w:val="en-GB"/>
        </w:rPr>
        <w:t>在变电所设置无/有源滤波器；或预留柜位，待系统正式运行</w:t>
      </w:r>
      <w:r>
        <w:rPr>
          <w:rFonts w:hint="eastAsia"/>
          <w:lang w:val="en-GB"/>
        </w:rPr>
        <w:t>、对谐波</w:t>
      </w:r>
      <w:r>
        <w:rPr>
          <w:lang w:val="en-GB"/>
        </w:rPr>
        <w:t>实测</w:t>
      </w:r>
      <w:r>
        <w:rPr>
          <w:rFonts w:hint="eastAsia"/>
          <w:lang w:val="en-GB"/>
        </w:rPr>
        <w:t>后</w:t>
      </w:r>
      <w:r>
        <w:rPr>
          <w:lang w:val="en-GB"/>
        </w:rPr>
        <w:t>确定型号规格</w:t>
      </w:r>
      <w:r>
        <w:rPr>
          <w:rFonts w:hint="eastAsia"/>
          <w:lang w:val="en-GB"/>
        </w:rPr>
        <w:t xml:space="preserve">： </w:t>
      </w:r>
      <w:r>
        <w:rPr>
          <w:rFonts w:hint="eastAsia"/>
        </w:rPr>
        <w:t>□是；□否；</w:t>
      </w:r>
      <w:r>
        <w:rPr>
          <w:rFonts w:hint="eastAsia"/>
          <w:lang w:val="en-GB"/>
        </w:rPr>
        <w:t>□未涉及。</w:t>
      </w:r>
    </w:p>
    <w:p>
      <w:pPr>
        <w:pStyle w:val="88"/>
        <w:rPr>
          <w:lang w:val="en-GB"/>
        </w:rPr>
      </w:pPr>
      <w:r>
        <w:rPr>
          <w:lang w:val="en-GB"/>
        </w:rPr>
        <w:t>选用用电设备的谐波电流限值满足《电磁兼容限值对额定电流大于16A的设备在低压供电系统中产生的谐波电流的限制》GB/Z 17625.6</w:t>
      </w:r>
      <w:r>
        <w:rPr>
          <w:rFonts w:hint="eastAsia"/>
          <w:lang w:val="en-GB"/>
        </w:rPr>
        <w:t xml:space="preserve">： </w:t>
      </w:r>
      <w:r>
        <w:rPr>
          <w:rFonts w:hint="eastAsia"/>
        </w:rPr>
        <w:t>□是；□否</w:t>
      </w:r>
      <w:r>
        <w:rPr>
          <w:rFonts w:hint="eastAsia"/>
          <w:lang w:val="en-GB"/>
        </w:rPr>
        <w:t>。</w:t>
      </w:r>
    </w:p>
    <w:p>
      <w:pPr>
        <w:pStyle w:val="88"/>
        <w:rPr>
          <w:lang w:val="en-GB"/>
        </w:rPr>
      </w:pPr>
      <w:r>
        <w:rPr>
          <w:lang w:val="en-GB"/>
        </w:rPr>
        <w:t>谐波源较大</w:t>
      </w:r>
      <w:r>
        <w:rPr>
          <w:rFonts w:hint="eastAsia"/>
          <w:lang w:val="en-GB"/>
        </w:rPr>
        <w:t>的</w:t>
      </w:r>
      <w:r>
        <w:rPr>
          <w:lang w:val="en-GB"/>
        </w:rPr>
        <w:t>设备，就地设置谐波抑制装置</w:t>
      </w:r>
      <w:r>
        <w:rPr>
          <w:rFonts w:hint="eastAsia"/>
          <w:lang w:val="en-GB"/>
        </w:rPr>
        <w:t xml:space="preserve">： </w:t>
      </w:r>
      <w:r>
        <w:rPr>
          <w:rFonts w:hint="eastAsia"/>
        </w:rPr>
        <w:t>□是；□否；</w:t>
      </w:r>
      <w:r>
        <w:rPr>
          <w:rFonts w:hint="eastAsia"/>
          <w:lang w:val="en-GB"/>
        </w:rPr>
        <w:t>□未涉及。</w:t>
      </w:r>
    </w:p>
    <w:p>
      <w:pPr>
        <w:pStyle w:val="88"/>
        <w:numPr>
          <w:ilvl w:val="0"/>
          <w:numId w:val="0"/>
        </w:numPr>
        <w:ind w:left="992"/>
        <w:rPr>
          <w:lang w:val="en-GB"/>
        </w:rPr>
      </w:pPr>
      <w:r>
        <w:rPr>
          <w:rFonts w:hint="eastAsia"/>
          <w:lang w:val="en-GB"/>
        </w:rPr>
        <w:t xml:space="preserve">其它谐波防治措施简述：      </w:t>
      </w:r>
    </w:p>
    <w:p>
      <w:pPr>
        <w:pStyle w:val="87"/>
      </w:pPr>
      <w:r>
        <w:rPr>
          <w:rFonts w:hint="eastAsia"/>
        </w:rPr>
        <w:t>电气系统导体材料：</w:t>
      </w:r>
      <w:r>
        <w:rPr>
          <w:rFonts w:hint="eastAsia"/>
          <w:u w:val="single"/>
          <w:lang w:val="en-GB"/>
        </w:rPr>
        <w:t xml:space="preserve">      </w:t>
      </w:r>
      <w:r>
        <w:rPr>
          <w:rFonts w:hint="eastAsia"/>
        </w:rPr>
        <w:t>；采用低烟或无烟、低毒或无毒的阻燃型或不燃性线缆：□是；□否</w:t>
      </w:r>
      <w:r>
        <w:rPr>
          <w:rFonts w:hint="eastAsia"/>
          <w:lang w:val="en-GB"/>
        </w:rPr>
        <w:t>。</w:t>
      </w:r>
    </w:p>
    <w:p>
      <w:pPr>
        <w:pStyle w:val="87"/>
        <w:rPr>
          <w:lang w:val="en-GB"/>
        </w:rPr>
      </w:pPr>
      <w:r>
        <w:t>电气线路在穿越有保温隔热要求的墙体或楼板处，预埋穿线管并用保温材料进行密闭处理</w:t>
      </w:r>
      <w:r>
        <w:rPr>
          <w:rFonts w:hint="eastAsia"/>
        </w:rPr>
        <w:t>：□是；□否</w:t>
      </w:r>
      <w:r>
        <w:t>。</w:t>
      </w:r>
    </w:p>
    <w:p>
      <w:pPr>
        <w:pStyle w:val="87"/>
        <w:rPr>
          <w:lang w:val="en-GB"/>
        </w:rPr>
      </w:pPr>
      <w:r>
        <w:rPr>
          <w:rFonts w:hint="eastAsia"/>
          <w:lang w:val="en-GB"/>
        </w:rPr>
        <w:t>室内照明功率密度值满足《建筑照明设计标准》GB50034规定的目标值：</w:t>
      </w:r>
      <w:r>
        <w:rPr>
          <w:rFonts w:hint="eastAsia"/>
        </w:rPr>
        <w:t>□是；□否</w:t>
      </w:r>
      <w:r>
        <w:rPr>
          <w:rFonts w:hint="eastAsia"/>
          <w:lang w:val="en-GB"/>
        </w:rPr>
        <w:t>。</w:t>
      </w:r>
    </w:p>
    <w:p>
      <w:pPr>
        <w:pStyle w:val="87"/>
        <w:rPr>
          <w:lang w:val="en-GB"/>
        </w:rPr>
      </w:pPr>
      <w:r>
        <w:rPr>
          <w:rFonts w:hint="eastAsia"/>
          <w:lang w:val="en-GB"/>
        </w:rPr>
        <w:t>室外照明</w:t>
      </w:r>
      <w:r>
        <w:rPr>
          <w:rFonts w:hint="eastAsia" w:asciiTheme="minorEastAsia" w:hAnsiTheme="minorEastAsia" w:eastAsiaTheme="minorEastAsia"/>
          <w:lang w:val="en-GB"/>
        </w:rPr>
        <w:t>的光污染控制</w:t>
      </w:r>
      <w:r>
        <w:rPr>
          <w:rFonts w:hint="eastAsia"/>
          <w:lang w:val="en-GB"/>
        </w:rPr>
        <w:t>、</w:t>
      </w:r>
      <w:r>
        <w:rPr>
          <w:lang w:val="en-GB"/>
        </w:rPr>
        <w:t>室外灯光对室内的影响</w:t>
      </w:r>
      <w:r>
        <w:rPr>
          <w:rFonts w:hint="eastAsia"/>
          <w:lang w:val="en-GB"/>
        </w:rPr>
        <w:t xml:space="preserve">满足《城市夜景照明设计规范》 JGJ/T163及《环境照明工程技术规范》 DB33/T 1055的要求： </w:t>
      </w:r>
      <w:r>
        <w:rPr>
          <w:rFonts w:hint="eastAsia"/>
        </w:rPr>
        <w:t>□是；□否；</w:t>
      </w:r>
      <w:r>
        <w:rPr>
          <w:rFonts w:hint="eastAsia"/>
          <w:lang w:val="en-GB"/>
        </w:rPr>
        <w:t>□未涉及。</w:t>
      </w:r>
    </w:p>
    <w:p>
      <w:pPr>
        <w:pStyle w:val="87"/>
        <w:numPr>
          <w:ilvl w:val="0"/>
          <w:numId w:val="0"/>
        </w:numPr>
        <w:ind w:left="425"/>
        <w:rPr>
          <w:lang w:val="en-GB"/>
        </w:rPr>
      </w:pPr>
      <w:r>
        <w:rPr>
          <w:rFonts w:hint="eastAsia"/>
          <w:lang w:val="en-GB"/>
        </w:rPr>
        <w:t>步行道和非机动车道的照度标准值不低于《城市道路照明设计标准》CJJ</w:t>
      </w:r>
      <w:r>
        <w:rPr>
          <w:lang w:val="en-GB"/>
        </w:rPr>
        <w:t xml:space="preserve"> </w:t>
      </w:r>
      <w:r>
        <w:rPr>
          <w:rFonts w:hint="eastAsia"/>
          <w:lang w:val="en-GB"/>
        </w:rPr>
        <w:t>45的相关要求：</w:t>
      </w:r>
      <w:r>
        <w:rPr>
          <w:rFonts w:hint="eastAsia"/>
        </w:rPr>
        <w:t>□是；□否；</w:t>
      </w:r>
      <w:r>
        <w:rPr>
          <w:rFonts w:hint="eastAsia"/>
          <w:lang w:val="en-GB"/>
        </w:rPr>
        <w:t>□未涉及。</w:t>
      </w:r>
    </w:p>
    <w:p>
      <w:pPr>
        <w:pStyle w:val="87"/>
        <w:numPr>
          <w:ilvl w:val="0"/>
          <w:numId w:val="0"/>
        </w:numPr>
        <w:ind w:left="425"/>
        <w:rPr>
          <w:lang w:val="en-GB"/>
        </w:rPr>
      </w:pPr>
      <w:r>
        <w:rPr>
          <w:rFonts w:hint="eastAsia"/>
          <w:lang w:val="en-GB"/>
        </w:rPr>
        <w:t>室外照度标准值、照明功率密度值满足《城市夜景照明设计规范》 JGJ/T163及《环境照明工程技术规范》 DB33/T 1055的要求：□满足   □不满足   □未涉及。</w:t>
      </w:r>
    </w:p>
    <w:p>
      <w:pPr>
        <w:pStyle w:val="87"/>
        <w:rPr>
          <w:lang w:val="en-GB"/>
        </w:rPr>
      </w:pPr>
      <w:r>
        <w:rPr>
          <w:rFonts w:hint="eastAsia"/>
          <w:lang w:val="en-GB"/>
        </w:rPr>
        <w:t>采用的主要照明方式：□一般照明   分区一般照明□   局部照明□   直接照明□   间接照明□。</w:t>
      </w:r>
    </w:p>
    <w:p>
      <w:pPr>
        <w:pStyle w:val="87"/>
        <w:rPr>
          <w:lang w:val="en-GB"/>
        </w:rPr>
      </w:pPr>
      <w:r>
        <w:rPr>
          <w:rFonts w:hint="eastAsia"/>
          <w:lang w:val="en-GB"/>
        </w:rPr>
        <w:t>采用节能型光源：□是；□否。</w:t>
      </w:r>
    </w:p>
    <w:p>
      <w:pPr>
        <w:pStyle w:val="87"/>
        <w:numPr>
          <w:ilvl w:val="0"/>
          <w:numId w:val="0"/>
        </w:numPr>
        <w:ind w:left="425"/>
        <w:rPr>
          <w:lang w:val="en-GB"/>
        </w:rPr>
      </w:pPr>
      <w:r>
        <w:rPr>
          <w:rFonts w:hint="eastAsia"/>
          <w:lang w:val="en-GB"/>
        </w:rPr>
        <w:t>光源、镇流器的能效等级满足相应能效标准的： □ 3级   □ 2级   □ 1级 。</w:t>
      </w:r>
    </w:p>
    <w:p>
      <w:pPr>
        <w:pStyle w:val="87"/>
        <w:rPr>
          <w:lang w:val="en-GB"/>
        </w:rPr>
      </w:pPr>
      <w:r>
        <w:rPr>
          <w:rFonts w:hint="eastAsia"/>
          <w:lang w:val="en-GB"/>
        </w:rPr>
        <w:t>照明灯具效率、LED灯具效能满足《建筑照明设计标准》GB50034的要求：</w:t>
      </w:r>
      <w:r>
        <w:rPr>
          <w:rFonts w:hint="eastAsia"/>
        </w:rPr>
        <w:t>□是；□否</w:t>
      </w:r>
      <w:r>
        <w:rPr>
          <w:rFonts w:hint="eastAsia"/>
          <w:lang w:val="en-GB"/>
        </w:rPr>
        <w:t>。</w:t>
      </w:r>
    </w:p>
    <w:p>
      <w:pPr>
        <w:pStyle w:val="87"/>
        <w:rPr>
          <w:rFonts w:asciiTheme="minorEastAsia" w:hAnsiTheme="minorEastAsia" w:eastAsiaTheme="minorEastAsia"/>
          <w:lang w:val="en-GB"/>
        </w:rPr>
      </w:pPr>
      <w:r>
        <w:rPr>
          <w:rFonts w:hint="eastAsia" w:asciiTheme="minorEastAsia" w:hAnsiTheme="minorEastAsia" w:eastAsiaTheme="minorEastAsia"/>
          <w:lang w:val="en-GB"/>
        </w:rPr>
        <w:t>具有自然采光的区域，结合自然光布置灯具、控制照明：</w:t>
      </w:r>
      <w:r>
        <w:rPr>
          <w:rFonts w:hint="eastAsia" w:asciiTheme="minorEastAsia" w:hAnsiTheme="minorEastAsia" w:eastAsiaTheme="minorEastAsia"/>
        </w:rPr>
        <w:t>□是；□否；</w:t>
      </w:r>
      <w:r>
        <w:rPr>
          <w:rFonts w:hint="eastAsia" w:asciiTheme="minorEastAsia" w:hAnsiTheme="minorEastAsia" w:eastAsiaTheme="minorEastAsia"/>
          <w:lang w:val="en-GB"/>
        </w:rPr>
        <w:t>□未涉及。</w:t>
      </w:r>
    </w:p>
    <w:p>
      <w:pPr>
        <w:pStyle w:val="87"/>
        <w:rPr>
          <w:rFonts w:asciiTheme="minorEastAsia" w:hAnsiTheme="minorEastAsia" w:eastAsiaTheme="minorEastAsia"/>
          <w:lang w:val="en-GB"/>
        </w:rPr>
      </w:pPr>
      <w:r>
        <w:rPr>
          <w:rFonts w:hint="eastAsia" w:asciiTheme="minorEastAsia" w:hAnsiTheme="minorEastAsia" w:eastAsiaTheme="minorEastAsia"/>
          <w:lang w:val="en-GB"/>
        </w:rPr>
        <w:t>电动机、交流接触器的能效等级：</w:t>
      </w:r>
      <w:r>
        <w:rPr>
          <w:rFonts w:hint="eastAsia" w:asciiTheme="minorEastAsia" w:hAnsiTheme="minorEastAsia" w:eastAsiaTheme="minorEastAsia"/>
          <w:u w:val="single"/>
          <w:lang w:val="en-GB"/>
        </w:rPr>
        <w:t xml:space="preserve">      </w:t>
      </w:r>
      <w:r>
        <w:rPr>
          <w:rFonts w:hint="eastAsia" w:asciiTheme="minorEastAsia" w:hAnsiTheme="minorEastAsia" w:eastAsiaTheme="minorEastAsia"/>
          <w:lang w:val="en-GB"/>
        </w:rPr>
        <w:t>级。</w:t>
      </w:r>
    </w:p>
    <w:p>
      <w:pPr>
        <w:pStyle w:val="87"/>
        <w:rPr>
          <w:rFonts w:asciiTheme="minorEastAsia" w:hAnsiTheme="minorEastAsia" w:eastAsiaTheme="minorEastAsia"/>
          <w:lang w:val="en-GB"/>
        </w:rPr>
      </w:pPr>
      <w:r>
        <w:rPr>
          <w:rFonts w:asciiTheme="minorEastAsia" w:hAnsiTheme="minorEastAsia" w:eastAsiaTheme="minorEastAsia"/>
        </w:rPr>
        <w:t>根据各专业动力设备的工艺要求，确定合理的电动机启、停、调速等控制方式：</w:t>
      </w:r>
      <w:r>
        <w:rPr>
          <w:rFonts w:hint="eastAsia" w:asciiTheme="minorEastAsia" w:hAnsiTheme="minorEastAsia" w:eastAsiaTheme="minorEastAsia"/>
        </w:rPr>
        <w:t>□是；□否；</w:t>
      </w:r>
      <w:r>
        <w:rPr>
          <w:rFonts w:hint="eastAsia" w:asciiTheme="minorEastAsia" w:hAnsiTheme="minorEastAsia" w:eastAsiaTheme="minorEastAsia"/>
          <w:lang w:val="en-GB"/>
        </w:rPr>
        <w:t>□未涉及</w:t>
      </w:r>
      <w:r>
        <w:rPr>
          <w:rFonts w:asciiTheme="minorEastAsia" w:hAnsiTheme="minorEastAsia" w:eastAsiaTheme="minorEastAsia"/>
        </w:rPr>
        <w:t>。</w:t>
      </w:r>
    </w:p>
    <w:p>
      <w:pPr>
        <w:pStyle w:val="87"/>
        <w:rPr>
          <w:lang w:val="en-GB"/>
        </w:rPr>
      </w:pPr>
      <w:r>
        <w:rPr>
          <w:rFonts w:hint="eastAsia"/>
          <w:lang w:val="en-GB"/>
        </w:rPr>
        <w:t>选用配备高效电机及先进控制技术的电梯，</w:t>
      </w:r>
      <w:r>
        <w:t>具有节能拖动、节能运行功能</w:t>
      </w:r>
      <w:r>
        <w:rPr>
          <w:rFonts w:hint="eastAsia"/>
          <w:lang w:val="en-GB"/>
        </w:rPr>
        <w:t xml:space="preserve">： </w:t>
      </w:r>
      <w:r>
        <w:rPr>
          <w:rFonts w:hint="eastAsia"/>
        </w:rPr>
        <w:t>□是；□否；</w:t>
      </w:r>
      <w:r>
        <w:rPr>
          <w:rFonts w:hint="eastAsia"/>
          <w:lang w:val="en-GB"/>
        </w:rPr>
        <w:t>□未涉及。</w:t>
      </w:r>
    </w:p>
    <w:p>
      <w:pPr>
        <w:pStyle w:val="87"/>
        <w:numPr>
          <w:ilvl w:val="0"/>
          <w:numId w:val="0"/>
        </w:numPr>
        <w:ind w:left="425"/>
        <w:rPr>
          <w:lang w:val="en-GB"/>
        </w:rPr>
      </w:pPr>
      <w:r>
        <w:rPr>
          <w:rFonts w:hint="eastAsia"/>
          <w:lang w:val="en-GB"/>
        </w:rPr>
        <w:t xml:space="preserve">当2台及以上电梯集中布置时，具备群控的功能： </w:t>
      </w:r>
      <w:r>
        <w:rPr>
          <w:rFonts w:hint="eastAsia"/>
        </w:rPr>
        <w:t>□是；□否；</w:t>
      </w:r>
      <w:r>
        <w:rPr>
          <w:rFonts w:hint="eastAsia"/>
          <w:lang w:val="en-GB"/>
        </w:rPr>
        <w:t>□未涉及。</w:t>
      </w:r>
    </w:p>
    <w:p>
      <w:pPr>
        <w:pStyle w:val="87"/>
        <w:rPr>
          <w:lang w:val="en-GB"/>
        </w:rPr>
      </w:pPr>
      <w:r>
        <w:rPr>
          <w:rFonts w:hint="eastAsia"/>
          <w:lang w:val="en-GB"/>
        </w:rPr>
        <w:t>家用电器选用中国能效标识二级及以上的产品：</w:t>
      </w:r>
      <w:r>
        <w:rPr>
          <w:rFonts w:hint="eastAsia"/>
        </w:rPr>
        <w:t>□是；□否；</w:t>
      </w:r>
      <w:r>
        <w:rPr>
          <w:rFonts w:hint="eastAsia"/>
          <w:lang w:val="en-GB"/>
        </w:rPr>
        <w:t>□未涉及。</w:t>
      </w:r>
    </w:p>
    <w:p>
      <w:pPr>
        <w:pStyle w:val="87"/>
        <w:rPr>
          <w:lang w:val="en-GB"/>
        </w:rPr>
      </w:pPr>
      <w:r>
        <w:t>住宅、商业网点和公共设施等单独计量</w:t>
      </w:r>
      <w:r>
        <w:rPr>
          <w:rFonts w:hint="eastAsia"/>
        </w:rPr>
        <w:t>用电量</w:t>
      </w:r>
      <w:r>
        <w:rPr>
          <w:rFonts w:hint="eastAsia"/>
          <w:lang w:val="en-GB"/>
        </w:rPr>
        <w:t>：</w:t>
      </w:r>
      <w:r>
        <w:rPr>
          <w:rFonts w:hint="eastAsia"/>
        </w:rPr>
        <w:t>□是；□否。</w:t>
      </w:r>
    </w:p>
    <w:p>
      <w:pPr>
        <w:pStyle w:val="87"/>
      </w:pPr>
      <w:r>
        <w:rPr>
          <w:rFonts w:hint="eastAsia"/>
        </w:rPr>
        <w:t>设置可再生能源发电系统：  □是；□否；</w:t>
      </w:r>
    </w:p>
    <w:p>
      <w:pPr>
        <w:pStyle w:val="87"/>
        <w:numPr>
          <w:ilvl w:val="0"/>
          <w:numId w:val="0"/>
        </w:numPr>
        <w:ind w:left="425"/>
      </w:pPr>
      <w:r>
        <w:rPr>
          <w:rFonts w:hint="eastAsia"/>
        </w:rPr>
        <w:t>能源种类：□太阳能   □风能   □生物质能   其它：</w:t>
      </w:r>
      <w:r>
        <w:rPr>
          <w:u w:val="single"/>
        </w:rPr>
        <w:t xml:space="preserve">         </w:t>
      </w:r>
      <w:r>
        <w:rPr>
          <w:rFonts w:hint="eastAsia"/>
        </w:rPr>
        <w:t>；</w:t>
      </w:r>
    </w:p>
    <w:p>
      <w:pPr>
        <w:pStyle w:val="87"/>
        <w:numPr>
          <w:ilvl w:val="0"/>
          <w:numId w:val="0"/>
        </w:numPr>
        <w:ind w:left="425"/>
      </w:pPr>
      <w:r>
        <w:rPr>
          <w:rFonts w:hint="eastAsia" w:asciiTheme="minorEastAsia" w:hAnsiTheme="minorEastAsia" w:eastAsiaTheme="minorEastAsia"/>
          <w:lang w:val="en-GB"/>
        </w:rPr>
        <w:t>设置位置：</w:t>
      </w:r>
      <w:r>
        <w:rPr>
          <w:rFonts w:asciiTheme="minorEastAsia" w:hAnsiTheme="minorEastAsia" w:eastAsiaTheme="minorEastAsia"/>
          <w:u w:val="single"/>
          <w:lang w:val="en-GB"/>
        </w:rPr>
        <w:t xml:space="preserve">       </w:t>
      </w:r>
      <w:r>
        <w:rPr>
          <w:rFonts w:hint="eastAsia" w:asciiTheme="minorEastAsia" w:hAnsiTheme="minorEastAsia" w:eastAsiaTheme="minorEastAsia"/>
          <w:lang w:val="en-GB"/>
        </w:rPr>
        <w:t>；</w:t>
      </w:r>
      <w:r>
        <w:rPr>
          <w:rFonts w:asciiTheme="minorEastAsia" w:hAnsiTheme="minorEastAsia" w:eastAsiaTheme="minorEastAsia"/>
          <w:lang w:val="en-GB"/>
        </w:rPr>
        <w:t xml:space="preserve"> </w:t>
      </w:r>
      <w:r>
        <w:rPr>
          <w:rFonts w:hint="eastAsia" w:asciiTheme="minorEastAsia" w:hAnsiTheme="minorEastAsia" w:eastAsiaTheme="minorEastAsia"/>
          <w:lang w:val="en-GB"/>
        </w:rPr>
        <w:t>采用并网系统：</w:t>
      </w:r>
      <w:r>
        <w:rPr>
          <w:rFonts w:asciiTheme="minorEastAsia" w:hAnsiTheme="minorEastAsia" w:eastAsiaTheme="minorEastAsia"/>
          <w:lang w:val="en-GB"/>
        </w:rPr>
        <w:t xml:space="preserve"> </w:t>
      </w:r>
      <w:r>
        <w:rPr>
          <w:rFonts w:hint="eastAsia" w:asciiTheme="minorEastAsia" w:hAnsiTheme="minorEastAsia" w:eastAsiaTheme="minorEastAsia"/>
          <w:lang w:val="en-GB"/>
        </w:rPr>
        <w:t>是□</w:t>
      </w:r>
      <w:r>
        <w:rPr>
          <w:rFonts w:asciiTheme="minorEastAsia" w:hAnsiTheme="minorEastAsia" w:eastAsiaTheme="minorEastAsia"/>
          <w:lang w:val="en-GB"/>
        </w:rPr>
        <w:t xml:space="preserve">   </w:t>
      </w:r>
      <w:r>
        <w:rPr>
          <w:rFonts w:hint="eastAsia" w:asciiTheme="minorEastAsia" w:hAnsiTheme="minorEastAsia" w:eastAsiaTheme="minorEastAsia"/>
          <w:lang w:val="en-GB"/>
        </w:rPr>
        <w:t>否□</w:t>
      </w:r>
      <w:r>
        <w:rPr>
          <w:rFonts w:asciiTheme="minorEastAsia" w:hAnsiTheme="minorEastAsia" w:eastAsiaTheme="minorEastAsia"/>
          <w:lang w:val="en-GB"/>
        </w:rPr>
        <w:t xml:space="preserve"> </w:t>
      </w:r>
      <w:r>
        <w:rPr>
          <w:rFonts w:hint="eastAsia" w:asciiTheme="minorEastAsia" w:hAnsiTheme="minorEastAsia" w:eastAsiaTheme="minorEastAsia"/>
          <w:lang w:val="en-GB"/>
        </w:rPr>
        <w:t>；</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系统峰值发电容量：</w:t>
      </w:r>
      <w:r>
        <w:rPr>
          <w:rFonts w:asciiTheme="minorEastAsia" w:hAnsiTheme="minorEastAsia" w:eastAsiaTheme="minorEastAsia"/>
          <w:u w:val="single"/>
          <w:lang w:val="en-GB"/>
        </w:rPr>
        <w:t xml:space="preserve">      </w:t>
      </w:r>
      <w:r>
        <w:rPr>
          <w:rFonts w:asciiTheme="minorEastAsia" w:hAnsiTheme="minorEastAsia" w:eastAsiaTheme="minorEastAsia"/>
          <w:lang w:val="en-GB"/>
        </w:rPr>
        <w:t>kWp ；</w:t>
      </w:r>
      <w:r>
        <w:rPr>
          <w:rFonts w:hint="eastAsia" w:asciiTheme="minorEastAsia" w:hAnsiTheme="minorEastAsia"/>
        </w:rPr>
        <w:t>设计年发电量</w:t>
      </w:r>
      <w:r>
        <w:rPr>
          <w:rFonts w:asciiTheme="minorEastAsia" w:hAnsiTheme="minorEastAsia"/>
          <w:u w:val="single"/>
        </w:rPr>
        <w:t xml:space="preserve">        </w:t>
      </w:r>
      <w:r>
        <w:rPr>
          <w:rFonts w:asciiTheme="minorEastAsia" w:hAnsiTheme="minorEastAsia"/>
        </w:rPr>
        <w:t xml:space="preserve">kWh </w:t>
      </w:r>
      <w:r>
        <w:rPr>
          <w:rFonts w:hint="eastAsia" w:asciiTheme="minorEastAsia" w:hAnsiTheme="minorEastAsia"/>
        </w:rPr>
        <w:t>；</w:t>
      </w:r>
    </w:p>
    <w:p>
      <w:pPr>
        <w:pStyle w:val="87"/>
        <w:numPr>
          <w:ilvl w:val="0"/>
          <w:numId w:val="0"/>
        </w:numPr>
        <w:ind w:left="425"/>
        <w:rPr>
          <w:rFonts w:asciiTheme="minorEastAsia" w:hAnsiTheme="minorEastAsia" w:eastAsiaTheme="minorEastAsia"/>
          <w:lang w:val="en-GB"/>
        </w:rPr>
      </w:pPr>
      <w:r>
        <w:rPr>
          <w:rFonts w:asciiTheme="minorEastAsia" w:hAnsiTheme="minorEastAsia" w:eastAsiaTheme="minorEastAsia"/>
          <w:lang w:val="en-GB"/>
        </w:rPr>
        <w:t>太阳能光伏电池的种类</w:t>
      </w:r>
      <w:r>
        <w:rPr>
          <w:rFonts w:hint="eastAsia" w:asciiTheme="minorEastAsia" w:hAnsiTheme="minorEastAsia" w:eastAsiaTheme="minorEastAsia"/>
          <w:lang w:val="en-GB"/>
        </w:rPr>
        <w:t>：</w:t>
      </w:r>
      <w:r>
        <w:rPr>
          <w:rFonts w:asciiTheme="minorEastAsia" w:hAnsiTheme="minorEastAsia" w:eastAsiaTheme="minorEastAsia"/>
          <w:u w:val="single"/>
          <w:lang w:val="en-GB"/>
        </w:rPr>
        <w:t xml:space="preserve">      </w:t>
      </w:r>
      <w:r>
        <w:rPr>
          <w:rFonts w:hint="eastAsia" w:asciiTheme="minorEastAsia" w:hAnsiTheme="minorEastAsia" w:eastAsiaTheme="minorEastAsia"/>
          <w:lang w:val="en-GB"/>
        </w:rPr>
        <w:t>；光伏与建筑结合类型：</w:t>
      </w:r>
      <w:r>
        <w:rPr>
          <w:rFonts w:asciiTheme="minorEastAsia" w:hAnsiTheme="minorEastAsia" w:eastAsiaTheme="minorEastAsia"/>
          <w:lang w:val="en-GB"/>
        </w:rPr>
        <w:t xml:space="preserve"> BIPV□   BAPV□。</w:t>
      </w:r>
    </w:p>
    <w:p>
      <w:pPr>
        <w:pStyle w:val="87"/>
        <w:rPr>
          <w:rFonts w:cs="宋体"/>
          <w:sz w:val="18"/>
          <w:szCs w:val="18"/>
          <w:u w:val="single"/>
          <w:lang w:val="en-GB"/>
        </w:rPr>
      </w:pPr>
      <w:r>
        <w:rPr>
          <w:rFonts w:hint="eastAsia"/>
          <w:lang w:val="en-GB"/>
        </w:rPr>
        <w:t>其它需说明的有关绿色（节能）的设计：</w:t>
      </w:r>
      <w:r>
        <w:rPr>
          <w:u w:val="single"/>
          <w:lang w:val="en-GB"/>
        </w:rPr>
        <w:t xml:space="preserve">                         </w:t>
      </w:r>
      <w:r>
        <w:rPr>
          <w:rFonts w:hint="eastAsia"/>
          <w:u w:val="single"/>
          <w:lang w:val="en-GB"/>
        </w:rPr>
        <w:t>。</w:t>
      </w:r>
    </w:p>
    <w:p>
      <w:pPr>
        <w:spacing w:line="360" w:lineRule="auto"/>
        <w:rPr>
          <w:rFonts w:hAnsi="宋体" w:cs="宋体"/>
          <w:sz w:val="18"/>
          <w:szCs w:val="18"/>
        </w:rPr>
      </w:pPr>
    </w:p>
    <w:p>
      <w:pPr>
        <w:pStyle w:val="63"/>
        <w:ind w:firstLine="0"/>
        <w:rPr>
          <w:rFonts w:asciiTheme="minorEastAsia" w:hAnsiTheme="minorEastAsia" w:eastAsiaTheme="minorEastAsia"/>
          <w:b/>
        </w:rPr>
      </w:pPr>
      <w:bookmarkStart w:id="23" w:name="_Toc109325910"/>
      <w:bookmarkStart w:id="24" w:name="_Toc109325274"/>
      <w:r>
        <w:rPr>
          <w:rFonts w:hint="eastAsia" w:asciiTheme="minorEastAsia" w:hAnsiTheme="minorEastAsia" w:eastAsiaTheme="minorEastAsia"/>
          <w:b/>
        </w:rPr>
        <w:t>三、智能化</w:t>
      </w:r>
      <w:r>
        <w:rPr>
          <w:rFonts w:asciiTheme="minorEastAsia" w:hAnsiTheme="minorEastAsia" w:eastAsiaTheme="minorEastAsia"/>
          <w:b/>
        </w:rPr>
        <w:t>设计技术措施</w:t>
      </w:r>
      <w:r>
        <w:rPr>
          <w:rFonts w:hint="eastAsia" w:asciiTheme="minorEastAsia" w:hAnsiTheme="minorEastAsia" w:eastAsiaTheme="minorEastAsia"/>
          <w:b/>
        </w:rPr>
        <w:t>:</w:t>
      </w:r>
      <w:bookmarkEnd w:id="23"/>
      <w:bookmarkEnd w:id="24"/>
    </w:p>
    <w:p>
      <w:pPr>
        <w:spacing w:line="360" w:lineRule="auto"/>
        <w:rPr>
          <w:rFonts w:hAnsi="宋体"/>
          <w:b/>
          <w:bCs/>
          <w:kern w:val="0"/>
          <w:sz w:val="24"/>
        </w:rPr>
      </w:pPr>
      <w:r>
        <w:rPr>
          <w:rFonts w:hAnsi="宋体"/>
          <w:b/>
          <w:sz w:val="24"/>
        </w:rPr>
        <w:t>可达绿色</w:t>
      </w:r>
      <w:r>
        <w:rPr>
          <w:rFonts w:hAnsi="宋体"/>
          <w:b/>
          <w:sz w:val="24"/>
          <w:lang w:val="en-GB"/>
        </w:rPr>
        <w:t>建筑</w:t>
      </w:r>
      <w:r>
        <w:rPr>
          <w:rFonts w:hint="eastAsia" w:hAnsi="宋体"/>
          <w:b/>
          <w:sz w:val="24"/>
          <w:lang w:val="en-GB"/>
        </w:rPr>
        <w:t>预评价</w:t>
      </w:r>
      <w:r>
        <w:rPr>
          <w:rFonts w:hAnsi="宋体"/>
          <w:b/>
          <w:sz w:val="24"/>
        </w:rPr>
        <w:t>等级</w:t>
      </w:r>
      <w:r>
        <w:rPr>
          <w:rFonts w:hint="eastAsia" w:hAnsi="宋体"/>
          <w:b/>
          <w:sz w:val="24"/>
        </w:rPr>
        <w:t>：</w:t>
      </w:r>
      <w:r>
        <w:rPr>
          <w:rFonts w:asciiTheme="minorEastAsia" w:hAnsiTheme="minorEastAsia" w:eastAsiaTheme="minorEastAsia"/>
          <w:b/>
          <w:sz w:val="24"/>
        </w:rPr>
        <w:t xml:space="preserve">□ </w:t>
      </w:r>
      <w:r>
        <w:rPr>
          <w:rFonts w:hint="eastAsia" w:asciiTheme="minorEastAsia" w:hAnsiTheme="minorEastAsia" w:eastAsiaTheme="minorEastAsia"/>
          <w:b/>
          <w:sz w:val="24"/>
        </w:rPr>
        <w:t>一</w:t>
      </w:r>
      <w:r>
        <w:rPr>
          <w:rFonts w:asciiTheme="minorEastAsia" w:hAnsiTheme="minorEastAsia" w:eastAsiaTheme="minorEastAsia"/>
          <w:b/>
          <w:sz w:val="24"/>
        </w:rPr>
        <w:t>星级</w:t>
      </w:r>
      <w:r>
        <w:rPr>
          <w:rFonts w:hint="eastAsia" w:asciiTheme="minorEastAsia" w:hAnsiTheme="minorEastAsia" w:eastAsiaTheme="minorEastAsia"/>
          <w:b/>
          <w:sz w:val="24"/>
        </w:rPr>
        <w:t>；</w:t>
      </w:r>
      <w:r>
        <w:rPr>
          <w:rFonts w:hAnsi="宋体"/>
          <w:b/>
          <w:sz w:val="24"/>
        </w:rPr>
        <w:t>□ 二星级</w:t>
      </w:r>
      <w:r>
        <w:rPr>
          <w:rFonts w:hint="eastAsia" w:hAnsi="宋体"/>
          <w:b/>
          <w:sz w:val="24"/>
        </w:rPr>
        <w:t>；</w:t>
      </w:r>
      <w:r>
        <w:rPr>
          <w:rFonts w:hAnsi="宋体"/>
          <w:b/>
          <w:sz w:val="24"/>
        </w:rPr>
        <w:t xml:space="preserve">□ </w:t>
      </w:r>
      <w:r>
        <w:rPr>
          <w:rFonts w:hint="eastAsia" w:hAnsi="宋体"/>
          <w:b/>
          <w:sz w:val="24"/>
        </w:rPr>
        <w:t>三</w:t>
      </w:r>
      <w:r>
        <w:rPr>
          <w:rFonts w:hAnsi="宋体"/>
          <w:b/>
          <w:sz w:val="24"/>
        </w:rPr>
        <w:t>星级</w:t>
      </w:r>
      <w:r>
        <w:rPr>
          <w:rFonts w:hint="eastAsia" w:hAnsi="宋体"/>
          <w:b/>
          <w:sz w:val="24"/>
        </w:rPr>
        <w:t>。</w:t>
      </w: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rPr>
      </w:pPr>
      <w:r>
        <w:rPr>
          <w:rFonts w:hint="eastAsia" w:hAnsi="宋体"/>
          <w:b/>
          <w:sz w:val="24"/>
        </w:rPr>
        <w:t>智能化</w:t>
      </w:r>
      <w:r>
        <w:rPr>
          <w:rFonts w:hint="eastAsia" w:hAnsi="宋体"/>
          <w:b/>
          <w:sz w:val="24"/>
          <w:lang w:val="en-GB"/>
        </w:rPr>
        <w:t>设计技术措施</w:t>
      </w: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rPr>
      </w:pPr>
      <w:r>
        <w:rPr>
          <w:rFonts w:hint="eastAsia" w:hAnsi="宋体"/>
          <w:b/>
          <w:sz w:val="24"/>
          <w:lang w:val="en-GB"/>
        </w:rPr>
        <w:t>控制项内容</w:t>
      </w:r>
    </w:p>
    <w:p>
      <w:pPr>
        <w:pStyle w:val="90"/>
        <w:numPr>
          <w:ilvl w:val="0"/>
          <w:numId w:val="39"/>
        </w:numPr>
        <w:rPr>
          <w:lang w:val="en-GB"/>
        </w:rPr>
      </w:pPr>
      <w:r>
        <w:rPr>
          <w:rFonts w:hint="eastAsia"/>
          <w:lang w:val="en-GB"/>
        </w:rPr>
        <w:t>建筑设备具有自动监控管理功能。</w:t>
      </w:r>
    </w:p>
    <w:p>
      <w:pPr>
        <w:pStyle w:val="90"/>
        <w:rPr>
          <w:lang w:val="en-GB"/>
        </w:rPr>
      </w:pPr>
      <w:r>
        <w:rPr>
          <w:rFonts w:hint="eastAsia"/>
          <w:lang w:val="en-GB"/>
        </w:rPr>
        <w:t>设有合理的信息网络系统。</w:t>
      </w:r>
    </w:p>
    <w:p>
      <w:pPr>
        <w:pStyle w:val="90"/>
        <w:ind w:left="845"/>
        <w:rPr>
          <w:lang w:val="en-GB"/>
        </w:rPr>
      </w:pPr>
    </w:p>
    <w:p>
      <w:pPr>
        <w:pBdr>
          <w:top w:val="single" w:color="auto" w:sz="4" w:space="1"/>
          <w:left w:val="single" w:color="auto" w:sz="4" w:space="4"/>
          <w:bottom w:val="single" w:color="auto" w:sz="4" w:space="1"/>
          <w:right w:val="single" w:color="auto" w:sz="4" w:space="4"/>
          <w:between w:val="single" w:color="auto" w:sz="4" w:space="1"/>
        </w:pBdr>
        <w:spacing w:line="360" w:lineRule="auto"/>
        <w:jc w:val="center"/>
        <w:rPr>
          <w:rFonts w:hAnsi="宋体"/>
          <w:b/>
          <w:sz w:val="24"/>
          <w:lang w:val="en-GB"/>
        </w:rPr>
      </w:pPr>
      <w:r>
        <w:rPr>
          <w:rFonts w:hint="eastAsia" w:hAnsi="宋体"/>
          <w:b/>
          <w:sz w:val="24"/>
          <w:lang w:val="en-GB"/>
        </w:rPr>
        <w:t>一般项内容</w:t>
      </w:r>
    </w:p>
    <w:p>
      <w:pPr>
        <w:pStyle w:val="87"/>
        <w:numPr>
          <w:ilvl w:val="0"/>
          <w:numId w:val="40"/>
        </w:numPr>
        <w:rPr>
          <w:lang w:val="en-GB"/>
        </w:rPr>
      </w:pPr>
      <w:r>
        <w:rPr>
          <w:lang w:val="en-GB"/>
        </w:rPr>
        <w:t>设置</w:t>
      </w:r>
      <w:r>
        <w:rPr>
          <w:rFonts w:hint="eastAsia"/>
          <w:lang w:val="en-GB"/>
        </w:rPr>
        <w:t>能耗监测系统，对公共设施的</w:t>
      </w:r>
      <w:r>
        <w:rPr>
          <w:lang w:val="en-GB"/>
        </w:rPr>
        <w:t>分类用能</w:t>
      </w:r>
      <w:r>
        <w:rPr>
          <w:rFonts w:hint="eastAsia"/>
          <w:lang w:val="en-GB"/>
        </w:rPr>
        <w:t>（用水、用电、用气、用油、冷热量等）进行</w:t>
      </w:r>
      <w:r>
        <w:rPr>
          <w:lang w:val="en-GB"/>
        </w:rPr>
        <w:t>计量</w:t>
      </w:r>
      <w:r>
        <w:rPr>
          <w:rFonts w:hint="eastAsia"/>
          <w:lang w:val="en-GB"/>
        </w:rPr>
        <w:t>并设置</w:t>
      </w:r>
      <w:r>
        <w:rPr>
          <w:lang w:val="en-GB"/>
        </w:rPr>
        <w:t>数据采集装置</w:t>
      </w:r>
      <w:r>
        <w:rPr>
          <w:rFonts w:hint="eastAsia"/>
          <w:lang w:val="en-GB"/>
        </w:rPr>
        <w:t>：</w:t>
      </w:r>
      <w:r>
        <w:rPr>
          <w:rFonts w:hint="eastAsia"/>
        </w:rPr>
        <w:t>□是；□否</w:t>
      </w:r>
      <w:r>
        <w:rPr>
          <w:rFonts w:hint="eastAsia"/>
          <w:lang w:val="en-GB"/>
        </w:rPr>
        <w:t>。</w:t>
      </w:r>
    </w:p>
    <w:p>
      <w:pPr>
        <w:pStyle w:val="87"/>
        <w:numPr>
          <w:ilvl w:val="0"/>
          <w:numId w:val="0"/>
        </w:numPr>
        <w:ind w:left="425"/>
        <w:rPr>
          <w:rFonts w:asciiTheme="minorEastAsia" w:hAnsiTheme="minorEastAsia" w:eastAsiaTheme="minorEastAsia"/>
          <w:lang w:val="en-GB"/>
        </w:rPr>
      </w:pPr>
      <w:r>
        <w:rPr>
          <w:rFonts w:hint="eastAsia" w:asciiTheme="minorEastAsia" w:hAnsiTheme="minorEastAsia" w:eastAsiaTheme="minorEastAsia"/>
          <w:lang w:val="en-GB"/>
        </w:rPr>
        <w:t>监测内容简述：</w:t>
      </w:r>
      <w:r>
        <w:rPr>
          <w:rFonts w:hint="eastAsia" w:asciiTheme="minorEastAsia" w:hAnsiTheme="minorEastAsia" w:eastAsiaTheme="minorEastAsia"/>
          <w:u w:val="single"/>
          <w:lang w:val="en-GB"/>
        </w:rPr>
        <w:t xml:space="preserve">                    </w:t>
      </w:r>
      <w:r>
        <w:rPr>
          <w:rFonts w:hint="eastAsia" w:asciiTheme="minorEastAsia" w:hAnsiTheme="minorEastAsia" w:eastAsiaTheme="minorEastAsia"/>
          <w:lang w:val="en-GB"/>
        </w:rPr>
        <w:t>。</w:t>
      </w:r>
    </w:p>
    <w:p>
      <w:pPr>
        <w:pStyle w:val="87"/>
        <w:rPr>
          <w:rFonts w:asciiTheme="minorEastAsia" w:hAnsiTheme="minorEastAsia" w:eastAsiaTheme="minorEastAsia"/>
          <w:lang w:val="en-GB"/>
        </w:rPr>
      </w:pPr>
      <w:r>
        <w:rPr>
          <w:rFonts w:hint="eastAsia" w:asciiTheme="minorEastAsia" w:hAnsiTheme="minorEastAsia" w:eastAsiaTheme="minorEastAsia"/>
          <w:lang w:val="en-GB"/>
        </w:rPr>
        <w:t>设有</w:t>
      </w:r>
      <w:r>
        <w:rPr>
          <w:rFonts w:asciiTheme="minorEastAsia" w:hAnsiTheme="minorEastAsia" w:eastAsiaTheme="minorEastAsia"/>
          <w:lang w:val="en-GB"/>
        </w:rPr>
        <w:t>建筑设备</w:t>
      </w:r>
      <w:r>
        <w:rPr>
          <w:rFonts w:hint="eastAsia" w:asciiTheme="minorEastAsia" w:hAnsiTheme="minorEastAsia" w:eastAsiaTheme="minorEastAsia"/>
          <w:lang w:val="en-GB"/>
        </w:rPr>
        <w:t>监控</w:t>
      </w:r>
      <w:r>
        <w:rPr>
          <w:rFonts w:asciiTheme="minorEastAsia" w:hAnsiTheme="minorEastAsia" w:eastAsiaTheme="minorEastAsia"/>
          <w:lang w:val="en-GB"/>
        </w:rPr>
        <w:t>系统（</w:t>
      </w:r>
      <w:r>
        <w:rPr>
          <w:rFonts w:hint="eastAsia" w:asciiTheme="minorEastAsia" w:hAnsiTheme="minorEastAsia" w:eastAsiaTheme="minorEastAsia"/>
          <w:lang w:val="en-GB"/>
        </w:rPr>
        <w:t>BAS或建筑设备一体化监控系统</w:t>
      </w:r>
      <w:r>
        <w:rPr>
          <w:rFonts w:asciiTheme="minorEastAsia" w:hAnsiTheme="minorEastAsia" w:eastAsiaTheme="minorEastAsia"/>
          <w:lang w:val="en-GB"/>
        </w:rPr>
        <w:t>）</w:t>
      </w:r>
      <w:r>
        <w:rPr>
          <w:rFonts w:hint="eastAsia" w:asciiTheme="minorEastAsia" w:hAnsiTheme="minorEastAsia" w:eastAsiaTheme="minorEastAsia"/>
          <w:lang w:val="en-GB"/>
        </w:rPr>
        <w:t xml:space="preserve">： </w:t>
      </w:r>
      <w:r>
        <w:rPr>
          <w:rFonts w:hint="eastAsia" w:asciiTheme="minorEastAsia" w:hAnsiTheme="minorEastAsia" w:eastAsiaTheme="minorEastAsia"/>
        </w:rPr>
        <w:t>□是；□否</w:t>
      </w:r>
      <w:r>
        <w:rPr>
          <w:rFonts w:hint="eastAsia" w:asciiTheme="minorEastAsia" w:hAnsiTheme="minorEastAsia" w:eastAsiaTheme="minorEastAsia"/>
          <w:lang w:val="en-GB"/>
        </w:rPr>
        <w:t>；</w:t>
      </w:r>
    </w:p>
    <w:p>
      <w:pPr>
        <w:pStyle w:val="87"/>
        <w:numPr>
          <w:ilvl w:val="0"/>
          <w:numId w:val="0"/>
        </w:numPr>
        <w:ind w:left="425"/>
        <w:rPr>
          <w:lang w:val="en-GB"/>
        </w:rPr>
      </w:pPr>
      <w:r>
        <w:rPr>
          <w:rFonts w:hint="eastAsia"/>
          <w:lang w:val="en-GB"/>
        </w:rPr>
        <w:t>监控内容简述：</w:t>
      </w:r>
      <w:r>
        <w:rPr>
          <w:rFonts w:hint="eastAsia" w:asciiTheme="minorEastAsia" w:hAnsiTheme="minorEastAsia" w:eastAsiaTheme="minorEastAsia"/>
          <w:u w:val="single"/>
          <w:lang w:val="en-GB"/>
        </w:rPr>
        <w:t xml:space="preserve">                    </w:t>
      </w:r>
      <w:r>
        <w:rPr>
          <w:rFonts w:hint="eastAsia"/>
          <w:lang w:val="en-GB"/>
        </w:rPr>
        <w:t>。</w:t>
      </w:r>
    </w:p>
    <w:p>
      <w:pPr>
        <w:pStyle w:val="87"/>
      </w:pPr>
      <w:r>
        <w:rPr>
          <w:rFonts w:hint="eastAsia"/>
        </w:rPr>
        <w:t>根据需要设置合理的智能化服务系统</w:t>
      </w:r>
      <w:r>
        <w:rPr>
          <w:rFonts w:hint="eastAsia"/>
          <w:lang w:val="en-GB"/>
        </w:rPr>
        <w:t xml:space="preserve">： </w:t>
      </w:r>
      <w:r>
        <w:rPr>
          <w:rFonts w:hint="eastAsia"/>
        </w:rPr>
        <w:t>□是；□否</w:t>
      </w:r>
      <w:r>
        <w:rPr>
          <w:rFonts w:hint="eastAsia"/>
          <w:lang w:val="en-GB"/>
        </w:rPr>
        <w:t xml:space="preserve">。 </w:t>
      </w:r>
      <w:r>
        <w:rPr>
          <w:rFonts w:hint="eastAsia"/>
        </w:rPr>
        <w:t>智能化服务系统列举</w:t>
      </w:r>
      <w:r>
        <w:rPr>
          <w:rFonts w:hint="eastAsia"/>
          <w:lang w:val="en-GB"/>
        </w:rPr>
        <w:t>：</w:t>
      </w:r>
      <w:r>
        <w:rPr>
          <w:rFonts w:hint="eastAsia"/>
          <w:u w:val="single"/>
          <w:lang w:val="en-GB"/>
        </w:rPr>
        <w:t xml:space="preserve">                     </w:t>
      </w:r>
      <w:r>
        <w:rPr>
          <w:rFonts w:hint="eastAsia"/>
          <w:lang w:val="en-GB"/>
        </w:rPr>
        <w:t>；</w:t>
      </w:r>
    </w:p>
    <w:p>
      <w:pPr>
        <w:pStyle w:val="87"/>
        <w:numPr>
          <w:ilvl w:val="0"/>
          <w:numId w:val="0"/>
        </w:numPr>
        <w:ind w:left="425"/>
        <w:rPr>
          <w:lang w:val="en-GB"/>
        </w:rPr>
      </w:pPr>
      <w:r>
        <w:rPr>
          <w:rFonts w:hint="eastAsia"/>
          <w:lang w:val="en-GB"/>
        </w:rPr>
        <w:t xml:space="preserve">智能化服务系统具有远程监控功能： </w:t>
      </w:r>
      <w:r>
        <w:rPr>
          <w:rFonts w:hint="eastAsia"/>
        </w:rPr>
        <w:t>□是；□否</w:t>
      </w:r>
      <w:r>
        <w:rPr>
          <w:rFonts w:hint="eastAsia"/>
          <w:lang w:val="en-GB"/>
        </w:rPr>
        <w:t xml:space="preserve">。具有接入智慧城市（城区、社区）的功能： </w:t>
      </w:r>
      <w:r>
        <w:rPr>
          <w:rFonts w:hint="eastAsia"/>
        </w:rPr>
        <w:t>□是；□否</w:t>
      </w:r>
      <w:r>
        <w:rPr>
          <w:rFonts w:hint="eastAsia"/>
          <w:lang w:val="en-GB"/>
        </w:rPr>
        <w:t>。</w:t>
      </w:r>
    </w:p>
    <w:p>
      <w:pPr>
        <w:pStyle w:val="87"/>
      </w:pPr>
      <w:r>
        <w:t>建筑设备</w:t>
      </w:r>
      <w:r>
        <w:rPr>
          <w:rFonts w:hint="eastAsia"/>
        </w:rPr>
        <w:t>管理</w:t>
      </w:r>
      <w:r>
        <w:t>系统</w:t>
      </w:r>
      <w:r>
        <w:rPr>
          <w:rFonts w:hint="eastAsia"/>
        </w:rPr>
        <w:t>采用大数据分析技术分析并优化设备的运行状态和运行能耗：□是；□否。</w:t>
      </w:r>
    </w:p>
    <w:p>
      <w:pPr>
        <w:pStyle w:val="87"/>
        <w:sectPr>
          <w:headerReference r:id="rId10" w:type="default"/>
          <w:pgSz w:w="23814" w:h="16840" w:orient="landscape"/>
          <w:pgMar w:top="1134" w:right="1134" w:bottom="1134" w:left="1134" w:header="851" w:footer="992" w:gutter="0"/>
          <w:cols w:space="630" w:num="2"/>
          <w:docGrid w:type="lines" w:linePitch="312" w:charSpace="0"/>
        </w:sectPr>
      </w:pPr>
      <w:r>
        <w:rPr>
          <w:rFonts w:hint="eastAsia"/>
        </w:rPr>
        <w:t>其它需说明的有关绿色（节能）的设计：</w:t>
      </w:r>
      <w:r>
        <w:t xml:space="preserve">                   </w:t>
      </w:r>
    </w:p>
    <w:p>
      <w:pPr>
        <w:pStyle w:val="2"/>
        <w:rPr>
          <w:rFonts w:hAnsi="宋体"/>
          <w:sz w:val="52"/>
          <w:szCs w:val="52"/>
        </w:rPr>
      </w:pPr>
      <w:bookmarkStart w:id="25" w:name="_Toc113029273"/>
      <w:bookmarkStart w:id="26" w:name="_Toc109325940"/>
      <w:bookmarkStart w:id="27" w:name="_Toc109325911"/>
      <w:r>
        <w:rPr>
          <w:rFonts w:hint="eastAsia" w:hAnsi="宋体"/>
          <w:sz w:val="52"/>
          <w:szCs w:val="52"/>
        </w:rPr>
        <w:t>第二部分：绿色建筑预评价自评表</w:t>
      </w:r>
      <w:bookmarkEnd w:id="25"/>
    </w:p>
    <w:p>
      <w:pPr>
        <w:pStyle w:val="4"/>
        <w:jc w:val="center"/>
        <w:sectPr>
          <w:headerReference r:id="rId11" w:type="default"/>
          <w:pgSz w:w="11907" w:h="16839"/>
          <w:pgMar w:top="1800" w:right="1440" w:bottom="1800" w:left="1440" w:header="851" w:footer="992" w:gutter="0"/>
          <w:cols w:space="630" w:num="1"/>
          <w:docGrid w:type="lines" w:linePitch="312" w:charSpace="0"/>
        </w:sectPr>
      </w:pPr>
    </w:p>
    <w:bookmarkEnd w:id="26"/>
    <w:p>
      <w:pPr>
        <w:overflowPunct w:val="0"/>
        <w:ind w:firstLine="562"/>
        <w:jc w:val="center"/>
        <w:outlineLvl w:val="2"/>
        <w:rPr>
          <w:rFonts w:hAnsi="宋体" w:cs="宋体"/>
          <w:b/>
          <w:bCs/>
          <w:sz w:val="28"/>
          <w:szCs w:val="28"/>
        </w:rPr>
      </w:pPr>
      <w:bookmarkStart w:id="28" w:name="_Toc109325941"/>
      <w:bookmarkStart w:id="29" w:name="_Toc113029274"/>
      <w:r>
        <w:rPr>
          <w:rFonts w:hAnsi="宋体" w:cs="宋体"/>
          <w:b/>
          <w:bCs/>
          <w:sz w:val="28"/>
          <w:szCs w:val="28"/>
        </w:rPr>
        <w:t>绿色建筑</w:t>
      </w:r>
      <w:r>
        <w:rPr>
          <w:rFonts w:hint="eastAsia" w:hAnsi="宋体" w:cs="宋体"/>
          <w:b/>
          <w:bCs/>
          <w:sz w:val="28"/>
          <w:szCs w:val="28"/>
        </w:rPr>
        <w:t>预评价</w:t>
      </w:r>
      <w:r>
        <w:rPr>
          <w:rFonts w:hAnsi="宋体" w:cs="宋体"/>
          <w:b/>
          <w:bCs/>
          <w:sz w:val="28"/>
          <w:szCs w:val="28"/>
        </w:rPr>
        <w:t>自评表1 - 汇总表</w:t>
      </w:r>
      <w:bookmarkEnd w:id="28"/>
      <w:bookmarkEnd w:id="29"/>
    </w:p>
    <w:tbl>
      <w:tblPr>
        <w:tblStyle w:val="44"/>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4"/>
        <w:gridCol w:w="1341"/>
        <w:gridCol w:w="142"/>
        <w:gridCol w:w="850"/>
        <w:gridCol w:w="851"/>
        <w:gridCol w:w="141"/>
        <w:gridCol w:w="993"/>
        <w:gridCol w:w="992"/>
        <w:gridCol w:w="992"/>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7938" w:type="dxa"/>
            <w:gridSpan w:val="10"/>
            <w:shd w:val="clear" w:color="auto" w:fill="auto"/>
            <w:vAlign w:val="center"/>
          </w:tcPr>
          <w:p>
            <w:pPr>
              <w:widowControl/>
              <w:jc w:val="center"/>
              <w:rPr>
                <w:rFonts w:hAnsi="宋体" w:cs="宋体"/>
                <w:b/>
                <w:szCs w:val="21"/>
              </w:rPr>
            </w:pPr>
            <w:r>
              <w:rPr>
                <w:rFonts w:hint="eastAsia" w:hAnsi="宋体" w:cs="宋体"/>
                <w:b/>
                <w:szCs w:val="21"/>
              </w:rPr>
              <w:t>星级等级评价</w:t>
            </w:r>
            <w:r>
              <w:rPr>
                <w:rFonts w:hAnsi="宋体" w:cs="宋体"/>
                <w:b/>
                <w:szCs w:val="21"/>
              </w:rPr>
              <w:t>要求</w:t>
            </w:r>
          </w:p>
        </w:tc>
        <w:tc>
          <w:tcPr>
            <w:tcW w:w="1134" w:type="dxa"/>
            <w:shd w:val="clear" w:color="auto" w:fill="auto"/>
            <w:vAlign w:val="center"/>
          </w:tcPr>
          <w:p>
            <w:pPr>
              <w:widowControl/>
              <w:jc w:val="center"/>
              <w:rPr>
                <w:rFonts w:hAnsi="宋体" w:cs="宋体"/>
                <w:b/>
                <w:szCs w:val="21"/>
              </w:rPr>
            </w:pPr>
            <w:r>
              <w:rPr>
                <w:rFonts w:hAnsi="宋体" w:cs="宋体"/>
                <w:b/>
                <w:szCs w:val="21"/>
              </w:rPr>
              <w:t>是否达标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7938" w:type="dxa"/>
            <w:gridSpan w:val="10"/>
            <w:shd w:val="clear" w:color="auto" w:fill="auto"/>
            <w:vAlign w:val="center"/>
          </w:tcPr>
          <w:p>
            <w:pPr>
              <w:pStyle w:val="273"/>
              <w:widowControl/>
              <w:numPr>
                <w:ilvl w:val="0"/>
                <w:numId w:val="41"/>
              </w:numPr>
              <w:ind w:firstLine="0" w:firstLineChars="0"/>
              <w:rPr>
                <w:rFonts w:ascii="宋体" w:hAnsi="宋体" w:cs="宋体"/>
                <w:szCs w:val="21"/>
              </w:rPr>
            </w:pPr>
            <w:r>
              <w:rPr>
                <w:rFonts w:ascii="宋体" w:hAnsi="宋体" w:cs="宋体"/>
                <w:szCs w:val="21"/>
              </w:rPr>
              <w:t>绿色建筑均应满足</w:t>
            </w:r>
            <w:r>
              <w:rPr>
                <w:rFonts w:hint="eastAsia" w:ascii="宋体" w:hAnsi="宋体" w:cs="宋体"/>
                <w:szCs w:val="21"/>
              </w:rPr>
              <w:t>《绿色建筑评价标准》GB/T 50378-2019</w:t>
            </w:r>
            <w:r>
              <w:rPr>
                <w:rFonts w:ascii="宋体" w:hAnsi="宋体" w:cs="宋体"/>
                <w:szCs w:val="21"/>
              </w:rPr>
              <w:t>全部控制项的要求，且每类指标的评分项得分不应小于其评分项满分值的30%。</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938" w:type="dxa"/>
            <w:gridSpan w:val="10"/>
            <w:shd w:val="clear" w:color="auto" w:fill="auto"/>
            <w:noWrap/>
            <w:vAlign w:val="center"/>
          </w:tcPr>
          <w:p>
            <w:pPr>
              <w:pStyle w:val="273"/>
              <w:widowControl/>
              <w:numPr>
                <w:ilvl w:val="0"/>
                <w:numId w:val="41"/>
              </w:numPr>
              <w:ind w:firstLine="0" w:firstLineChars="0"/>
              <w:rPr>
                <w:rFonts w:ascii="宋体" w:hAnsi="宋体" w:cs="宋体"/>
                <w:szCs w:val="21"/>
              </w:rPr>
            </w:pPr>
            <w:r>
              <w:rPr>
                <w:rFonts w:ascii="宋体" w:hAnsi="宋体" w:cs="宋体"/>
                <w:szCs w:val="21"/>
              </w:rPr>
              <w:t>绿色建筑应进行全装修。</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7938" w:type="dxa"/>
            <w:gridSpan w:val="10"/>
            <w:shd w:val="clear" w:color="auto" w:fill="auto"/>
            <w:noWrap/>
            <w:vAlign w:val="center"/>
          </w:tcPr>
          <w:p>
            <w:pPr>
              <w:pStyle w:val="273"/>
              <w:widowControl/>
              <w:numPr>
                <w:ilvl w:val="0"/>
                <w:numId w:val="41"/>
              </w:numPr>
              <w:ind w:firstLine="0" w:firstLineChars="0"/>
              <w:rPr>
                <w:rFonts w:ascii="宋体" w:hAnsi="宋体" w:cs="宋体"/>
                <w:szCs w:val="21"/>
              </w:rPr>
            </w:pPr>
            <w:r>
              <w:rPr>
                <w:rFonts w:ascii="宋体" w:hAnsi="宋体" w:cs="宋体"/>
                <w:szCs w:val="21"/>
              </w:rPr>
              <w:t>技术要求（注：以下各项对应星级均满足</w:t>
            </w:r>
            <w:r>
              <w:rPr>
                <w:rFonts w:hint="eastAsia" w:ascii="宋体" w:hAnsi="宋体" w:cs="宋体"/>
                <w:szCs w:val="21"/>
              </w:rPr>
              <w:t>时</w:t>
            </w:r>
            <w:r>
              <w:rPr>
                <w:rFonts w:ascii="宋体" w:hAnsi="宋体" w:cs="宋体"/>
                <w:szCs w:val="21"/>
              </w:rPr>
              <w:t>，则判定达标）</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644" w:type="dxa"/>
            <w:vMerge w:val="restart"/>
            <w:shd w:val="clear" w:color="auto" w:fill="auto"/>
            <w:vAlign w:val="center"/>
          </w:tcPr>
          <w:p>
            <w:pPr>
              <w:jc w:val="center"/>
              <w:rPr>
                <w:rFonts w:hAnsi="宋体" w:cs="宋体"/>
                <w:szCs w:val="21"/>
              </w:rPr>
            </w:pPr>
            <w:r>
              <w:rPr>
                <w:rFonts w:hAnsi="宋体" w:cs="宋体"/>
                <w:szCs w:val="21"/>
              </w:rPr>
              <w:t>技术要求内容</w:t>
            </w:r>
          </w:p>
        </w:tc>
        <w:tc>
          <w:tcPr>
            <w:tcW w:w="1483" w:type="dxa"/>
            <w:gridSpan w:val="2"/>
            <w:vMerge w:val="restart"/>
            <w:shd w:val="clear" w:color="auto" w:fill="auto"/>
            <w:vAlign w:val="center"/>
          </w:tcPr>
          <w:p>
            <w:pPr>
              <w:widowControl/>
              <w:rPr>
                <w:rFonts w:hAnsi="宋体" w:cs="宋体"/>
                <w:szCs w:val="21"/>
              </w:rPr>
            </w:pPr>
            <w:r>
              <w:rPr>
                <w:rFonts w:hAnsi="宋体" w:cs="宋体"/>
                <w:szCs w:val="21"/>
              </w:rPr>
              <w:t>围护结构热工性能提高比例，或建筑供暖空调负荷降低比例</w:t>
            </w:r>
          </w:p>
        </w:tc>
        <w:tc>
          <w:tcPr>
            <w:tcW w:w="1701" w:type="dxa"/>
            <w:gridSpan w:val="2"/>
            <w:shd w:val="clear" w:color="auto" w:fill="auto"/>
            <w:vAlign w:val="center"/>
          </w:tcPr>
          <w:p>
            <w:pPr>
              <w:widowControl/>
              <w:jc w:val="center"/>
              <w:rPr>
                <w:rFonts w:hAnsi="宋体" w:cs="宋体"/>
                <w:szCs w:val="21"/>
              </w:rPr>
            </w:pPr>
            <w:r>
              <w:rPr>
                <w:rFonts w:hAnsi="宋体" w:cs="宋体"/>
                <w:szCs w:val="21"/>
              </w:rPr>
              <w:t>一星</w:t>
            </w:r>
            <w:r>
              <w:rPr>
                <w:rFonts w:hint="eastAsia" w:hAnsi="宋体" w:cs="宋体"/>
                <w:szCs w:val="21"/>
              </w:rPr>
              <w:t>级</w:t>
            </w:r>
          </w:p>
        </w:tc>
        <w:tc>
          <w:tcPr>
            <w:tcW w:w="4110" w:type="dxa"/>
            <w:gridSpan w:val="5"/>
            <w:shd w:val="clear" w:color="auto" w:fill="auto"/>
            <w:vAlign w:val="center"/>
          </w:tcPr>
          <w:p>
            <w:pPr>
              <w:widowControl/>
              <w:rPr>
                <w:rFonts w:hAnsi="宋体" w:cs="宋体"/>
                <w:szCs w:val="21"/>
              </w:rPr>
            </w:pPr>
            <w:r>
              <w:rPr>
                <w:rFonts w:hAnsi="宋体" w:cs="宋体"/>
                <w:szCs w:val="21"/>
              </w:rPr>
              <w:t>围护结构提高5%，或负荷降低5%</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644" w:type="dxa"/>
            <w:vMerge w:val="continue"/>
            <w:shd w:val="clear" w:color="auto" w:fill="auto"/>
            <w:vAlign w:val="center"/>
          </w:tcPr>
          <w:p>
            <w:pPr>
              <w:jc w:val="center"/>
              <w:rPr>
                <w:rFonts w:hAnsi="宋体" w:cs="宋体"/>
                <w:szCs w:val="21"/>
              </w:rPr>
            </w:pPr>
          </w:p>
        </w:tc>
        <w:tc>
          <w:tcPr>
            <w:tcW w:w="1483" w:type="dxa"/>
            <w:gridSpan w:val="2"/>
            <w:vMerge w:val="continue"/>
            <w:shd w:val="clear" w:color="auto" w:fill="auto"/>
            <w:vAlign w:val="center"/>
          </w:tcPr>
          <w:p>
            <w:pPr>
              <w:widowControl/>
              <w:rPr>
                <w:rFonts w:hAnsi="宋体" w:cs="宋体"/>
                <w:szCs w:val="21"/>
              </w:rPr>
            </w:pPr>
          </w:p>
        </w:tc>
        <w:tc>
          <w:tcPr>
            <w:tcW w:w="1701" w:type="dxa"/>
            <w:gridSpan w:val="2"/>
            <w:shd w:val="clear" w:color="auto" w:fill="auto"/>
            <w:vAlign w:val="center"/>
          </w:tcPr>
          <w:p>
            <w:pPr>
              <w:widowControl/>
              <w:jc w:val="center"/>
              <w:rPr>
                <w:rFonts w:hAnsi="宋体" w:cs="宋体"/>
                <w:szCs w:val="21"/>
              </w:rPr>
            </w:pPr>
            <w:r>
              <w:rPr>
                <w:rFonts w:hAnsi="宋体" w:cs="宋体"/>
                <w:szCs w:val="21"/>
              </w:rPr>
              <w:t>二星</w:t>
            </w:r>
            <w:r>
              <w:rPr>
                <w:rFonts w:hint="eastAsia" w:hAnsi="宋体" w:cs="宋体"/>
                <w:szCs w:val="21"/>
              </w:rPr>
              <w:t>级</w:t>
            </w:r>
          </w:p>
        </w:tc>
        <w:tc>
          <w:tcPr>
            <w:tcW w:w="4110" w:type="dxa"/>
            <w:gridSpan w:val="5"/>
            <w:shd w:val="clear" w:color="auto" w:fill="auto"/>
            <w:vAlign w:val="center"/>
          </w:tcPr>
          <w:p>
            <w:pPr>
              <w:widowControl/>
              <w:rPr>
                <w:rFonts w:hAnsi="宋体" w:cs="宋体"/>
                <w:szCs w:val="21"/>
              </w:rPr>
            </w:pPr>
            <w:r>
              <w:rPr>
                <w:rFonts w:hAnsi="宋体" w:cs="宋体"/>
                <w:szCs w:val="21"/>
              </w:rPr>
              <w:t>围护结构提高10%，或负荷降低10%</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644" w:type="dxa"/>
            <w:vMerge w:val="continue"/>
            <w:shd w:val="clear" w:color="auto" w:fill="auto"/>
            <w:vAlign w:val="center"/>
          </w:tcPr>
          <w:p>
            <w:pPr>
              <w:jc w:val="center"/>
              <w:rPr>
                <w:rFonts w:hAnsi="宋体" w:cs="宋体"/>
                <w:szCs w:val="21"/>
              </w:rPr>
            </w:pPr>
          </w:p>
        </w:tc>
        <w:tc>
          <w:tcPr>
            <w:tcW w:w="1483" w:type="dxa"/>
            <w:gridSpan w:val="2"/>
            <w:vMerge w:val="continue"/>
            <w:shd w:val="clear" w:color="auto" w:fill="auto"/>
            <w:vAlign w:val="center"/>
          </w:tcPr>
          <w:p>
            <w:pPr>
              <w:widowControl/>
              <w:rPr>
                <w:rFonts w:hAnsi="宋体" w:cs="宋体"/>
                <w:szCs w:val="21"/>
              </w:rPr>
            </w:pPr>
          </w:p>
        </w:tc>
        <w:tc>
          <w:tcPr>
            <w:tcW w:w="1701" w:type="dxa"/>
            <w:gridSpan w:val="2"/>
            <w:shd w:val="clear" w:color="auto" w:fill="auto"/>
            <w:vAlign w:val="center"/>
          </w:tcPr>
          <w:p>
            <w:pPr>
              <w:widowControl/>
              <w:jc w:val="center"/>
              <w:rPr>
                <w:rFonts w:hAnsi="宋体" w:cs="宋体"/>
                <w:szCs w:val="21"/>
              </w:rPr>
            </w:pPr>
            <w:r>
              <w:rPr>
                <w:rFonts w:hAnsi="宋体" w:cs="宋体"/>
                <w:szCs w:val="21"/>
              </w:rPr>
              <w:t>三星</w:t>
            </w:r>
            <w:r>
              <w:rPr>
                <w:rFonts w:hint="eastAsia" w:hAnsi="宋体" w:cs="宋体"/>
                <w:szCs w:val="21"/>
              </w:rPr>
              <w:t>级</w:t>
            </w:r>
          </w:p>
        </w:tc>
        <w:tc>
          <w:tcPr>
            <w:tcW w:w="4110" w:type="dxa"/>
            <w:gridSpan w:val="5"/>
            <w:shd w:val="clear" w:color="auto" w:fill="auto"/>
            <w:vAlign w:val="center"/>
          </w:tcPr>
          <w:p>
            <w:pPr>
              <w:widowControl/>
              <w:rPr>
                <w:rFonts w:hAnsi="宋体" w:cs="宋体"/>
                <w:szCs w:val="21"/>
              </w:rPr>
            </w:pPr>
            <w:r>
              <w:rPr>
                <w:rFonts w:hAnsi="宋体" w:cs="宋体"/>
                <w:szCs w:val="21"/>
              </w:rPr>
              <w:t>围护结构提高20%，或负荷降低15%</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644" w:type="dxa"/>
            <w:vMerge w:val="continue"/>
            <w:shd w:val="clear" w:color="auto" w:fill="auto"/>
            <w:vAlign w:val="center"/>
          </w:tcPr>
          <w:p>
            <w:pPr>
              <w:jc w:val="center"/>
              <w:rPr>
                <w:rFonts w:hAnsi="宋体" w:cs="宋体"/>
                <w:szCs w:val="21"/>
              </w:rPr>
            </w:pPr>
          </w:p>
        </w:tc>
        <w:tc>
          <w:tcPr>
            <w:tcW w:w="1483" w:type="dxa"/>
            <w:gridSpan w:val="2"/>
            <w:vMerge w:val="restart"/>
            <w:shd w:val="clear" w:color="auto" w:fill="auto"/>
            <w:vAlign w:val="center"/>
          </w:tcPr>
          <w:p>
            <w:pPr>
              <w:rPr>
                <w:rFonts w:hAnsi="宋体" w:cs="宋体"/>
                <w:szCs w:val="21"/>
              </w:rPr>
            </w:pPr>
            <w:r>
              <w:rPr>
                <w:rFonts w:hAnsi="宋体" w:cs="宋体"/>
                <w:szCs w:val="21"/>
              </w:rPr>
              <w:t>节水器具</w:t>
            </w:r>
          </w:p>
          <w:p>
            <w:pPr>
              <w:rPr>
                <w:rFonts w:hAnsi="宋体" w:cs="宋体"/>
                <w:szCs w:val="21"/>
              </w:rPr>
            </w:pPr>
            <w:r>
              <w:rPr>
                <w:rFonts w:hAnsi="宋体" w:cs="宋体"/>
                <w:szCs w:val="21"/>
              </w:rPr>
              <w:t>用水效率等级</w:t>
            </w:r>
          </w:p>
        </w:tc>
        <w:tc>
          <w:tcPr>
            <w:tcW w:w="1701" w:type="dxa"/>
            <w:gridSpan w:val="2"/>
            <w:shd w:val="clear" w:color="auto" w:fill="auto"/>
            <w:noWrap/>
            <w:vAlign w:val="center"/>
          </w:tcPr>
          <w:p>
            <w:pPr>
              <w:widowControl/>
              <w:jc w:val="center"/>
              <w:rPr>
                <w:rFonts w:hAnsi="宋体" w:cs="宋体"/>
                <w:szCs w:val="21"/>
              </w:rPr>
            </w:pPr>
            <w:r>
              <w:rPr>
                <w:rFonts w:hAnsi="宋体" w:cs="宋体"/>
                <w:szCs w:val="21"/>
              </w:rPr>
              <w:t>一星</w:t>
            </w:r>
            <w:r>
              <w:rPr>
                <w:rFonts w:hint="eastAsia" w:hAnsi="宋体" w:cs="宋体"/>
                <w:szCs w:val="21"/>
              </w:rPr>
              <w:t>级</w:t>
            </w:r>
          </w:p>
        </w:tc>
        <w:tc>
          <w:tcPr>
            <w:tcW w:w="4110" w:type="dxa"/>
            <w:gridSpan w:val="5"/>
            <w:shd w:val="clear" w:color="auto" w:fill="auto"/>
            <w:vAlign w:val="center"/>
          </w:tcPr>
          <w:p>
            <w:pPr>
              <w:widowControl/>
              <w:jc w:val="center"/>
              <w:rPr>
                <w:rFonts w:hAnsi="宋体" w:cs="宋体"/>
                <w:szCs w:val="21"/>
              </w:rPr>
            </w:pPr>
            <w:r>
              <w:rPr>
                <w:rFonts w:hAnsi="宋体" w:cs="宋体"/>
                <w:szCs w:val="21"/>
              </w:rPr>
              <w:t>3级</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644" w:type="dxa"/>
            <w:vMerge w:val="continue"/>
            <w:shd w:val="clear" w:color="auto" w:fill="auto"/>
            <w:vAlign w:val="center"/>
          </w:tcPr>
          <w:p>
            <w:pPr>
              <w:jc w:val="center"/>
              <w:rPr>
                <w:rFonts w:hAnsi="宋体" w:cs="宋体"/>
                <w:szCs w:val="21"/>
              </w:rPr>
            </w:pPr>
          </w:p>
        </w:tc>
        <w:tc>
          <w:tcPr>
            <w:tcW w:w="1483" w:type="dxa"/>
            <w:gridSpan w:val="2"/>
            <w:vMerge w:val="continue"/>
            <w:shd w:val="clear" w:color="auto" w:fill="auto"/>
            <w:vAlign w:val="center"/>
          </w:tcPr>
          <w:p>
            <w:pPr>
              <w:widowControl/>
              <w:rPr>
                <w:rFonts w:hAnsi="宋体" w:cs="宋体"/>
                <w:szCs w:val="21"/>
              </w:rPr>
            </w:pPr>
          </w:p>
        </w:tc>
        <w:tc>
          <w:tcPr>
            <w:tcW w:w="1701" w:type="dxa"/>
            <w:gridSpan w:val="2"/>
            <w:shd w:val="clear" w:color="auto" w:fill="auto"/>
            <w:noWrap/>
            <w:vAlign w:val="center"/>
          </w:tcPr>
          <w:p>
            <w:pPr>
              <w:widowControl/>
              <w:jc w:val="center"/>
              <w:rPr>
                <w:rFonts w:hAnsi="宋体" w:cs="宋体"/>
                <w:szCs w:val="21"/>
              </w:rPr>
            </w:pPr>
            <w:r>
              <w:rPr>
                <w:rFonts w:hAnsi="宋体" w:cs="宋体"/>
                <w:szCs w:val="21"/>
              </w:rPr>
              <w:t>二星</w:t>
            </w:r>
            <w:r>
              <w:rPr>
                <w:rFonts w:hint="eastAsia" w:hAnsi="宋体" w:cs="宋体"/>
                <w:szCs w:val="21"/>
              </w:rPr>
              <w:t>级</w:t>
            </w:r>
          </w:p>
        </w:tc>
        <w:tc>
          <w:tcPr>
            <w:tcW w:w="4110" w:type="dxa"/>
            <w:gridSpan w:val="5"/>
            <w:shd w:val="clear" w:color="auto" w:fill="auto"/>
            <w:vAlign w:val="center"/>
          </w:tcPr>
          <w:p>
            <w:pPr>
              <w:widowControl/>
              <w:jc w:val="center"/>
              <w:rPr>
                <w:rFonts w:hAnsi="宋体" w:cs="宋体"/>
                <w:szCs w:val="21"/>
              </w:rPr>
            </w:pPr>
            <w:r>
              <w:rPr>
                <w:rFonts w:hAnsi="宋体" w:cs="宋体"/>
                <w:szCs w:val="21"/>
              </w:rPr>
              <w:t>2级</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644" w:type="dxa"/>
            <w:vMerge w:val="continue"/>
            <w:shd w:val="clear" w:color="auto" w:fill="auto"/>
            <w:vAlign w:val="center"/>
          </w:tcPr>
          <w:p>
            <w:pPr>
              <w:jc w:val="center"/>
              <w:rPr>
                <w:rFonts w:hAnsi="宋体" w:cs="宋体"/>
                <w:szCs w:val="21"/>
              </w:rPr>
            </w:pPr>
          </w:p>
        </w:tc>
        <w:tc>
          <w:tcPr>
            <w:tcW w:w="1483" w:type="dxa"/>
            <w:gridSpan w:val="2"/>
            <w:vMerge w:val="continue"/>
            <w:shd w:val="clear" w:color="auto" w:fill="auto"/>
            <w:vAlign w:val="center"/>
          </w:tcPr>
          <w:p>
            <w:pPr>
              <w:widowControl/>
              <w:rPr>
                <w:rFonts w:hAnsi="宋体" w:cs="宋体"/>
                <w:szCs w:val="21"/>
              </w:rPr>
            </w:pPr>
          </w:p>
        </w:tc>
        <w:tc>
          <w:tcPr>
            <w:tcW w:w="1701" w:type="dxa"/>
            <w:gridSpan w:val="2"/>
            <w:shd w:val="clear" w:color="auto" w:fill="auto"/>
            <w:noWrap/>
            <w:vAlign w:val="center"/>
          </w:tcPr>
          <w:p>
            <w:pPr>
              <w:widowControl/>
              <w:jc w:val="center"/>
              <w:rPr>
                <w:rFonts w:hAnsi="宋体" w:cs="宋体"/>
                <w:szCs w:val="21"/>
              </w:rPr>
            </w:pPr>
            <w:r>
              <w:rPr>
                <w:rFonts w:hAnsi="宋体" w:cs="宋体"/>
                <w:szCs w:val="21"/>
              </w:rPr>
              <w:t>三星</w:t>
            </w:r>
            <w:r>
              <w:rPr>
                <w:rFonts w:hint="eastAsia" w:hAnsi="宋体" w:cs="宋体"/>
                <w:szCs w:val="21"/>
              </w:rPr>
              <w:t>级</w:t>
            </w:r>
          </w:p>
        </w:tc>
        <w:tc>
          <w:tcPr>
            <w:tcW w:w="4110" w:type="dxa"/>
            <w:gridSpan w:val="5"/>
            <w:shd w:val="clear" w:color="auto" w:fill="auto"/>
            <w:vAlign w:val="center"/>
          </w:tcPr>
          <w:p>
            <w:pPr>
              <w:widowControl/>
              <w:jc w:val="center"/>
              <w:rPr>
                <w:rFonts w:hAnsi="宋体" w:cs="宋体"/>
                <w:szCs w:val="21"/>
              </w:rPr>
            </w:pPr>
            <w:r>
              <w:rPr>
                <w:rFonts w:hAnsi="宋体" w:cs="宋体"/>
                <w:szCs w:val="21"/>
              </w:rPr>
              <w:t>50%以上1级，其它不低于2级</w:t>
            </w:r>
          </w:p>
        </w:tc>
        <w:tc>
          <w:tcPr>
            <w:tcW w:w="1134" w:type="dxa"/>
            <w:shd w:val="clear" w:color="auto" w:fill="auto"/>
            <w:vAlign w:val="center"/>
          </w:tcPr>
          <w:p>
            <w:pPr>
              <w:widowControl/>
              <w:jc w:val="center"/>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1" w:hRule="atLeast"/>
        </w:trPr>
        <w:tc>
          <w:tcPr>
            <w:tcW w:w="644" w:type="dxa"/>
            <w:vMerge w:val="continue"/>
            <w:shd w:val="clear" w:color="auto" w:fill="auto"/>
            <w:vAlign w:val="center"/>
          </w:tcPr>
          <w:p>
            <w:pPr>
              <w:jc w:val="center"/>
              <w:rPr>
                <w:rFonts w:hAnsi="宋体" w:cs="宋体"/>
                <w:szCs w:val="21"/>
              </w:rPr>
            </w:pPr>
          </w:p>
        </w:tc>
        <w:tc>
          <w:tcPr>
            <w:tcW w:w="1483" w:type="dxa"/>
            <w:gridSpan w:val="2"/>
            <w:vMerge w:val="restart"/>
            <w:shd w:val="clear" w:color="auto" w:fill="auto"/>
            <w:vAlign w:val="center"/>
          </w:tcPr>
          <w:p>
            <w:pPr>
              <w:rPr>
                <w:rFonts w:hAnsi="宋体" w:cs="宋体"/>
                <w:szCs w:val="21"/>
              </w:rPr>
            </w:pPr>
            <w:r>
              <w:rPr>
                <w:rFonts w:hAnsi="宋体" w:cs="宋体"/>
                <w:szCs w:val="21"/>
              </w:rPr>
              <w:t>住宅建筑</w:t>
            </w:r>
          </w:p>
          <w:p>
            <w:pPr>
              <w:rPr>
                <w:rFonts w:hAnsi="宋体" w:cs="宋体"/>
                <w:szCs w:val="21"/>
              </w:rPr>
            </w:pPr>
            <w:r>
              <w:rPr>
                <w:rFonts w:hAnsi="宋体" w:cs="宋体"/>
                <w:szCs w:val="21"/>
              </w:rPr>
              <w:t>隔声性能</w:t>
            </w:r>
          </w:p>
        </w:tc>
        <w:tc>
          <w:tcPr>
            <w:tcW w:w="1701" w:type="dxa"/>
            <w:gridSpan w:val="2"/>
            <w:shd w:val="clear" w:color="auto" w:fill="auto"/>
            <w:noWrap/>
            <w:vAlign w:val="center"/>
          </w:tcPr>
          <w:p>
            <w:pPr>
              <w:widowControl/>
              <w:jc w:val="center"/>
              <w:rPr>
                <w:rFonts w:hAnsi="宋体" w:cs="宋体"/>
                <w:szCs w:val="21"/>
              </w:rPr>
            </w:pPr>
            <w:r>
              <w:rPr>
                <w:rFonts w:hAnsi="宋体" w:cs="宋体"/>
                <w:szCs w:val="21"/>
              </w:rPr>
              <w:t>二星</w:t>
            </w:r>
            <w:r>
              <w:rPr>
                <w:rFonts w:hint="eastAsia" w:hAnsi="宋体" w:cs="宋体"/>
                <w:szCs w:val="21"/>
              </w:rPr>
              <w:t>级</w:t>
            </w:r>
          </w:p>
        </w:tc>
        <w:tc>
          <w:tcPr>
            <w:tcW w:w="4110" w:type="dxa"/>
            <w:gridSpan w:val="5"/>
            <w:shd w:val="clear" w:color="auto" w:fill="auto"/>
            <w:vAlign w:val="center"/>
          </w:tcPr>
          <w:p>
            <w:pPr>
              <w:widowControl/>
              <w:rPr>
                <w:rFonts w:hAnsi="宋体" w:cs="宋体"/>
                <w:szCs w:val="21"/>
              </w:rPr>
            </w:pPr>
            <w:r>
              <w:rPr>
                <w:rFonts w:hAnsi="宋体" w:cs="宋体"/>
                <w:szCs w:val="21"/>
              </w:rPr>
              <w:t>室外与卧室之间、分户墙（楼板）两侧卧室之间的空气声隔声性能以及卧室楼板的撞击声隔声性能达到低限标准限值和高要求标准限值的平均值</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trPr>
        <w:tc>
          <w:tcPr>
            <w:tcW w:w="644" w:type="dxa"/>
            <w:vMerge w:val="continue"/>
            <w:shd w:val="clear" w:color="auto" w:fill="auto"/>
            <w:vAlign w:val="center"/>
          </w:tcPr>
          <w:p>
            <w:pPr>
              <w:jc w:val="center"/>
              <w:rPr>
                <w:rFonts w:hAnsi="宋体" w:cs="宋体"/>
                <w:szCs w:val="21"/>
              </w:rPr>
            </w:pPr>
          </w:p>
        </w:tc>
        <w:tc>
          <w:tcPr>
            <w:tcW w:w="1483" w:type="dxa"/>
            <w:gridSpan w:val="2"/>
            <w:vMerge w:val="continue"/>
            <w:shd w:val="clear" w:color="auto" w:fill="auto"/>
            <w:vAlign w:val="center"/>
          </w:tcPr>
          <w:p>
            <w:pPr>
              <w:widowControl/>
              <w:rPr>
                <w:rFonts w:hAnsi="宋体" w:cs="宋体"/>
                <w:szCs w:val="21"/>
              </w:rPr>
            </w:pPr>
          </w:p>
        </w:tc>
        <w:tc>
          <w:tcPr>
            <w:tcW w:w="1701" w:type="dxa"/>
            <w:gridSpan w:val="2"/>
            <w:shd w:val="clear" w:color="auto" w:fill="auto"/>
            <w:noWrap/>
            <w:vAlign w:val="center"/>
          </w:tcPr>
          <w:p>
            <w:pPr>
              <w:widowControl/>
              <w:jc w:val="center"/>
              <w:rPr>
                <w:rFonts w:hAnsi="宋体" w:cs="宋体"/>
                <w:szCs w:val="21"/>
              </w:rPr>
            </w:pPr>
            <w:r>
              <w:rPr>
                <w:rFonts w:hAnsi="宋体" w:cs="宋体"/>
                <w:szCs w:val="21"/>
              </w:rPr>
              <w:t>三星</w:t>
            </w:r>
            <w:r>
              <w:rPr>
                <w:rFonts w:hint="eastAsia" w:hAnsi="宋体" w:cs="宋体"/>
                <w:szCs w:val="21"/>
              </w:rPr>
              <w:t>级</w:t>
            </w:r>
          </w:p>
        </w:tc>
        <w:tc>
          <w:tcPr>
            <w:tcW w:w="4110" w:type="dxa"/>
            <w:gridSpan w:val="5"/>
            <w:shd w:val="clear" w:color="auto" w:fill="auto"/>
            <w:vAlign w:val="center"/>
          </w:tcPr>
          <w:p>
            <w:pPr>
              <w:widowControl/>
              <w:rPr>
                <w:rFonts w:hAnsi="宋体" w:cs="宋体"/>
                <w:szCs w:val="21"/>
              </w:rPr>
            </w:pPr>
            <w:r>
              <w:rPr>
                <w:rFonts w:hAnsi="宋体" w:cs="宋体"/>
                <w:szCs w:val="21"/>
              </w:rPr>
              <w:t>室外与卧室之间、分户墙（楼板）两侧卧室之间的空气声隔声性能以及卧室楼板的撞击声隔声性能达到高要求标准限值</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644" w:type="dxa"/>
            <w:vMerge w:val="continue"/>
            <w:shd w:val="clear" w:color="auto" w:fill="auto"/>
            <w:vAlign w:val="center"/>
          </w:tcPr>
          <w:p>
            <w:pPr>
              <w:widowControl/>
              <w:jc w:val="center"/>
              <w:rPr>
                <w:rFonts w:hAnsi="宋体" w:cs="宋体"/>
                <w:szCs w:val="21"/>
              </w:rPr>
            </w:pPr>
          </w:p>
        </w:tc>
        <w:tc>
          <w:tcPr>
            <w:tcW w:w="1483" w:type="dxa"/>
            <w:gridSpan w:val="2"/>
            <w:vMerge w:val="restart"/>
            <w:shd w:val="clear" w:color="auto" w:fill="auto"/>
            <w:vAlign w:val="center"/>
          </w:tcPr>
          <w:p>
            <w:pPr>
              <w:widowControl/>
              <w:rPr>
                <w:rFonts w:hAnsi="宋体" w:cs="宋体"/>
                <w:szCs w:val="21"/>
              </w:rPr>
            </w:pPr>
            <w:r>
              <w:rPr>
                <w:rFonts w:hAnsi="宋体" w:cs="宋体"/>
                <w:szCs w:val="21"/>
              </w:rPr>
              <w:t>室内主要空气污染物浓度降低比例</w:t>
            </w:r>
          </w:p>
        </w:tc>
        <w:tc>
          <w:tcPr>
            <w:tcW w:w="1701" w:type="dxa"/>
            <w:gridSpan w:val="2"/>
            <w:shd w:val="clear" w:color="auto" w:fill="auto"/>
            <w:noWrap/>
            <w:vAlign w:val="center"/>
          </w:tcPr>
          <w:p>
            <w:pPr>
              <w:widowControl/>
              <w:jc w:val="center"/>
              <w:rPr>
                <w:rFonts w:hAnsi="宋体" w:cs="宋体"/>
                <w:szCs w:val="21"/>
              </w:rPr>
            </w:pPr>
            <w:r>
              <w:rPr>
                <w:rFonts w:hAnsi="宋体" w:cs="宋体"/>
                <w:szCs w:val="21"/>
              </w:rPr>
              <w:t>一星</w:t>
            </w:r>
            <w:r>
              <w:rPr>
                <w:rFonts w:hint="eastAsia" w:hAnsi="宋体" w:cs="宋体"/>
                <w:szCs w:val="21"/>
              </w:rPr>
              <w:t>级</w:t>
            </w:r>
          </w:p>
        </w:tc>
        <w:tc>
          <w:tcPr>
            <w:tcW w:w="4110" w:type="dxa"/>
            <w:gridSpan w:val="5"/>
            <w:shd w:val="clear" w:color="auto" w:fill="auto"/>
            <w:vAlign w:val="center"/>
          </w:tcPr>
          <w:p>
            <w:pPr>
              <w:widowControl/>
              <w:jc w:val="center"/>
              <w:rPr>
                <w:rFonts w:hAnsi="宋体" w:cs="宋体"/>
                <w:szCs w:val="21"/>
              </w:rPr>
            </w:pPr>
            <w:r>
              <w:rPr>
                <w:rFonts w:hAnsi="宋体" w:cs="宋体"/>
                <w:szCs w:val="21"/>
              </w:rPr>
              <w:t>10%</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644" w:type="dxa"/>
            <w:vMerge w:val="continue"/>
            <w:shd w:val="clear" w:color="auto" w:fill="auto"/>
            <w:vAlign w:val="center"/>
          </w:tcPr>
          <w:p>
            <w:pPr>
              <w:widowControl/>
              <w:jc w:val="center"/>
              <w:rPr>
                <w:rFonts w:hAnsi="宋体" w:cs="宋体"/>
                <w:szCs w:val="21"/>
              </w:rPr>
            </w:pPr>
          </w:p>
        </w:tc>
        <w:tc>
          <w:tcPr>
            <w:tcW w:w="1483" w:type="dxa"/>
            <w:gridSpan w:val="2"/>
            <w:vMerge w:val="continue"/>
            <w:shd w:val="clear" w:color="auto" w:fill="auto"/>
            <w:vAlign w:val="center"/>
          </w:tcPr>
          <w:p>
            <w:pPr>
              <w:widowControl/>
              <w:rPr>
                <w:rFonts w:hAnsi="宋体" w:cs="宋体"/>
                <w:szCs w:val="21"/>
              </w:rPr>
            </w:pPr>
          </w:p>
        </w:tc>
        <w:tc>
          <w:tcPr>
            <w:tcW w:w="1701" w:type="dxa"/>
            <w:gridSpan w:val="2"/>
            <w:shd w:val="clear" w:color="auto" w:fill="auto"/>
            <w:noWrap/>
            <w:vAlign w:val="center"/>
          </w:tcPr>
          <w:p>
            <w:pPr>
              <w:widowControl/>
              <w:jc w:val="center"/>
              <w:rPr>
                <w:rFonts w:hAnsi="宋体" w:cs="宋体"/>
                <w:szCs w:val="21"/>
              </w:rPr>
            </w:pPr>
            <w:r>
              <w:rPr>
                <w:rFonts w:hAnsi="宋体" w:cs="宋体"/>
                <w:szCs w:val="21"/>
              </w:rPr>
              <w:t>二星</w:t>
            </w:r>
            <w:r>
              <w:rPr>
                <w:rFonts w:hint="eastAsia" w:hAnsi="宋体" w:cs="宋体"/>
                <w:szCs w:val="21"/>
              </w:rPr>
              <w:t>级</w:t>
            </w:r>
            <w:r>
              <w:rPr>
                <w:rFonts w:hAnsi="宋体" w:cs="宋体"/>
                <w:szCs w:val="21"/>
              </w:rPr>
              <w:t>、三星</w:t>
            </w:r>
            <w:r>
              <w:rPr>
                <w:rFonts w:hint="eastAsia" w:hAnsi="宋体" w:cs="宋体"/>
                <w:szCs w:val="21"/>
              </w:rPr>
              <w:t>级</w:t>
            </w:r>
          </w:p>
        </w:tc>
        <w:tc>
          <w:tcPr>
            <w:tcW w:w="4110" w:type="dxa"/>
            <w:gridSpan w:val="5"/>
            <w:shd w:val="clear" w:color="auto" w:fill="auto"/>
            <w:vAlign w:val="center"/>
          </w:tcPr>
          <w:p>
            <w:pPr>
              <w:widowControl/>
              <w:jc w:val="center"/>
              <w:rPr>
                <w:rFonts w:hAnsi="宋体" w:cs="宋体"/>
                <w:szCs w:val="21"/>
              </w:rPr>
            </w:pPr>
            <w:r>
              <w:rPr>
                <w:rFonts w:hAnsi="宋体" w:cs="宋体"/>
                <w:szCs w:val="21"/>
              </w:rPr>
              <w:t>20%</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44" w:type="dxa"/>
            <w:vMerge w:val="continue"/>
            <w:shd w:val="clear" w:color="auto" w:fill="auto"/>
            <w:vAlign w:val="center"/>
          </w:tcPr>
          <w:p>
            <w:pPr>
              <w:widowControl/>
              <w:jc w:val="center"/>
              <w:rPr>
                <w:rFonts w:hAnsi="宋体" w:cs="宋体"/>
                <w:szCs w:val="21"/>
              </w:rPr>
            </w:pPr>
          </w:p>
        </w:tc>
        <w:tc>
          <w:tcPr>
            <w:tcW w:w="1483" w:type="dxa"/>
            <w:gridSpan w:val="2"/>
            <w:shd w:val="clear" w:color="auto" w:fill="auto"/>
            <w:vAlign w:val="center"/>
          </w:tcPr>
          <w:p>
            <w:pPr>
              <w:rPr>
                <w:rFonts w:hAnsi="宋体" w:cs="宋体"/>
                <w:szCs w:val="21"/>
              </w:rPr>
            </w:pPr>
            <w:r>
              <w:rPr>
                <w:rFonts w:hAnsi="宋体" w:cs="宋体"/>
                <w:szCs w:val="21"/>
              </w:rPr>
              <w:t>外窗气密性能</w:t>
            </w:r>
          </w:p>
        </w:tc>
        <w:tc>
          <w:tcPr>
            <w:tcW w:w="5811" w:type="dxa"/>
            <w:gridSpan w:val="7"/>
            <w:shd w:val="clear" w:color="auto" w:fill="auto"/>
            <w:noWrap/>
            <w:vAlign w:val="center"/>
          </w:tcPr>
          <w:p>
            <w:pPr>
              <w:widowControl/>
              <w:jc w:val="center"/>
              <w:rPr>
                <w:rFonts w:hAnsi="宋体" w:cs="宋体"/>
                <w:szCs w:val="21"/>
              </w:rPr>
            </w:pPr>
            <w:r>
              <w:rPr>
                <w:rFonts w:hAnsi="宋体" w:cs="宋体"/>
                <w:szCs w:val="21"/>
              </w:rPr>
              <w:t>符合国家现行相关节能设计标准的规定，且外窗洞口与外窗本体的结合部位应严密</w:t>
            </w:r>
          </w:p>
        </w:tc>
        <w:tc>
          <w:tcPr>
            <w:tcW w:w="1134" w:type="dxa"/>
            <w:shd w:val="clear" w:color="auto" w:fill="auto"/>
            <w:vAlign w:val="center"/>
          </w:tcPr>
          <w:p>
            <w:pPr>
              <w:widowControl/>
              <w:jc w:val="center"/>
              <w:rPr>
                <w:rFonts w:hAnsi="宋体" w:cs="宋体"/>
                <w:szCs w:val="21"/>
              </w:rPr>
            </w:pPr>
            <w:r>
              <w:rPr>
                <w:rFonts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9072" w:type="dxa"/>
            <w:gridSpan w:val="11"/>
            <w:shd w:val="clear" w:color="auto" w:fill="auto"/>
            <w:vAlign w:val="center"/>
          </w:tcPr>
          <w:p>
            <w:pPr>
              <w:pStyle w:val="273"/>
              <w:widowControl/>
              <w:numPr>
                <w:ilvl w:val="0"/>
                <w:numId w:val="41"/>
              </w:numPr>
              <w:ind w:firstLine="0" w:firstLineChars="0"/>
              <w:rPr>
                <w:rFonts w:ascii="宋体" w:hAnsi="宋体" w:cs="宋体"/>
                <w:szCs w:val="21"/>
              </w:rPr>
            </w:pPr>
            <w:r>
              <w:rPr>
                <w:rFonts w:ascii="宋体" w:hAnsi="宋体" w:cs="宋体"/>
                <w:szCs w:val="21"/>
              </w:rPr>
              <w:t>得分情况</w:t>
            </w:r>
            <w:r>
              <w:rPr>
                <w:rFonts w:hint="eastAsia" w:ascii="宋体" w:hAnsi="宋体" w:cs="宋体"/>
                <w:szCs w:val="21"/>
              </w:rPr>
              <w:t>（</w:t>
            </w:r>
            <w:r>
              <w:rPr>
                <w:rFonts w:ascii="宋体" w:hAnsi="宋体" w:cs="宋体"/>
                <w:szCs w:val="21"/>
              </w:rPr>
              <w:t>注</w:t>
            </w:r>
            <w:r>
              <w:rPr>
                <w:rFonts w:hint="eastAsia" w:ascii="宋体" w:hAnsi="宋体" w:cs="宋体"/>
                <w:szCs w:val="21"/>
              </w:rPr>
              <w:t>：</w:t>
            </w:r>
            <w:r>
              <w:rPr>
                <w:rFonts w:ascii="宋体" w:hAnsi="宋体" w:cs="宋体"/>
                <w:szCs w:val="21"/>
              </w:rPr>
              <w:t xml:space="preserve">总得分 </w:t>
            </w:r>
            <w:r>
              <w:rPr>
                <w:rFonts w:ascii="宋体" w:hAnsi="宋体"/>
                <w:szCs w:val="21"/>
              </w:rPr>
              <w:t>Q =（Q</w:t>
            </w:r>
            <w:r>
              <w:rPr>
                <w:rFonts w:ascii="宋体" w:hAnsi="宋体"/>
                <w:szCs w:val="21"/>
                <w:vertAlign w:val="subscript"/>
              </w:rPr>
              <w:t xml:space="preserve">0 </w:t>
            </w:r>
            <w:r>
              <w:rPr>
                <w:rFonts w:ascii="宋体" w:hAnsi="宋体"/>
                <w:szCs w:val="21"/>
              </w:rPr>
              <w:t>+ Q</w:t>
            </w:r>
            <w:r>
              <w:rPr>
                <w:rFonts w:ascii="宋体" w:hAnsi="宋体"/>
                <w:szCs w:val="21"/>
                <w:vertAlign w:val="subscript"/>
              </w:rPr>
              <w:t xml:space="preserve">1 </w:t>
            </w:r>
            <w:r>
              <w:rPr>
                <w:rFonts w:ascii="宋体" w:hAnsi="宋体"/>
                <w:szCs w:val="21"/>
              </w:rPr>
              <w:t>+ Q</w:t>
            </w:r>
            <w:r>
              <w:rPr>
                <w:rFonts w:ascii="宋体" w:hAnsi="宋体"/>
                <w:szCs w:val="21"/>
                <w:vertAlign w:val="subscript"/>
              </w:rPr>
              <w:t xml:space="preserve">2 </w:t>
            </w:r>
            <w:r>
              <w:rPr>
                <w:rFonts w:ascii="宋体" w:hAnsi="宋体"/>
                <w:szCs w:val="21"/>
              </w:rPr>
              <w:t>+ Q</w:t>
            </w:r>
            <w:r>
              <w:rPr>
                <w:rFonts w:ascii="宋体" w:hAnsi="宋体"/>
                <w:szCs w:val="21"/>
                <w:vertAlign w:val="subscript"/>
              </w:rPr>
              <w:t xml:space="preserve">3 </w:t>
            </w:r>
            <w:r>
              <w:rPr>
                <w:rFonts w:ascii="宋体" w:hAnsi="宋体"/>
                <w:szCs w:val="21"/>
              </w:rPr>
              <w:t>+ Q</w:t>
            </w:r>
            <w:r>
              <w:rPr>
                <w:rFonts w:ascii="宋体" w:hAnsi="宋体"/>
                <w:szCs w:val="21"/>
                <w:vertAlign w:val="subscript"/>
              </w:rPr>
              <w:t xml:space="preserve">4 </w:t>
            </w:r>
            <w:r>
              <w:rPr>
                <w:rFonts w:ascii="宋体" w:hAnsi="宋体"/>
                <w:szCs w:val="21"/>
              </w:rPr>
              <w:t>+ Q</w:t>
            </w:r>
            <w:r>
              <w:rPr>
                <w:rFonts w:ascii="宋体" w:hAnsi="宋体"/>
                <w:szCs w:val="21"/>
                <w:vertAlign w:val="subscript"/>
              </w:rPr>
              <w:t xml:space="preserve">5 </w:t>
            </w:r>
            <w:r>
              <w:rPr>
                <w:rFonts w:ascii="宋体" w:hAnsi="宋体"/>
                <w:szCs w:val="21"/>
              </w:rPr>
              <w:t>+ Q</w:t>
            </w:r>
            <w:r>
              <w:rPr>
                <w:rFonts w:ascii="宋体" w:hAnsi="宋体"/>
                <w:szCs w:val="21"/>
                <w:vertAlign w:val="subscript"/>
              </w:rPr>
              <w:t>A</w:t>
            </w:r>
            <w:r>
              <w:rPr>
                <w:rFonts w:ascii="宋体" w:hAnsi="宋体"/>
                <w:szCs w:val="21"/>
              </w:rPr>
              <w:t>）/10</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44" w:type="dxa"/>
            <w:vMerge w:val="restart"/>
            <w:shd w:val="clear" w:color="auto" w:fill="auto"/>
            <w:vAlign w:val="center"/>
          </w:tcPr>
          <w:p>
            <w:pPr>
              <w:widowControl/>
              <w:rPr>
                <w:rFonts w:hAnsi="宋体" w:cs="宋体"/>
                <w:szCs w:val="21"/>
              </w:rPr>
            </w:pPr>
            <w:r>
              <w:rPr>
                <w:rFonts w:hAnsi="宋体" w:cs="宋体"/>
                <w:szCs w:val="21"/>
              </w:rPr>
              <w:t>各分项得分</w:t>
            </w:r>
          </w:p>
        </w:tc>
        <w:tc>
          <w:tcPr>
            <w:tcW w:w="1341" w:type="dxa"/>
            <w:vMerge w:val="restart"/>
            <w:shd w:val="clear" w:color="auto" w:fill="auto"/>
            <w:vAlign w:val="center"/>
          </w:tcPr>
          <w:p>
            <w:pPr>
              <w:widowControl/>
              <w:rPr>
                <w:rFonts w:hAnsi="宋体" w:cs="宋体"/>
                <w:b/>
                <w:szCs w:val="21"/>
              </w:rPr>
            </w:pPr>
          </w:p>
        </w:tc>
        <w:tc>
          <w:tcPr>
            <w:tcW w:w="992" w:type="dxa"/>
            <w:gridSpan w:val="2"/>
            <w:vMerge w:val="restart"/>
            <w:shd w:val="clear" w:color="auto" w:fill="auto"/>
            <w:vAlign w:val="center"/>
          </w:tcPr>
          <w:p>
            <w:pPr>
              <w:widowControl/>
              <w:ind w:left="-65" w:leftChars="-31" w:right="-31" w:rightChars="-15"/>
              <w:jc w:val="center"/>
              <w:rPr>
                <w:rFonts w:hAnsi="宋体" w:cs="宋体"/>
                <w:szCs w:val="21"/>
              </w:rPr>
            </w:pPr>
            <w:r>
              <w:rPr>
                <w:rFonts w:hAnsi="宋体" w:cs="宋体"/>
                <w:szCs w:val="21"/>
              </w:rPr>
              <w:t>控制项</w:t>
            </w:r>
          </w:p>
          <w:p>
            <w:pPr>
              <w:widowControl/>
              <w:ind w:left="-65" w:leftChars="-31" w:right="-31" w:rightChars="-15"/>
              <w:jc w:val="center"/>
              <w:rPr>
                <w:rFonts w:hAnsi="宋体" w:cs="宋体"/>
                <w:szCs w:val="21"/>
              </w:rPr>
            </w:pPr>
            <w:r>
              <w:rPr>
                <w:rFonts w:hAnsi="宋体" w:cs="宋体"/>
                <w:szCs w:val="21"/>
              </w:rPr>
              <w:t>基础分值</w:t>
            </w:r>
          </w:p>
          <w:p>
            <w:pPr>
              <w:widowControl/>
              <w:ind w:left="-65" w:leftChars="-31" w:right="-31" w:rightChars="-15"/>
              <w:jc w:val="center"/>
              <w:rPr>
                <w:rFonts w:hAnsi="宋体" w:cs="宋体"/>
                <w:szCs w:val="21"/>
              </w:rPr>
            </w:pPr>
            <w:r>
              <w:rPr>
                <w:rFonts w:hAnsi="宋体" w:cs="宋体"/>
                <w:szCs w:val="21"/>
              </w:rPr>
              <w:t>Q</w:t>
            </w:r>
            <w:r>
              <w:rPr>
                <w:rFonts w:hAnsi="宋体" w:cs="宋体"/>
                <w:szCs w:val="21"/>
                <w:vertAlign w:val="subscript"/>
              </w:rPr>
              <w:t>0</w:t>
            </w:r>
          </w:p>
        </w:tc>
        <w:tc>
          <w:tcPr>
            <w:tcW w:w="4961" w:type="dxa"/>
            <w:gridSpan w:val="6"/>
            <w:shd w:val="clear" w:color="auto" w:fill="auto"/>
            <w:vAlign w:val="center"/>
          </w:tcPr>
          <w:p>
            <w:pPr>
              <w:widowControl/>
              <w:jc w:val="center"/>
              <w:rPr>
                <w:rFonts w:hAnsi="宋体" w:cs="宋体"/>
                <w:szCs w:val="21"/>
              </w:rPr>
            </w:pPr>
            <w:r>
              <w:rPr>
                <w:rFonts w:hAnsi="宋体" w:cs="宋体"/>
                <w:szCs w:val="21"/>
              </w:rPr>
              <w:t>评价指标体系评分项</w:t>
            </w:r>
          </w:p>
        </w:tc>
        <w:tc>
          <w:tcPr>
            <w:tcW w:w="1134" w:type="dxa"/>
            <w:vMerge w:val="restart"/>
            <w:shd w:val="clear" w:color="auto" w:fill="auto"/>
            <w:vAlign w:val="center"/>
          </w:tcPr>
          <w:p>
            <w:pPr>
              <w:widowControl/>
              <w:ind w:left="-53" w:leftChars="-25" w:right="-48" w:rightChars="-23"/>
              <w:jc w:val="center"/>
              <w:rPr>
                <w:rFonts w:hAnsi="宋体" w:cs="宋体"/>
                <w:szCs w:val="21"/>
              </w:rPr>
            </w:pPr>
            <w:r>
              <w:rPr>
                <w:rFonts w:hAnsi="宋体" w:cs="宋体"/>
                <w:szCs w:val="21"/>
              </w:rPr>
              <w:t>提高与</w:t>
            </w:r>
          </w:p>
          <w:p>
            <w:pPr>
              <w:widowControl/>
              <w:ind w:left="-53" w:leftChars="-25" w:right="-48" w:rightChars="-23"/>
              <w:jc w:val="center"/>
              <w:rPr>
                <w:rFonts w:hAnsi="宋体" w:cs="宋体"/>
                <w:szCs w:val="21"/>
              </w:rPr>
            </w:pPr>
            <w:r>
              <w:rPr>
                <w:rFonts w:hAnsi="宋体" w:cs="宋体"/>
                <w:szCs w:val="21"/>
              </w:rPr>
              <w:t>创新项</w:t>
            </w:r>
          </w:p>
          <w:p>
            <w:pPr>
              <w:widowControl/>
              <w:ind w:left="-53" w:leftChars="-25" w:right="-48" w:rightChars="-23"/>
              <w:jc w:val="center"/>
              <w:rPr>
                <w:rFonts w:hAnsi="宋体" w:cs="宋体"/>
                <w:szCs w:val="21"/>
              </w:rPr>
            </w:pPr>
            <w:r>
              <w:rPr>
                <w:rFonts w:hAnsi="宋体" w:cs="宋体"/>
                <w:szCs w:val="21"/>
              </w:rPr>
              <w:t>加分值</w:t>
            </w:r>
          </w:p>
          <w:p>
            <w:pPr>
              <w:widowControl/>
              <w:ind w:left="-53" w:leftChars="-25" w:right="-48" w:rightChars="-23"/>
              <w:jc w:val="center"/>
              <w:rPr>
                <w:rFonts w:hAnsi="宋体" w:cs="宋体"/>
                <w:szCs w:val="21"/>
              </w:rPr>
            </w:pPr>
            <w:r>
              <w:rPr>
                <w:rFonts w:hAnsi="宋体" w:cs="宋体"/>
                <w:szCs w:val="21"/>
              </w:rPr>
              <w:t>Q</w:t>
            </w:r>
            <w:r>
              <w:rPr>
                <w:rFonts w:hAnsi="宋体" w:cs="宋体"/>
                <w:szCs w:val="21"/>
                <w:vertAlign w:val="subscript"/>
              </w:rPr>
              <w: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644" w:type="dxa"/>
            <w:vMerge w:val="continue"/>
            <w:shd w:val="clear" w:color="auto" w:fill="auto"/>
            <w:vAlign w:val="center"/>
          </w:tcPr>
          <w:p>
            <w:pPr>
              <w:widowControl/>
              <w:rPr>
                <w:rFonts w:hAnsi="宋体" w:cs="宋体"/>
                <w:szCs w:val="21"/>
              </w:rPr>
            </w:pPr>
          </w:p>
        </w:tc>
        <w:tc>
          <w:tcPr>
            <w:tcW w:w="1341" w:type="dxa"/>
            <w:vMerge w:val="continue"/>
            <w:shd w:val="clear" w:color="auto" w:fill="auto"/>
            <w:vAlign w:val="center"/>
          </w:tcPr>
          <w:p>
            <w:pPr>
              <w:widowControl/>
              <w:rPr>
                <w:rFonts w:hAnsi="宋体" w:cs="宋体"/>
                <w:szCs w:val="21"/>
              </w:rPr>
            </w:pPr>
          </w:p>
        </w:tc>
        <w:tc>
          <w:tcPr>
            <w:tcW w:w="992" w:type="dxa"/>
            <w:gridSpan w:val="2"/>
            <w:vMerge w:val="continue"/>
            <w:shd w:val="clear" w:color="auto" w:fill="auto"/>
            <w:vAlign w:val="center"/>
          </w:tcPr>
          <w:p>
            <w:pPr>
              <w:widowControl/>
              <w:rPr>
                <w:rFonts w:hAnsi="宋体" w:cs="宋体"/>
                <w:szCs w:val="21"/>
              </w:rPr>
            </w:pPr>
          </w:p>
        </w:tc>
        <w:tc>
          <w:tcPr>
            <w:tcW w:w="992" w:type="dxa"/>
            <w:gridSpan w:val="2"/>
            <w:shd w:val="clear" w:color="auto" w:fill="auto"/>
            <w:vAlign w:val="center"/>
          </w:tcPr>
          <w:p>
            <w:pPr>
              <w:widowControl/>
              <w:jc w:val="center"/>
              <w:rPr>
                <w:rFonts w:hAnsi="宋体" w:cs="宋体"/>
                <w:szCs w:val="21"/>
              </w:rPr>
            </w:pPr>
            <w:r>
              <w:rPr>
                <w:rFonts w:hAnsi="宋体" w:cs="宋体"/>
                <w:szCs w:val="21"/>
              </w:rPr>
              <w:t>安全</w:t>
            </w:r>
          </w:p>
          <w:p>
            <w:pPr>
              <w:widowControl/>
              <w:jc w:val="center"/>
              <w:rPr>
                <w:rFonts w:hAnsi="宋体" w:cs="宋体"/>
                <w:szCs w:val="21"/>
              </w:rPr>
            </w:pPr>
            <w:r>
              <w:rPr>
                <w:rFonts w:hAnsi="宋体" w:cs="宋体"/>
                <w:szCs w:val="21"/>
              </w:rPr>
              <w:t>耐久</w:t>
            </w:r>
          </w:p>
          <w:p>
            <w:pPr>
              <w:widowControl/>
              <w:jc w:val="center"/>
              <w:rPr>
                <w:rFonts w:hAnsi="宋体" w:cs="宋体"/>
                <w:szCs w:val="21"/>
              </w:rPr>
            </w:pPr>
            <w:r>
              <w:rPr>
                <w:rFonts w:hAnsi="宋体" w:cs="宋体"/>
                <w:szCs w:val="21"/>
              </w:rPr>
              <w:t>Q</w:t>
            </w:r>
            <w:r>
              <w:rPr>
                <w:rFonts w:hAnsi="宋体" w:cs="宋体"/>
                <w:szCs w:val="21"/>
                <w:vertAlign w:val="subscript"/>
              </w:rPr>
              <w:t>1</w:t>
            </w:r>
          </w:p>
        </w:tc>
        <w:tc>
          <w:tcPr>
            <w:tcW w:w="993" w:type="dxa"/>
            <w:shd w:val="clear" w:color="auto" w:fill="auto"/>
            <w:vAlign w:val="center"/>
          </w:tcPr>
          <w:p>
            <w:pPr>
              <w:widowControl/>
              <w:jc w:val="center"/>
              <w:rPr>
                <w:rFonts w:hAnsi="宋体" w:cs="宋体"/>
                <w:szCs w:val="21"/>
              </w:rPr>
            </w:pPr>
            <w:r>
              <w:rPr>
                <w:rFonts w:hAnsi="宋体" w:cs="宋体"/>
                <w:szCs w:val="21"/>
              </w:rPr>
              <w:t>健康</w:t>
            </w:r>
          </w:p>
          <w:p>
            <w:pPr>
              <w:widowControl/>
              <w:jc w:val="center"/>
              <w:rPr>
                <w:rFonts w:hAnsi="宋体" w:cs="宋体"/>
                <w:szCs w:val="21"/>
              </w:rPr>
            </w:pPr>
            <w:r>
              <w:rPr>
                <w:rFonts w:hAnsi="宋体" w:cs="宋体"/>
                <w:szCs w:val="21"/>
              </w:rPr>
              <w:t>舒适</w:t>
            </w:r>
          </w:p>
          <w:p>
            <w:pPr>
              <w:widowControl/>
              <w:jc w:val="center"/>
              <w:rPr>
                <w:rFonts w:hAnsi="宋体" w:cs="宋体"/>
                <w:szCs w:val="21"/>
              </w:rPr>
            </w:pPr>
            <w:r>
              <w:rPr>
                <w:rFonts w:hAnsi="宋体" w:cs="宋体"/>
                <w:szCs w:val="21"/>
              </w:rPr>
              <w:t>Q</w:t>
            </w:r>
            <w:r>
              <w:rPr>
                <w:rFonts w:hAnsi="宋体" w:cs="宋体"/>
                <w:szCs w:val="21"/>
                <w:vertAlign w:val="subscript"/>
              </w:rPr>
              <w:t>2</w:t>
            </w:r>
          </w:p>
        </w:tc>
        <w:tc>
          <w:tcPr>
            <w:tcW w:w="992" w:type="dxa"/>
            <w:shd w:val="clear" w:color="auto" w:fill="auto"/>
            <w:vAlign w:val="center"/>
          </w:tcPr>
          <w:p>
            <w:pPr>
              <w:widowControl/>
              <w:jc w:val="center"/>
              <w:rPr>
                <w:rFonts w:hAnsi="宋体" w:cs="宋体"/>
                <w:szCs w:val="21"/>
              </w:rPr>
            </w:pPr>
            <w:r>
              <w:rPr>
                <w:rFonts w:hAnsi="宋体" w:cs="宋体"/>
                <w:szCs w:val="21"/>
              </w:rPr>
              <w:t>生活</w:t>
            </w:r>
          </w:p>
          <w:p>
            <w:pPr>
              <w:widowControl/>
              <w:jc w:val="center"/>
              <w:rPr>
                <w:rFonts w:hAnsi="宋体" w:cs="宋体"/>
                <w:szCs w:val="21"/>
              </w:rPr>
            </w:pPr>
            <w:r>
              <w:rPr>
                <w:rFonts w:hAnsi="宋体" w:cs="宋体"/>
                <w:szCs w:val="21"/>
              </w:rPr>
              <w:t>便利</w:t>
            </w:r>
          </w:p>
          <w:p>
            <w:pPr>
              <w:widowControl/>
              <w:jc w:val="center"/>
              <w:rPr>
                <w:rFonts w:hAnsi="宋体" w:cs="宋体"/>
                <w:szCs w:val="21"/>
              </w:rPr>
            </w:pPr>
            <w:r>
              <w:rPr>
                <w:rFonts w:hAnsi="宋体" w:cs="宋体"/>
                <w:szCs w:val="21"/>
              </w:rPr>
              <w:t>Q</w:t>
            </w:r>
            <w:r>
              <w:rPr>
                <w:rFonts w:hAnsi="宋体" w:cs="宋体"/>
                <w:szCs w:val="21"/>
                <w:vertAlign w:val="subscript"/>
              </w:rPr>
              <w:t>3</w:t>
            </w:r>
          </w:p>
        </w:tc>
        <w:tc>
          <w:tcPr>
            <w:tcW w:w="992" w:type="dxa"/>
            <w:shd w:val="clear" w:color="auto" w:fill="auto"/>
            <w:vAlign w:val="center"/>
          </w:tcPr>
          <w:p>
            <w:pPr>
              <w:widowControl/>
              <w:jc w:val="center"/>
              <w:rPr>
                <w:rFonts w:hAnsi="宋体" w:cs="宋体"/>
                <w:szCs w:val="21"/>
              </w:rPr>
            </w:pPr>
            <w:r>
              <w:rPr>
                <w:rFonts w:hAnsi="宋体" w:cs="宋体"/>
                <w:szCs w:val="21"/>
              </w:rPr>
              <w:t>资源</w:t>
            </w:r>
          </w:p>
          <w:p>
            <w:pPr>
              <w:widowControl/>
              <w:jc w:val="center"/>
              <w:rPr>
                <w:rFonts w:hAnsi="宋体" w:cs="宋体"/>
                <w:szCs w:val="21"/>
              </w:rPr>
            </w:pPr>
            <w:r>
              <w:rPr>
                <w:rFonts w:hAnsi="宋体" w:cs="宋体"/>
                <w:szCs w:val="21"/>
              </w:rPr>
              <w:t>节约</w:t>
            </w:r>
          </w:p>
          <w:p>
            <w:pPr>
              <w:widowControl/>
              <w:jc w:val="center"/>
              <w:rPr>
                <w:rFonts w:hAnsi="宋体" w:cs="宋体"/>
                <w:szCs w:val="21"/>
              </w:rPr>
            </w:pPr>
            <w:r>
              <w:rPr>
                <w:rFonts w:hAnsi="宋体" w:cs="宋体"/>
                <w:szCs w:val="21"/>
              </w:rPr>
              <w:t>Q</w:t>
            </w:r>
            <w:r>
              <w:rPr>
                <w:rFonts w:hAnsi="宋体" w:cs="宋体"/>
                <w:szCs w:val="21"/>
                <w:vertAlign w:val="subscript"/>
              </w:rPr>
              <w:t>4</w:t>
            </w:r>
          </w:p>
        </w:tc>
        <w:tc>
          <w:tcPr>
            <w:tcW w:w="992" w:type="dxa"/>
            <w:shd w:val="clear" w:color="auto" w:fill="auto"/>
            <w:vAlign w:val="center"/>
          </w:tcPr>
          <w:p>
            <w:pPr>
              <w:widowControl/>
              <w:jc w:val="center"/>
              <w:rPr>
                <w:rFonts w:hAnsi="宋体" w:cs="宋体"/>
                <w:szCs w:val="21"/>
              </w:rPr>
            </w:pPr>
            <w:r>
              <w:rPr>
                <w:rFonts w:hAnsi="宋体" w:cs="宋体"/>
                <w:szCs w:val="21"/>
              </w:rPr>
              <w:t>环境</w:t>
            </w:r>
          </w:p>
          <w:p>
            <w:pPr>
              <w:widowControl/>
              <w:jc w:val="center"/>
              <w:rPr>
                <w:rFonts w:hAnsi="宋体" w:cs="宋体"/>
                <w:szCs w:val="21"/>
              </w:rPr>
            </w:pPr>
            <w:r>
              <w:rPr>
                <w:rFonts w:hAnsi="宋体" w:cs="宋体"/>
                <w:szCs w:val="21"/>
              </w:rPr>
              <w:t>宜居</w:t>
            </w:r>
          </w:p>
          <w:p>
            <w:pPr>
              <w:widowControl/>
              <w:jc w:val="center"/>
              <w:rPr>
                <w:rFonts w:hAnsi="宋体" w:cs="宋体"/>
                <w:szCs w:val="21"/>
              </w:rPr>
            </w:pPr>
            <w:r>
              <w:rPr>
                <w:rFonts w:hAnsi="宋体" w:cs="宋体"/>
                <w:szCs w:val="21"/>
              </w:rPr>
              <w:t>Q</w:t>
            </w:r>
            <w:r>
              <w:rPr>
                <w:rFonts w:hAnsi="宋体" w:cs="宋体"/>
                <w:szCs w:val="21"/>
                <w:vertAlign w:val="subscript"/>
              </w:rPr>
              <w:t>5</w:t>
            </w:r>
          </w:p>
        </w:tc>
        <w:tc>
          <w:tcPr>
            <w:tcW w:w="1134" w:type="dxa"/>
            <w:vMerge w:val="continue"/>
            <w:shd w:val="clear" w:color="auto" w:fill="auto"/>
            <w:vAlign w:val="center"/>
          </w:tcPr>
          <w:p>
            <w:pPr>
              <w:widowControl/>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44" w:type="dxa"/>
            <w:vMerge w:val="continue"/>
            <w:shd w:val="clear" w:color="auto" w:fill="auto"/>
            <w:vAlign w:val="center"/>
          </w:tcPr>
          <w:p>
            <w:pPr>
              <w:widowControl/>
              <w:rPr>
                <w:rFonts w:hAnsi="宋体" w:cs="宋体"/>
                <w:szCs w:val="21"/>
              </w:rPr>
            </w:pPr>
          </w:p>
        </w:tc>
        <w:tc>
          <w:tcPr>
            <w:tcW w:w="1341" w:type="dxa"/>
            <w:shd w:val="clear" w:color="auto" w:fill="auto"/>
            <w:vAlign w:val="center"/>
          </w:tcPr>
          <w:p>
            <w:pPr>
              <w:widowControl/>
              <w:jc w:val="center"/>
              <w:rPr>
                <w:rFonts w:hAnsi="宋体" w:cs="宋体"/>
                <w:szCs w:val="21"/>
              </w:rPr>
            </w:pPr>
            <w:r>
              <w:rPr>
                <w:rFonts w:hint="eastAsia" w:hAnsi="宋体" w:cs="宋体"/>
                <w:szCs w:val="21"/>
              </w:rPr>
              <w:t>分项满</w:t>
            </w:r>
            <w:r>
              <w:rPr>
                <w:rFonts w:hAnsi="宋体" w:cs="宋体"/>
                <w:szCs w:val="21"/>
              </w:rPr>
              <w:t>分值</w:t>
            </w:r>
          </w:p>
        </w:tc>
        <w:tc>
          <w:tcPr>
            <w:tcW w:w="992" w:type="dxa"/>
            <w:gridSpan w:val="2"/>
            <w:shd w:val="clear" w:color="auto" w:fill="auto"/>
            <w:vAlign w:val="center"/>
          </w:tcPr>
          <w:p>
            <w:pPr>
              <w:widowControl/>
              <w:jc w:val="center"/>
              <w:rPr>
                <w:rFonts w:hAnsi="宋体" w:cs="宋体"/>
                <w:szCs w:val="21"/>
              </w:rPr>
            </w:pPr>
            <w:r>
              <w:rPr>
                <w:rFonts w:hint="eastAsia" w:hAnsi="宋体" w:cs="宋体"/>
                <w:szCs w:val="21"/>
              </w:rPr>
              <w:t>4</w:t>
            </w:r>
            <w:r>
              <w:rPr>
                <w:rFonts w:hAnsi="宋体" w:cs="宋体"/>
                <w:szCs w:val="21"/>
              </w:rPr>
              <w:t>00</w:t>
            </w:r>
          </w:p>
        </w:tc>
        <w:tc>
          <w:tcPr>
            <w:tcW w:w="992" w:type="dxa"/>
            <w:gridSpan w:val="2"/>
            <w:shd w:val="clear" w:color="auto" w:fill="auto"/>
            <w:vAlign w:val="center"/>
          </w:tcPr>
          <w:p>
            <w:pPr>
              <w:widowControl/>
              <w:jc w:val="center"/>
              <w:rPr>
                <w:rFonts w:hAnsi="宋体" w:cs="宋体"/>
                <w:szCs w:val="21"/>
              </w:rPr>
            </w:pPr>
            <w:r>
              <w:rPr>
                <w:rFonts w:hint="eastAsia" w:hAnsi="宋体" w:cs="宋体"/>
                <w:szCs w:val="21"/>
              </w:rPr>
              <w:t>1</w:t>
            </w:r>
            <w:r>
              <w:rPr>
                <w:rFonts w:hAnsi="宋体" w:cs="宋体"/>
                <w:szCs w:val="21"/>
              </w:rPr>
              <w:t>00</w:t>
            </w:r>
          </w:p>
        </w:tc>
        <w:tc>
          <w:tcPr>
            <w:tcW w:w="993" w:type="dxa"/>
            <w:shd w:val="clear" w:color="auto" w:fill="auto"/>
            <w:vAlign w:val="center"/>
          </w:tcPr>
          <w:p>
            <w:pPr>
              <w:widowControl/>
              <w:jc w:val="center"/>
              <w:rPr>
                <w:rFonts w:hAnsi="宋体" w:cs="宋体"/>
                <w:szCs w:val="21"/>
              </w:rPr>
            </w:pPr>
            <w:r>
              <w:rPr>
                <w:rFonts w:hint="eastAsia" w:hAnsi="宋体" w:cs="宋体"/>
                <w:szCs w:val="21"/>
              </w:rPr>
              <w:t>1</w:t>
            </w:r>
            <w:r>
              <w:rPr>
                <w:rFonts w:hAnsi="宋体" w:cs="宋体"/>
                <w:szCs w:val="21"/>
              </w:rPr>
              <w:t>00</w:t>
            </w:r>
          </w:p>
        </w:tc>
        <w:tc>
          <w:tcPr>
            <w:tcW w:w="992" w:type="dxa"/>
            <w:shd w:val="clear" w:color="auto" w:fill="auto"/>
            <w:vAlign w:val="center"/>
          </w:tcPr>
          <w:p>
            <w:pPr>
              <w:widowControl/>
              <w:jc w:val="center"/>
              <w:rPr>
                <w:rFonts w:hAnsi="宋体" w:cs="宋体"/>
                <w:szCs w:val="21"/>
              </w:rPr>
            </w:pPr>
            <w:r>
              <w:rPr>
                <w:rFonts w:hint="eastAsia" w:hAnsi="宋体" w:cs="宋体"/>
                <w:szCs w:val="21"/>
              </w:rPr>
              <w:t>7</w:t>
            </w:r>
            <w:r>
              <w:rPr>
                <w:rFonts w:hAnsi="宋体" w:cs="宋体"/>
                <w:szCs w:val="21"/>
              </w:rPr>
              <w:t>0</w:t>
            </w:r>
          </w:p>
        </w:tc>
        <w:tc>
          <w:tcPr>
            <w:tcW w:w="992" w:type="dxa"/>
            <w:shd w:val="clear" w:color="auto" w:fill="auto"/>
            <w:vAlign w:val="center"/>
          </w:tcPr>
          <w:p>
            <w:pPr>
              <w:widowControl/>
              <w:jc w:val="center"/>
              <w:rPr>
                <w:rFonts w:hAnsi="宋体" w:cs="宋体"/>
                <w:szCs w:val="21"/>
              </w:rPr>
            </w:pPr>
            <w:r>
              <w:rPr>
                <w:rFonts w:hint="eastAsia" w:hAnsi="宋体" w:cs="宋体"/>
                <w:szCs w:val="21"/>
              </w:rPr>
              <w:t>2</w:t>
            </w:r>
            <w:r>
              <w:rPr>
                <w:rFonts w:hAnsi="宋体" w:cs="宋体"/>
                <w:szCs w:val="21"/>
              </w:rPr>
              <w:t>00</w:t>
            </w:r>
          </w:p>
        </w:tc>
        <w:tc>
          <w:tcPr>
            <w:tcW w:w="992" w:type="dxa"/>
            <w:shd w:val="clear" w:color="auto" w:fill="auto"/>
            <w:vAlign w:val="center"/>
          </w:tcPr>
          <w:p>
            <w:pPr>
              <w:widowControl/>
              <w:jc w:val="center"/>
              <w:rPr>
                <w:rFonts w:hAnsi="宋体" w:cs="宋体"/>
                <w:szCs w:val="21"/>
              </w:rPr>
            </w:pPr>
            <w:r>
              <w:rPr>
                <w:rFonts w:hint="eastAsia" w:hAnsi="宋体" w:cs="宋体"/>
                <w:szCs w:val="21"/>
              </w:rPr>
              <w:t>1</w:t>
            </w:r>
            <w:r>
              <w:rPr>
                <w:rFonts w:hAnsi="宋体" w:cs="宋体"/>
                <w:szCs w:val="21"/>
              </w:rPr>
              <w:t>00</w:t>
            </w:r>
          </w:p>
        </w:tc>
        <w:tc>
          <w:tcPr>
            <w:tcW w:w="1134" w:type="dxa"/>
            <w:shd w:val="clear" w:color="auto" w:fill="auto"/>
            <w:vAlign w:val="center"/>
          </w:tcPr>
          <w:p>
            <w:pPr>
              <w:widowControl/>
              <w:jc w:val="center"/>
              <w:rPr>
                <w:rFonts w:hAnsi="宋体" w:cs="宋体"/>
                <w:szCs w:val="21"/>
              </w:rPr>
            </w:pPr>
            <w:r>
              <w:rPr>
                <w:rFonts w:hint="eastAsia" w:hAnsi="宋体" w:cs="宋体"/>
                <w:szCs w:val="21"/>
              </w:rPr>
              <w:t>1</w:t>
            </w:r>
            <w:r>
              <w:rPr>
                <w:rFonts w:hAnsi="宋体" w:cs="宋体"/>
                <w:szCs w:val="21"/>
              </w:rPr>
              <w:t>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644" w:type="dxa"/>
            <w:vMerge w:val="continue"/>
            <w:shd w:val="clear" w:color="auto" w:fill="auto"/>
            <w:vAlign w:val="center"/>
          </w:tcPr>
          <w:p>
            <w:pPr>
              <w:widowControl/>
              <w:rPr>
                <w:rFonts w:hAnsi="宋体" w:cs="宋体"/>
                <w:szCs w:val="21"/>
              </w:rPr>
            </w:pPr>
          </w:p>
        </w:tc>
        <w:tc>
          <w:tcPr>
            <w:tcW w:w="1341" w:type="dxa"/>
            <w:shd w:val="clear" w:color="auto" w:fill="auto"/>
            <w:vAlign w:val="center"/>
          </w:tcPr>
          <w:p>
            <w:pPr>
              <w:widowControl/>
              <w:jc w:val="center"/>
              <w:rPr>
                <w:rFonts w:hAnsi="宋体" w:cs="宋体"/>
                <w:szCs w:val="21"/>
              </w:rPr>
            </w:pPr>
            <w:r>
              <w:rPr>
                <w:rFonts w:hAnsi="宋体" w:cs="宋体"/>
                <w:szCs w:val="21"/>
              </w:rPr>
              <w:t>自评分值</w:t>
            </w:r>
          </w:p>
        </w:tc>
        <w:tc>
          <w:tcPr>
            <w:tcW w:w="992" w:type="dxa"/>
            <w:gridSpan w:val="2"/>
            <w:shd w:val="clear" w:color="auto" w:fill="auto"/>
            <w:vAlign w:val="center"/>
          </w:tcPr>
          <w:p>
            <w:pPr>
              <w:widowControl/>
              <w:rPr>
                <w:rFonts w:hAnsi="宋体" w:cs="宋体"/>
                <w:szCs w:val="21"/>
              </w:rPr>
            </w:pPr>
          </w:p>
        </w:tc>
        <w:tc>
          <w:tcPr>
            <w:tcW w:w="992" w:type="dxa"/>
            <w:gridSpan w:val="2"/>
            <w:shd w:val="clear" w:color="auto" w:fill="auto"/>
            <w:vAlign w:val="center"/>
          </w:tcPr>
          <w:p>
            <w:pPr>
              <w:widowControl/>
              <w:rPr>
                <w:rFonts w:hAnsi="宋体" w:cs="宋体"/>
                <w:szCs w:val="21"/>
              </w:rPr>
            </w:pPr>
          </w:p>
        </w:tc>
        <w:tc>
          <w:tcPr>
            <w:tcW w:w="993" w:type="dxa"/>
            <w:shd w:val="clear" w:color="auto" w:fill="auto"/>
            <w:vAlign w:val="center"/>
          </w:tcPr>
          <w:p>
            <w:pPr>
              <w:widowControl/>
              <w:rPr>
                <w:rFonts w:hAnsi="宋体" w:cs="宋体"/>
                <w:szCs w:val="21"/>
              </w:rPr>
            </w:pPr>
          </w:p>
        </w:tc>
        <w:tc>
          <w:tcPr>
            <w:tcW w:w="992" w:type="dxa"/>
            <w:shd w:val="clear" w:color="auto" w:fill="auto"/>
            <w:vAlign w:val="center"/>
          </w:tcPr>
          <w:p>
            <w:pPr>
              <w:widowControl/>
              <w:rPr>
                <w:rFonts w:hAnsi="宋体" w:cs="宋体"/>
                <w:szCs w:val="21"/>
              </w:rPr>
            </w:pPr>
          </w:p>
        </w:tc>
        <w:tc>
          <w:tcPr>
            <w:tcW w:w="992" w:type="dxa"/>
            <w:shd w:val="clear" w:color="auto" w:fill="auto"/>
            <w:vAlign w:val="center"/>
          </w:tcPr>
          <w:p>
            <w:pPr>
              <w:widowControl/>
              <w:rPr>
                <w:rFonts w:hAnsi="宋体" w:cs="宋体"/>
                <w:szCs w:val="21"/>
              </w:rPr>
            </w:pPr>
          </w:p>
        </w:tc>
        <w:tc>
          <w:tcPr>
            <w:tcW w:w="992" w:type="dxa"/>
            <w:shd w:val="clear" w:color="auto" w:fill="auto"/>
            <w:vAlign w:val="center"/>
          </w:tcPr>
          <w:p>
            <w:pPr>
              <w:widowControl/>
              <w:rPr>
                <w:rFonts w:hAnsi="宋体" w:cs="宋体"/>
                <w:szCs w:val="21"/>
              </w:rPr>
            </w:pPr>
          </w:p>
        </w:tc>
        <w:tc>
          <w:tcPr>
            <w:tcW w:w="1134" w:type="dxa"/>
            <w:shd w:val="clear" w:color="auto" w:fill="auto"/>
            <w:vAlign w:val="center"/>
          </w:tcPr>
          <w:p>
            <w:pPr>
              <w:widowControl/>
              <w:rPr>
                <w:rFonts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9072" w:type="dxa"/>
            <w:gridSpan w:val="11"/>
            <w:shd w:val="clear" w:color="auto" w:fill="auto"/>
            <w:vAlign w:val="center"/>
          </w:tcPr>
          <w:p>
            <w:pPr>
              <w:widowControl/>
              <w:jc w:val="center"/>
              <w:rPr>
                <w:rFonts w:hAnsi="宋体"/>
                <w:b/>
                <w:bCs/>
                <w:szCs w:val="21"/>
              </w:rPr>
            </w:pPr>
            <w:r>
              <w:rPr>
                <w:rFonts w:hint="eastAsia" w:hAnsi="宋体" w:cs="宋体"/>
                <w:b/>
                <w:bCs/>
                <w:szCs w:val="21"/>
              </w:rPr>
              <w:t xml:space="preserve">总得分 </w:t>
            </w:r>
            <w:r>
              <w:rPr>
                <w:rFonts w:hAnsi="宋体" w:cs="宋体"/>
                <w:b/>
                <w:bCs/>
                <w:szCs w:val="21"/>
              </w:rPr>
              <w:t xml:space="preserve"> </w:t>
            </w:r>
            <w:r>
              <w:rPr>
                <w:rFonts w:hAnsi="宋体"/>
                <w:b/>
                <w:bCs/>
                <w:szCs w:val="21"/>
              </w:rPr>
              <w:t xml:space="preserve">Q </w:t>
            </w:r>
            <w:r>
              <w:rPr>
                <w:rFonts w:hint="eastAsia" w:hAnsi="宋体"/>
                <w:b/>
                <w:bCs/>
                <w:szCs w:val="21"/>
              </w:rPr>
              <w:t>=</w:t>
            </w:r>
            <w:r>
              <w:rPr>
                <w:rFonts w:hAnsi="宋体"/>
                <w:b/>
                <w:bCs/>
                <w:szCs w:val="21"/>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trPr>
        <w:tc>
          <w:tcPr>
            <w:tcW w:w="7938" w:type="dxa"/>
            <w:gridSpan w:val="10"/>
            <w:vMerge w:val="restart"/>
            <w:shd w:val="clear" w:color="auto" w:fill="auto"/>
            <w:vAlign w:val="center"/>
          </w:tcPr>
          <w:p>
            <w:pPr>
              <w:pStyle w:val="273"/>
              <w:widowControl/>
              <w:numPr>
                <w:ilvl w:val="0"/>
                <w:numId w:val="41"/>
              </w:numPr>
              <w:ind w:firstLine="0" w:firstLineChars="0"/>
              <w:rPr>
                <w:rFonts w:ascii="宋体" w:hAnsi="宋体" w:cs="宋体"/>
                <w:szCs w:val="21"/>
              </w:rPr>
            </w:pPr>
            <w:r>
              <w:rPr>
                <w:rFonts w:ascii="宋体" w:hAnsi="宋体" w:cs="宋体"/>
                <w:szCs w:val="21"/>
              </w:rPr>
              <w:t>本项目</w:t>
            </w:r>
            <w:r>
              <w:rPr>
                <w:rFonts w:hint="eastAsia" w:ascii="宋体" w:hAnsi="宋体" w:cs="宋体"/>
                <w:szCs w:val="21"/>
              </w:rPr>
              <w:t>绿色建筑</w:t>
            </w:r>
            <w:r>
              <w:rPr>
                <w:rFonts w:ascii="宋体" w:hAnsi="宋体" w:cs="宋体"/>
                <w:szCs w:val="21"/>
              </w:rPr>
              <w:t>星级</w:t>
            </w:r>
            <w:r>
              <w:rPr>
                <w:rFonts w:hint="eastAsia" w:ascii="宋体" w:hAnsi="宋体" w:cs="宋体"/>
                <w:szCs w:val="21"/>
              </w:rPr>
              <w:t>等级自评</w:t>
            </w:r>
            <w:r>
              <w:rPr>
                <w:rFonts w:ascii="宋体" w:hAnsi="宋体" w:cs="宋体"/>
                <w:szCs w:val="21"/>
              </w:rPr>
              <w:t>（注：总得分分别达到60分，70分，85分且满足上表1、2、3项对应星级要求时，分别为一星级、二星级、三星级）</w:t>
            </w:r>
          </w:p>
        </w:tc>
        <w:tc>
          <w:tcPr>
            <w:tcW w:w="1134" w:type="dxa"/>
            <w:shd w:val="clear" w:color="auto" w:fill="auto"/>
            <w:vAlign w:val="center"/>
          </w:tcPr>
          <w:p>
            <w:pPr>
              <w:jc w:val="center"/>
              <w:rPr>
                <w:rFonts w:hAnsi="宋体" w:cs="宋体"/>
                <w:szCs w:val="21"/>
              </w:rPr>
            </w:pPr>
            <w:r>
              <w:rPr>
                <w:rFonts w:hAnsi="宋体" w:cs="宋体"/>
                <w:szCs w:val="21"/>
              </w:rPr>
              <w:t>□一星</w:t>
            </w:r>
            <w:r>
              <w:rPr>
                <w:rFonts w:hint="eastAsia" w:hAnsi="宋体" w:cs="宋体"/>
                <w:szCs w:val="21"/>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trPr>
        <w:tc>
          <w:tcPr>
            <w:tcW w:w="7938" w:type="dxa"/>
            <w:gridSpan w:val="10"/>
            <w:vMerge w:val="continue"/>
            <w:shd w:val="clear" w:color="auto" w:fill="auto"/>
            <w:vAlign w:val="center"/>
          </w:tcPr>
          <w:p>
            <w:pPr>
              <w:widowControl/>
              <w:rPr>
                <w:rFonts w:hAnsi="宋体" w:cs="宋体"/>
                <w:szCs w:val="21"/>
              </w:rPr>
            </w:pPr>
          </w:p>
        </w:tc>
        <w:tc>
          <w:tcPr>
            <w:tcW w:w="1134" w:type="dxa"/>
            <w:shd w:val="clear" w:color="auto" w:fill="auto"/>
            <w:vAlign w:val="center"/>
          </w:tcPr>
          <w:p>
            <w:pPr>
              <w:jc w:val="center"/>
              <w:rPr>
                <w:rFonts w:hAnsi="宋体" w:cs="宋体"/>
                <w:szCs w:val="21"/>
              </w:rPr>
            </w:pPr>
            <w:r>
              <w:rPr>
                <w:rFonts w:hAnsi="宋体" w:cs="宋体"/>
                <w:szCs w:val="21"/>
              </w:rPr>
              <w:t>□二星</w:t>
            </w:r>
            <w:r>
              <w:rPr>
                <w:rFonts w:hint="eastAsia" w:hAnsi="宋体" w:cs="宋体"/>
                <w:szCs w:val="21"/>
              </w:rPr>
              <w:t>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7938" w:type="dxa"/>
            <w:gridSpan w:val="10"/>
            <w:vMerge w:val="continue"/>
            <w:shd w:val="clear" w:color="auto" w:fill="auto"/>
            <w:vAlign w:val="center"/>
          </w:tcPr>
          <w:p>
            <w:pPr>
              <w:widowControl/>
              <w:rPr>
                <w:rFonts w:hAnsi="宋体" w:cs="宋体"/>
                <w:szCs w:val="21"/>
              </w:rPr>
            </w:pPr>
          </w:p>
        </w:tc>
        <w:tc>
          <w:tcPr>
            <w:tcW w:w="1134" w:type="dxa"/>
            <w:shd w:val="clear" w:color="auto" w:fill="auto"/>
            <w:vAlign w:val="center"/>
          </w:tcPr>
          <w:p>
            <w:pPr>
              <w:jc w:val="center"/>
              <w:rPr>
                <w:rFonts w:hAnsi="宋体" w:cs="宋体"/>
                <w:szCs w:val="21"/>
              </w:rPr>
            </w:pPr>
            <w:r>
              <w:rPr>
                <w:rFonts w:hAnsi="宋体" w:cs="宋体"/>
                <w:szCs w:val="21"/>
              </w:rPr>
              <w:t>□三星</w:t>
            </w:r>
            <w:r>
              <w:rPr>
                <w:rFonts w:hint="eastAsia" w:hAnsi="宋体" w:cs="宋体"/>
                <w:szCs w:val="21"/>
              </w:rPr>
              <w:t>级</w:t>
            </w:r>
          </w:p>
        </w:tc>
      </w:tr>
    </w:tbl>
    <w:p>
      <w:pPr>
        <w:tabs>
          <w:tab w:val="left" w:pos="2805"/>
        </w:tabs>
        <w:ind w:firstLine="420"/>
        <w:rPr>
          <w:rFonts w:hAnsi="宋体" w:cs="宋体"/>
          <w:b/>
          <w:bCs/>
          <w:sz w:val="28"/>
          <w:szCs w:val="28"/>
        </w:rPr>
        <w:sectPr>
          <w:pgSz w:w="11907" w:h="16839"/>
          <w:pgMar w:top="1800" w:right="1440" w:bottom="1800" w:left="1440" w:header="851" w:footer="992" w:gutter="0"/>
          <w:cols w:space="630" w:num="1"/>
          <w:docGrid w:type="lines" w:linePitch="312" w:charSpace="0"/>
        </w:sectPr>
      </w:pPr>
    </w:p>
    <w:p>
      <w:pPr>
        <w:overflowPunct w:val="0"/>
        <w:spacing w:line="360" w:lineRule="exact"/>
        <w:ind w:firstLine="562"/>
        <w:jc w:val="center"/>
        <w:outlineLvl w:val="2"/>
        <w:rPr>
          <w:rFonts w:hAnsi="宋体" w:cs="宋体"/>
          <w:b/>
          <w:bCs/>
          <w:sz w:val="28"/>
          <w:szCs w:val="28"/>
        </w:rPr>
      </w:pPr>
      <w:bookmarkStart w:id="30" w:name="_Toc113029275"/>
      <w:bookmarkStart w:id="31" w:name="_Toc109325942"/>
      <w:r>
        <w:rPr>
          <w:rFonts w:hAnsi="宋体" w:cs="宋体"/>
          <w:b/>
          <w:bCs/>
          <w:sz w:val="28"/>
          <w:szCs w:val="28"/>
        </w:rPr>
        <w:t>绿色建筑</w:t>
      </w:r>
      <w:r>
        <w:rPr>
          <w:rFonts w:hint="eastAsia" w:hAnsi="宋体" w:cs="宋体"/>
          <w:b/>
          <w:bCs/>
          <w:sz w:val="28"/>
          <w:szCs w:val="28"/>
        </w:rPr>
        <w:t>预评价</w:t>
      </w:r>
      <w:r>
        <w:rPr>
          <w:rFonts w:hAnsi="宋体" w:cs="宋体"/>
          <w:b/>
          <w:bCs/>
          <w:sz w:val="28"/>
          <w:szCs w:val="28"/>
        </w:rPr>
        <w:t>自评表2 - 分项打分表</w:t>
      </w:r>
      <w:bookmarkEnd w:id="30"/>
      <w:bookmarkEnd w:id="31"/>
    </w:p>
    <w:p>
      <w:pPr>
        <w:overflowPunct w:val="0"/>
        <w:spacing w:line="360" w:lineRule="exact"/>
        <w:ind w:firstLine="562"/>
        <w:jc w:val="center"/>
        <w:rPr>
          <w:rFonts w:hAnsi="宋体" w:cs="宋体"/>
          <w:b/>
          <w:bCs/>
          <w:sz w:val="28"/>
          <w:szCs w:val="28"/>
        </w:rPr>
      </w:pP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4"/>
        <w:gridCol w:w="839"/>
        <w:gridCol w:w="873"/>
        <w:gridCol w:w="78"/>
        <w:gridCol w:w="293"/>
        <w:gridCol w:w="143"/>
        <w:gridCol w:w="43"/>
        <w:gridCol w:w="39"/>
        <w:gridCol w:w="261"/>
        <w:gridCol w:w="223"/>
        <w:gridCol w:w="2557"/>
        <w:gridCol w:w="666"/>
        <w:gridCol w:w="639"/>
        <w:gridCol w:w="776"/>
        <w:gridCol w:w="6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restart"/>
            <w:vAlign w:val="center"/>
          </w:tcPr>
          <w:p>
            <w:pPr>
              <w:widowControl/>
              <w:rPr>
                <w:rFonts w:hAnsi="宋体" w:cs="宋体"/>
                <w:szCs w:val="21"/>
              </w:rPr>
            </w:pPr>
            <w:r>
              <w:rPr>
                <w:rFonts w:hAnsi="宋体" w:cs="宋体"/>
                <w:b/>
                <w:bCs/>
                <w:szCs w:val="21"/>
              </w:rPr>
              <w:t>类别</w:t>
            </w:r>
          </w:p>
        </w:tc>
        <w:tc>
          <w:tcPr>
            <w:tcW w:w="3138" w:type="pct"/>
            <w:gridSpan w:val="10"/>
            <w:shd w:val="clear" w:color="auto" w:fill="auto"/>
            <w:noWrap/>
            <w:vAlign w:val="center"/>
          </w:tcPr>
          <w:p>
            <w:pPr>
              <w:widowControl/>
              <w:jc w:val="center"/>
              <w:rPr>
                <w:rFonts w:hAnsi="宋体" w:cs="宋体"/>
                <w:b/>
                <w:bCs/>
                <w:szCs w:val="21"/>
              </w:rPr>
            </w:pPr>
            <w:r>
              <w:rPr>
                <w:rFonts w:hAnsi="宋体" w:cs="宋体"/>
                <w:b/>
                <w:bCs/>
                <w:szCs w:val="21"/>
              </w:rPr>
              <w:t>《绿色建筑评价标准》GB/T 50378-2019 条文</w:t>
            </w:r>
          </w:p>
        </w:tc>
        <w:tc>
          <w:tcPr>
            <w:tcW w:w="766" w:type="pct"/>
            <w:gridSpan w:val="2"/>
            <w:shd w:val="clear" w:color="auto" w:fill="auto"/>
            <w:vAlign w:val="center"/>
          </w:tcPr>
          <w:p>
            <w:pPr>
              <w:widowControl/>
              <w:jc w:val="center"/>
              <w:rPr>
                <w:rFonts w:hAnsi="宋体" w:cs="宋体"/>
                <w:b/>
                <w:bCs/>
                <w:szCs w:val="21"/>
              </w:rPr>
            </w:pPr>
            <w:r>
              <w:rPr>
                <w:rFonts w:hAnsi="宋体" w:cs="宋体"/>
                <w:b/>
                <w:bCs/>
                <w:szCs w:val="21"/>
              </w:rPr>
              <w:t>分数</w:t>
            </w:r>
          </w:p>
        </w:tc>
        <w:tc>
          <w:tcPr>
            <w:tcW w:w="455" w:type="pct"/>
            <w:vMerge w:val="restart"/>
            <w:vAlign w:val="center"/>
          </w:tcPr>
          <w:p>
            <w:pPr>
              <w:jc w:val="center"/>
              <w:rPr>
                <w:rFonts w:hAnsi="宋体" w:cs="宋体"/>
                <w:b/>
                <w:bCs/>
                <w:szCs w:val="21"/>
              </w:rPr>
            </w:pPr>
            <w:r>
              <w:rPr>
                <w:rFonts w:hAnsi="宋体" w:cs="宋体"/>
                <w:b/>
                <w:bCs/>
                <w:szCs w:val="21"/>
              </w:rPr>
              <w:t>自评得分</w:t>
            </w:r>
          </w:p>
        </w:tc>
        <w:tc>
          <w:tcPr>
            <w:tcW w:w="386" w:type="pct"/>
            <w:vMerge w:val="restart"/>
            <w:vAlign w:val="center"/>
          </w:tcPr>
          <w:p>
            <w:pPr>
              <w:jc w:val="center"/>
              <w:rPr>
                <w:rFonts w:hAnsi="宋体" w:cs="宋体"/>
                <w:b/>
                <w:bCs/>
                <w:szCs w:val="21"/>
              </w:rPr>
            </w:pPr>
            <w:r>
              <w:rPr>
                <w:rFonts w:hAnsi="宋体" w:cs="宋体"/>
                <w:b/>
                <w:bCs/>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Cs w:val="21"/>
              </w:rPr>
            </w:pPr>
          </w:p>
        </w:tc>
        <w:tc>
          <w:tcPr>
            <w:tcW w:w="492" w:type="pct"/>
            <w:shd w:val="clear" w:color="auto" w:fill="auto"/>
            <w:noWrap/>
            <w:vAlign w:val="center"/>
          </w:tcPr>
          <w:p>
            <w:pPr>
              <w:jc w:val="center"/>
              <w:rPr>
                <w:rFonts w:hAnsi="宋体" w:cs="宋体"/>
                <w:szCs w:val="21"/>
              </w:rPr>
            </w:pPr>
            <w:r>
              <w:rPr>
                <w:rFonts w:hAnsi="宋体" w:cs="宋体"/>
                <w:b/>
                <w:bCs/>
                <w:szCs w:val="21"/>
              </w:rPr>
              <w:t>编号</w:t>
            </w:r>
          </w:p>
        </w:tc>
        <w:tc>
          <w:tcPr>
            <w:tcW w:w="2646" w:type="pct"/>
            <w:gridSpan w:val="9"/>
            <w:shd w:val="clear" w:color="auto" w:fill="auto"/>
            <w:vAlign w:val="center"/>
          </w:tcPr>
          <w:p>
            <w:pPr>
              <w:jc w:val="center"/>
              <w:rPr>
                <w:rFonts w:hAnsi="宋体" w:cs="宋体"/>
                <w:b/>
                <w:bCs/>
                <w:szCs w:val="21"/>
              </w:rPr>
            </w:pPr>
            <w:r>
              <w:rPr>
                <w:rFonts w:hAnsi="宋体" w:cs="宋体"/>
                <w:b/>
                <w:bCs/>
                <w:szCs w:val="21"/>
              </w:rPr>
              <w:t>条款内容</w:t>
            </w:r>
          </w:p>
        </w:tc>
        <w:tc>
          <w:tcPr>
            <w:tcW w:w="391" w:type="pct"/>
            <w:shd w:val="clear" w:color="auto" w:fill="auto"/>
            <w:vAlign w:val="center"/>
          </w:tcPr>
          <w:p>
            <w:pPr>
              <w:jc w:val="center"/>
              <w:rPr>
                <w:rFonts w:hAnsi="宋体" w:cs="宋体"/>
                <w:b/>
                <w:bCs/>
                <w:szCs w:val="21"/>
              </w:rPr>
            </w:pPr>
            <w:r>
              <w:rPr>
                <w:rFonts w:hAnsi="宋体" w:cs="宋体"/>
                <w:b/>
                <w:bCs/>
                <w:szCs w:val="21"/>
              </w:rPr>
              <w:t>款项</w:t>
            </w:r>
          </w:p>
          <w:p>
            <w:pPr>
              <w:jc w:val="center"/>
              <w:rPr>
                <w:rFonts w:hAnsi="宋体" w:cs="宋体"/>
                <w:b/>
                <w:bCs/>
                <w:szCs w:val="21"/>
              </w:rPr>
            </w:pPr>
            <w:r>
              <w:rPr>
                <w:rFonts w:hAnsi="宋体" w:cs="宋体"/>
                <w:b/>
                <w:bCs/>
                <w:szCs w:val="21"/>
              </w:rPr>
              <w:t>分</w:t>
            </w:r>
            <w:r>
              <w:rPr>
                <w:rFonts w:hint="eastAsia" w:hAnsi="宋体" w:cs="宋体"/>
                <w:b/>
                <w:bCs/>
                <w:szCs w:val="21"/>
              </w:rPr>
              <w:t>数</w:t>
            </w:r>
          </w:p>
        </w:tc>
        <w:tc>
          <w:tcPr>
            <w:tcW w:w="375" w:type="pct"/>
            <w:shd w:val="clear" w:color="auto" w:fill="auto"/>
            <w:vAlign w:val="center"/>
          </w:tcPr>
          <w:p>
            <w:pPr>
              <w:jc w:val="center"/>
              <w:rPr>
                <w:rFonts w:hAnsi="宋体" w:cs="宋体"/>
                <w:b/>
                <w:bCs/>
                <w:szCs w:val="21"/>
              </w:rPr>
            </w:pPr>
            <w:r>
              <w:rPr>
                <w:rFonts w:hAnsi="宋体" w:cs="宋体"/>
                <w:b/>
                <w:bCs/>
                <w:szCs w:val="21"/>
              </w:rPr>
              <w:t>条文</w:t>
            </w:r>
          </w:p>
          <w:p>
            <w:pPr>
              <w:jc w:val="center"/>
              <w:rPr>
                <w:rFonts w:hAnsi="宋体" w:cs="宋体"/>
                <w:b/>
                <w:bCs/>
                <w:szCs w:val="21"/>
              </w:rPr>
            </w:pPr>
            <w:r>
              <w:rPr>
                <w:rFonts w:hAnsi="宋体" w:cs="宋体"/>
                <w:b/>
                <w:bCs/>
                <w:szCs w:val="21"/>
              </w:rPr>
              <w:t>总分</w:t>
            </w:r>
          </w:p>
        </w:tc>
        <w:tc>
          <w:tcPr>
            <w:tcW w:w="455" w:type="pct"/>
            <w:vMerge w:val="continue"/>
            <w:vAlign w:val="center"/>
          </w:tcPr>
          <w:p>
            <w:pPr>
              <w:rPr>
                <w:rFonts w:hAnsi="宋体" w:cs="宋体"/>
                <w:b/>
                <w:bCs/>
                <w:sz w:val="20"/>
              </w:rPr>
            </w:pPr>
          </w:p>
        </w:tc>
        <w:tc>
          <w:tcPr>
            <w:tcW w:w="386" w:type="pct"/>
            <w:vMerge w:val="continue"/>
          </w:tcPr>
          <w:p>
            <w:pPr>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restart"/>
            <w:vAlign w:val="center"/>
          </w:tcPr>
          <w:p>
            <w:pPr>
              <w:rPr>
                <w:rFonts w:hAnsi="宋体" w:cs="宋体"/>
                <w:sz w:val="20"/>
              </w:rPr>
            </w:pPr>
            <w:r>
              <w:rPr>
                <w:rFonts w:hAnsi="宋体" w:cs="宋体"/>
                <w:b/>
                <w:bCs/>
                <w:sz w:val="20"/>
              </w:rPr>
              <w:t>安全耐久</w:t>
            </w:r>
          </w:p>
        </w:tc>
        <w:tc>
          <w:tcPr>
            <w:tcW w:w="492" w:type="pct"/>
            <w:shd w:val="clear" w:color="auto" w:fill="auto"/>
            <w:noWrap/>
            <w:vAlign w:val="center"/>
          </w:tcPr>
          <w:p>
            <w:pPr>
              <w:widowControl/>
              <w:rPr>
                <w:rFonts w:hAnsi="宋体" w:cs="宋体"/>
                <w:sz w:val="20"/>
              </w:rPr>
            </w:pPr>
            <w:r>
              <w:rPr>
                <w:rFonts w:hAnsi="宋体" w:cs="宋体"/>
                <w:sz w:val="20"/>
              </w:rPr>
              <w:t>4.1.1</w:t>
            </w:r>
          </w:p>
        </w:tc>
        <w:tc>
          <w:tcPr>
            <w:tcW w:w="2646" w:type="pct"/>
            <w:gridSpan w:val="9"/>
            <w:shd w:val="clear" w:color="auto" w:fill="auto"/>
            <w:vAlign w:val="center"/>
          </w:tcPr>
          <w:p>
            <w:pPr>
              <w:widowControl/>
              <w:rPr>
                <w:rFonts w:hAnsi="宋体" w:cs="宋体"/>
                <w:b/>
                <w:bCs/>
                <w:sz w:val="20"/>
              </w:rPr>
            </w:pPr>
            <w:r>
              <w:rPr>
                <w:rFonts w:hAnsi="宋体" w:cs="宋体"/>
                <w:sz w:val="20"/>
              </w:rPr>
              <w:t>场地应避开滑坡、泥石流等地质危险地段，易发生洪涝区有可靠的防涝基础设施；场地应无危险化学品、易燃易爆危险源的威胁，应无电磁辐射、含氡土壤的危害。</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jc w:val="left"/>
              <w:rPr>
                <w:rFonts w:hAnsi="宋体" w:cs="宋体"/>
                <w:b/>
                <w:bCs/>
                <w:sz w:val="20"/>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4.1.2</w:t>
            </w:r>
          </w:p>
        </w:tc>
        <w:tc>
          <w:tcPr>
            <w:tcW w:w="2646" w:type="pct"/>
            <w:gridSpan w:val="9"/>
            <w:shd w:val="clear" w:color="auto" w:fill="auto"/>
            <w:vAlign w:val="center"/>
          </w:tcPr>
          <w:p>
            <w:pPr>
              <w:widowControl/>
              <w:rPr>
                <w:rFonts w:hAnsi="宋体" w:cs="宋体"/>
                <w:b/>
                <w:bCs/>
                <w:sz w:val="20"/>
              </w:rPr>
            </w:pPr>
            <w:r>
              <w:rPr>
                <w:rFonts w:hAnsi="宋体" w:cs="宋体"/>
                <w:sz w:val="20"/>
              </w:rPr>
              <w:t>建筑结构应满足承载力和建筑使用功能要求。建筑外墙、屋面、门窗、幕墙及外保温等围护结构应满足安全、耐久和防护的要求。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4.1.3</w:t>
            </w:r>
          </w:p>
        </w:tc>
        <w:tc>
          <w:tcPr>
            <w:tcW w:w="2646" w:type="pct"/>
            <w:gridSpan w:val="9"/>
            <w:shd w:val="clear" w:color="auto" w:fill="auto"/>
            <w:vAlign w:val="center"/>
          </w:tcPr>
          <w:p>
            <w:pPr>
              <w:widowControl/>
              <w:rPr>
                <w:rFonts w:hAnsi="宋体" w:cs="宋体"/>
                <w:b/>
                <w:bCs/>
                <w:sz w:val="20"/>
              </w:rPr>
            </w:pPr>
            <w:r>
              <w:rPr>
                <w:rFonts w:hAnsi="宋体" w:cs="宋体"/>
                <w:sz w:val="20"/>
              </w:rPr>
              <w:t>外遮阳、太阳能设施、空调室外机位、外墙花池等外部设施应与建筑主体结构统一设计、施工，并应具备安装、检修与维护条件。</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4.1.4</w:t>
            </w:r>
          </w:p>
        </w:tc>
        <w:tc>
          <w:tcPr>
            <w:tcW w:w="2646" w:type="pct"/>
            <w:gridSpan w:val="9"/>
            <w:shd w:val="clear" w:color="auto" w:fill="auto"/>
            <w:vAlign w:val="center"/>
          </w:tcPr>
          <w:p>
            <w:pPr>
              <w:widowControl/>
              <w:rPr>
                <w:rFonts w:hAnsi="宋体" w:cs="宋体"/>
                <w:b/>
                <w:bCs/>
                <w:sz w:val="20"/>
              </w:rPr>
            </w:pPr>
            <w:r>
              <w:rPr>
                <w:rFonts w:hAnsi="宋体" w:cs="宋体"/>
                <w:sz w:val="20"/>
              </w:rPr>
              <w:t>建筑内部的非结构构件、设备及附属设施等应连接牢固并能适应主体结构变形。</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4.1.5</w:t>
            </w:r>
          </w:p>
        </w:tc>
        <w:tc>
          <w:tcPr>
            <w:tcW w:w="2646" w:type="pct"/>
            <w:gridSpan w:val="9"/>
            <w:shd w:val="clear" w:color="auto" w:fill="auto"/>
            <w:vAlign w:val="center"/>
          </w:tcPr>
          <w:p>
            <w:pPr>
              <w:widowControl/>
              <w:rPr>
                <w:rFonts w:hAnsi="宋体" w:cs="宋体"/>
                <w:b/>
                <w:bCs/>
                <w:sz w:val="20"/>
              </w:rPr>
            </w:pPr>
            <w:r>
              <w:rPr>
                <w:rFonts w:hAnsi="宋体" w:cs="宋体"/>
                <w:sz w:val="20"/>
              </w:rPr>
              <w:t>建筑外门窗必须安装牢靠，其抗风压性能和水密性能应符合国家现行有关标准的规定。</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4.1.6</w:t>
            </w:r>
          </w:p>
        </w:tc>
        <w:tc>
          <w:tcPr>
            <w:tcW w:w="2646" w:type="pct"/>
            <w:gridSpan w:val="9"/>
            <w:shd w:val="clear" w:color="auto" w:fill="auto"/>
            <w:vAlign w:val="center"/>
          </w:tcPr>
          <w:p>
            <w:pPr>
              <w:widowControl/>
              <w:rPr>
                <w:rFonts w:hAnsi="宋体" w:cs="宋体"/>
                <w:b/>
                <w:bCs/>
                <w:sz w:val="20"/>
              </w:rPr>
            </w:pPr>
            <w:r>
              <w:rPr>
                <w:rFonts w:hAnsi="宋体" w:cs="宋体"/>
                <w:sz w:val="20"/>
              </w:rPr>
              <w:t>卫生间、浴室的地面应设置防水层，墙面、顶棚应设置防潮层。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4.1.7</w:t>
            </w:r>
          </w:p>
        </w:tc>
        <w:tc>
          <w:tcPr>
            <w:tcW w:w="2646" w:type="pct"/>
            <w:gridSpan w:val="9"/>
            <w:shd w:val="clear" w:color="auto" w:fill="auto"/>
            <w:vAlign w:val="center"/>
          </w:tcPr>
          <w:p>
            <w:pPr>
              <w:widowControl/>
              <w:rPr>
                <w:rFonts w:hAnsi="宋体" w:cs="宋体"/>
                <w:b/>
                <w:bCs/>
                <w:sz w:val="20"/>
              </w:rPr>
            </w:pPr>
            <w:r>
              <w:rPr>
                <w:rFonts w:hAnsi="宋体" w:cs="宋体"/>
                <w:sz w:val="20"/>
              </w:rPr>
              <w:t>走廊、疏散通道等通行空间应满足紧急疏散、应急救护等要求，且应保持畅通。</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4.1.8</w:t>
            </w:r>
          </w:p>
        </w:tc>
        <w:tc>
          <w:tcPr>
            <w:tcW w:w="2646" w:type="pct"/>
            <w:gridSpan w:val="9"/>
            <w:shd w:val="clear" w:color="auto" w:fill="auto"/>
            <w:vAlign w:val="center"/>
          </w:tcPr>
          <w:p>
            <w:pPr>
              <w:widowControl/>
              <w:rPr>
                <w:rFonts w:hAnsi="宋体" w:cs="宋体"/>
                <w:b/>
                <w:bCs/>
                <w:sz w:val="20"/>
              </w:rPr>
            </w:pPr>
            <w:r>
              <w:rPr>
                <w:rFonts w:hAnsi="宋体" w:cs="宋体"/>
                <w:sz w:val="20"/>
              </w:rPr>
              <w:t>应具有安全防护的警示和引导标识系统。</w:t>
            </w:r>
          </w:p>
        </w:tc>
        <w:tc>
          <w:tcPr>
            <w:tcW w:w="766" w:type="pct"/>
            <w:gridSpan w:val="2"/>
            <w:vAlign w:val="center"/>
          </w:tcPr>
          <w:p>
            <w:pPr>
              <w:widowControl/>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4.2.1</w:t>
            </w:r>
          </w:p>
        </w:tc>
        <w:tc>
          <w:tcPr>
            <w:tcW w:w="2646" w:type="pct"/>
            <w:gridSpan w:val="9"/>
            <w:shd w:val="clear" w:color="auto" w:fill="auto"/>
            <w:vAlign w:val="center"/>
          </w:tcPr>
          <w:p>
            <w:pPr>
              <w:widowControl/>
              <w:rPr>
                <w:rFonts w:hAnsi="宋体" w:cs="宋体"/>
                <w:b/>
                <w:bCs/>
                <w:sz w:val="20"/>
              </w:rPr>
            </w:pPr>
            <w:r>
              <w:rPr>
                <w:rFonts w:hAnsi="宋体" w:cs="宋体"/>
                <w:sz w:val="20"/>
              </w:rPr>
              <w:t>采用基于性能的抗震设计并合理提高建筑的抗震性能。</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shd w:val="clear" w:color="auto" w:fill="auto"/>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4.2.2</w:t>
            </w:r>
          </w:p>
        </w:tc>
        <w:tc>
          <w:tcPr>
            <w:tcW w:w="512" w:type="pct"/>
            <w:vMerge w:val="restart"/>
            <w:shd w:val="clear" w:color="auto" w:fill="auto"/>
            <w:vAlign w:val="center"/>
          </w:tcPr>
          <w:p>
            <w:pPr>
              <w:widowControl/>
              <w:rPr>
                <w:rFonts w:hAnsi="宋体" w:cs="宋体"/>
                <w:b/>
                <w:bCs/>
                <w:sz w:val="20"/>
              </w:rPr>
            </w:pPr>
            <w:r>
              <w:rPr>
                <w:rFonts w:hAnsi="宋体" w:cs="宋体"/>
                <w:sz w:val="20"/>
              </w:rPr>
              <w:t>采取保障人员安全的防护措施。</w:t>
            </w:r>
          </w:p>
        </w:tc>
        <w:tc>
          <w:tcPr>
            <w:tcW w:w="2134" w:type="pct"/>
            <w:gridSpan w:val="8"/>
            <w:shd w:val="clear" w:color="auto" w:fill="auto"/>
            <w:vAlign w:val="center"/>
          </w:tcPr>
          <w:p>
            <w:pPr>
              <w:widowControl/>
              <w:rPr>
                <w:rFonts w:hAnsi="宋体" w:cs="宋体"/>
                <w:sz w:val="20"/>
              </w:rPr>
            </w:pPr>
            <w:r>
              <w:rPr>
                <w:rFonts w:hAnsi="宋体" w:cs="宋体"/>
                <w:sz w:val="20"/>
              </w:rPr>
              <w:t>采取措施提高阳台、外窗、窗台、防护栏杆等安全防护水平。</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建筑物出入口均设外墙饰面、门窗玻璃意外脱落的防护措施，并与人员通行区域的遮阳、遮风或挡雨措施结合。</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利用场地或景观形成可降低坠物风险的缓冲区、隔离带。</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4.2.3</w:t>
            </w:r>
          </w:p>
        </w:tc>
        <w:tc>
          <w:tcPr>
            <w:tcW w:w="512" w:type="pct"/>
            <w:vMerge w:val="restart"/>
            <w:shd w:val="clear" w:color="auto" w:fill="auto"/>
            <w:vAlign w:val="center"/>
          </w:tcPr>
          <w:p>
            <w:pPr>
              <w:widowControl/>
              <w:rPr>
                <w:rFonts w:hAnsi="宋体" w:cs="宋体"/>
                <w:b/>
                <w:bCs/>
                <w:sz w:val="20"/>
              </w:rPr>
            </w:pPr>
            <w:r>
              <w:rPr>
                <w:rFonts w:hAnsi="宋体" w:cs="宋体"/>
                <w:sz w:val="20"/>
              </w:rPr>
              <w:t>采用具有安全防护功能的产品或配件。</w:t>
            </w:r>
          </w:p>
        </w:tc>
        <w:tc>
          <w:tcPr>
            <w:tcW w:w="2134" w:type="pct"/>
            <w:gridSpan w:val="8"/>
            <w:shd w:val="clear" w:color="auto" w:fill="auto"/>
            <w:vAlign w:val="center"/>
          </w:tcPr>
          <w:p>
            <w:pPr>
              <w:widowControl/>
              <w:rPr>
                <w:rFonts w:hAnsi="宋体" w:cs="宋体"/>
                <w:sz w:val="20"/>
              </w:rPr>
            </w:pPr>
            <w:r>
              <w:rPr>
                <w:rFonts w:hAnsi="宋体" w:cs="宋体"/>
                <w:sz w:val="20"/>
              </w:rPr>
              <w:t>采用具有安全防护功能的玻璃。</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采用具备防夹功能的门窗。</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4.2.4</w:t>
            </w:r>
          </w:p>
        </w:tc>
        <w:tc>
          <w:tcPr>
            <w:tcW w:w="512" w:type="pct"/>
            <w:vMerge w:val="restart"/>
            <w:shd w:val="clear" w:color="auto" w:fill="auto"/>
            <w:vAlign w:val="center"/>
          </w:tcPr>
          <w:p>
            <w:pPr>
              <w:widowControl/>
              <w:rPr>
                <w:rFonts w:hAnsi="宋体" w:cs="宋体"/>
                <w:b/>
                <w:bCs/>
                <w:sz w:val="20"/>
              </w:rPr>
            </w:pPr>
            <w:r>
              <w:rPr>
                <w:rFonts w:hAnsi="宋体" w:cs="宋体"/>
                <w:sz w:val="20"/>
              </w:rPr>
              <w:t>室内外地面或路面设置防滑措施。</w:t>
            </w:r>
          </w:p>
        </w:tc>
        <w:tc>
          <w:tcPr>
            <w:tcW w:w="2134" w:type="pct"/>
            <w:gridSpan w:val="8"/>
            <w:shd w:val="clear" w:color="auto" w:fill="auto"/>
            <w:vAlign w:val="center"/>
          </w:tcPr>
          <w:p>
            <w:pPr>
              <w:widowControl/>
              <w:rPr>
                <w:rFonts w:hAnsi="宋体" w:cs="宋体"/>
                <w:sz w:val="20"/>
              </w:rPr>
            </w:pPr>
            <w:r>
              <w:rPr>
                <w:rFonts w:hAnsi="宋体" w:cs="宋体"/>
                <w:sz w:val="20"/>
              </w:rPr>
              <w:t>建筑出入口及平台、公共走廊、电梯门厅、厨房、浴室、卫生间等设置防滑措施，防滑等级不低于现行行业标准《建筑地面工程防滑技术规程》JGJ/T 331规定的B</w:t>
            </w:r>
            <w:r>
              <w:rPr>
                <w:rFonts w:hAnsi="宋体" w:cs="宋体"/>
                <w:sz w:val="20"/>
                <w:vertAlign w:val="subscript"/>
              </w:rPr>
              <w:t>d</w:t>
            </w:r>
            <w:r>
              <w:rPr>
                <w:rFonts w:hAnsi="宋体" w:cs="宋体"/>
                <w:sz w:val="20"/>
              </w:rPr>
              <w:t>、B</w:t>
            </w:r>
            <w:r>
              <w:rPr>
                <w:rFonts w:hAnsi="宋体" w:cs="宋体"/>
                <w:sz w:val="20"/>
                <w:vertAlign w:val="subscript"/>
              </w:rPr>
              <w:t>w</w:t>
            </w:r>
            <w:r>
              <w:rPr>
                <w:rFonts w:hAnsi="宋体" w:cs="宋体"/>
                <w:sz w:val="20"/>
              </w:rPr>
              <w:t>级。</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建筑室内外活动场地所采用的防滑地面，防滑等级达到现行行业标准《建筑地面工程防滑技术规程》</w:t>
            </w:r>
            <w:r>
              <w:rPr>
                <w:rFonts w:hAnsi="宋体" w:cs="宋体"/>
                <w:sz w:val="20"/>
                <w:szCs w:val="22"/>
              </w:rPr>
              <w:t>JGJ/T 331</w:t>
            </w:r>
            <w:r>
              <w:rPr>
                <w:rFonts w:hAnsi="宋体" w:cs="宋体"/>
                <w:sz w:val="20"/>
              </w:rPr>
              <w:t>规定的A</w:t>
            </w:r>
            <w:r>
              <w:rPr>
                <w:rFonts w:hAnsi="宋体" w:cs="宋体"/>
                <w:sz w:val="20"/>
                <w:vertAlign w:val="subscript"/>
              </w:rPr>
              <w:t>d</w:t>
            </w:r>
            <w:r>
              <w:rPr>
                <w:rFonts w:hAnsi="宋体" w:cs="宋体"/>
                <w:sz w:val="20"/>
              </w:rPr>
              <w:t>、A</w:t>
            </w:r>
            <w:r>
              <w:rPr>
                <w:rFonts w:hAnsi="宋体" w:cs="宋体"/>
                <w:sz w:val="20"/>
                <w:vertAlign w:val="subscript"/>
              </w:rPr>
              <w:t>w</w:t>
            </w:r>
            <w:r>
              <w:rPr>
                <w:rFonts w:hAnsi="宋体" w:cs="宋体"/>
                <w:sz w:val="20"/>
              </w:rPr>
              <w:t>级。</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建筑坡道、楼梯踏步防滑等级达到现行行业标准《建筑地面工程防滑技术规程》</w:t>
            </w:r>
            <w:r>
              <w:rPr>
                <w:rFonts w:hAnsi="宋体" w:cs="宋体"/>
                <w:sz w:val="20"/>
                <w:szCs w:val="22"/>
              </w:rPr>
              <w:t>JGJ/T 331</w:t>
            </w:r>
            <w:r>
              <w:rPr>
                <w:rFonts w:hAnsi="宋体" w:cs="宋体"/>
                <w:sz w:val="20"/>
              </w:rPr>
              <w:t>规定的A</w:t>
            </w:r>
            <w:r>
              <w:rPr>
                <w:rFonts w:hAnsi="宋体" w:cs="宋体"/>
                <w:sz w:val="20"/>
                <w:vertAlign w:val="subscript"/>
              </w:rPr>
              <w:t>d</w:t>
            </w:r>
            <w:r>
              <w:rPr>
                <w:rFonts w:hAnsi="宋体" w:cs="宋体"/>
                <w:sz w:val="20"/>
              </w:rPr>
              <w:t>、A</w:t>
            </w:r>
            <w:r>
              <w:rPr>
                <w:rFonts w:hAnsi="宋体" w:cs="宋体"/>
                <w:sz w:val="20"/>
                <w:vertAlign w:val="subscript"/>
              </w:rPr>
              <w:t>w</w:t>
            </w:r>
            <w:r>
              <w:rPr>
                <w:rFonts w:hAnsi="宋体" w:cs="宋体"/>
                <w:sz w:val="20"/>
              </w:rPr>
              <w:t>级或按水平地面等级提高一级，并采用防滑条等防滑构造技术措施。</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4.2.5</w:t>
            </w:r>
          </w:p>
        </w:tc>
        <w:tc>
          <w:tcPr>
            <w:tcW w:w="2646" w:type="pct"/>
            <w:gridSpan w:val="9"/>
            <w:shd w:val="clear" w:color="auto" w:fill="auto"/>
            <w:vAlign w:val="center"/>
          </w:tcPr>
          <w:p>
            <w:pPr>
              <w:widowControl/>
              <w:rPr>
                <w:rFonts w:hAnsi="宋体" w:cs="宋体"/>
                <w:b/>
                <w:bCs/>
                <w:sz w:val="20"/>
              </w:rPr>
            </w:pPr>
            <w:r>
              <w:rPr>
                <w:rFonts w:hAnsi="宋体" w:cs="宋体"/>
                <w:sz w:val="20"/>
              </w:rPr>
              <w:t>采取人车分流措施，且步行和自行车交通系统有充足照明。</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4.2.6</w:t>
            </w:r>
          </w:p>
        </w:tc>
        <w:tc>
          <w:tcPr>
            <w:tcW w:w="512" w:type="pct"/>
            <w:vMerge w:val="restart"/>
            <w:shd w:val="clear" w:color="auto" w:fill="auto"/>
            <w:vAlign w:val="center"/>
          </w:tcPr>
          <w:p>
            <w:pPr>
              <w:widowControl/>
              <w:rPr>
                <w:rFonts w:hAnsi="宋体" w:cs="宋体"/>
                <w:b/>
                <w:bCs/>
                <w:sz w:val="20"/>
              </w:rPr>
            </w:pPr>
            <w:r>
              <w:rPr>
                <w:rFonts w:hAnsi="宋体" w:cs="宋体"/>
                <w:sz w:val="20"/>
              </w:rPr>
              <w:t>采取提升建筑适变性的措施。</w:t>
            </w:r>
          </w:p>
        </w:tc>
        <w:tc>
          <w:tcPr>
            <w:tcW w:w="2134" w:type="pct"/>
            <w:gridSpan w:val="8"/>
            <w:shd w:val="clear" w:color="auto" w:fill="auto"/>
            <w:vAlign w:val="center"/>
          </w:tcPr>
          <w:p>
            <w:pPr>
              <w:widowControl/>
              <w:rPr>
                <w:rFonts w:hAnsi="宋体" w:cs="宋体"/>
                <w:sz w:val="20"/>
              </w:rPr>
            </w:pPr>
            <w:r>
              <w:rPr>
                <w:rFonts w:hAnsi="宋体" w:cs="宋体"/>
                <w:sz w:val="20"/>
              </w:rPr>
              <w:t>采取通用开放、灵活可变的使用空间设计，或采取建筑使用功能可变措施。</w:t>
            </w:r>
          </w:p>
        </w:tc>
        <w:tc>
          <w:tcPr>
            <w:tcW w:w="391" w:type="pct"/>
            <w:vAlign w:val="center"/>
          </w:tcPr>
          <w:p>
            <w:pPr>
              <w:widowControl/>
              <w:jc w:val="center"/>
              <w:rPr>
                <w:rFonts w:hAnsi="宋体" w:cs="宋体"/>
                <w:b/>
                <w:bCs/>
                <w:sz w:val="20"/>
              </w:rPr>
            </w:pPr>
            <w:r>
              <w:rPr>
                <w:rFonts w:hAnsi="宋体" w:cs="宋体"/>
                <w:b/>
                <w:bCs/>
                <w:sz w:val="20"/>
              </w:rPr>
              <w:t>7</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建筑结构与建筑设备管线分离。</w:t>
            </w:r>
          </w:p>
        </w:tc>
        <w:tc>
          <w:tcPr>
            <w:tcW w:w="391" w:type="pct"/>
            <w:vAlign w:val="center"/>
          </w:tcPr>
          <w:p>
            <w:pPr>
              <w:widowControl/>
              <w:jc w:val="center"/>
              <w:rPr>
                <w:rFonts w:hAnsi="宋体" w:cs="宋体"/>
                <w:b/>
                <w:bCs/>
                <w:sz w:val="20"/>
              </w:rPr>
            </w:pPr>
            <w:r>
              <w:rPr>
                <w:rFonts w:hAnsi="宋体" w:cs="宋体"/>
                <w:b/>
                <w:bCs/>
                <w:sz w:val="20"/>
              </w:rPr>
              <w:t>7</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采用与建筑功能和空间变化相适应的设备设施布置方式或控制方式。</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4.2.7</w:t>
            </w:r>
          </w:p>
        </w:tc>
        <w:tc>
          <w:tcPr>
            <w:tcW w:w="512" w:type="pct"/>
            <w:vMerge w:val="restart"/>
            <w:shd w:val="clear" w:color="auto" w:fill="auto"/>
            <w:vAlign w:val="center"/>
          </w:tcPr>
          <w:p>
            <w:pPr>
              <w:widowControl/>
              <w:rPr>
                <w:rFonts w:hAnsi="宋体" w:cs="宋体"/>
                <w:b/>
                <w:bCs/>
                <w:sz w:val="20"/>
              </w:rPr>
            </w:pPr>
            <w:r>
              <w:rPr>
                <w:rFonts w:hAnsi="宋体" w:cs="宋体"/>
                <w:sz w:val="20"/>
              </w:rPr>
              <w:t>采取提升建筑部品部件耐久性的措施。</w:t>
            </w:r>
          </w:p>
        </w:tc>
        <w:tc>
          <w:tcPr>
            <w:tcW w:w="2134" w:type="pct"/>
            <w:gridSpan w:val="8"/>
            <w:shd w:val="clear" w:color="auto" w:fill="auto"/>
            <w:vAlign w:val="center"/>
          </w:tcPr>
          <w:p>
            <w:pPr>
              <w:widowControl/>
              <w:rPr>
                <w:rFonts w:hAnsi="宋体" w:cs="宋体"/>
                <w:sz w:val="20"/>
              </w:rPr>
            </w:pPr>
            <w:r>
              <w:rPr>
                <w:rFonts w:hAnsi="宋体" w:cs="宋体"/>
                <w:sz w:val="20"/>
              </w:rPr>
              <w:t>使用耐腐蚀、抗老化、耐久性能好的管材、管线、管件。</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活动配件选用长寿命产品，并考虑部品组合的同寿命性；不同使用寿命的部品组合时，采用便于分别拆换、更新和升级的构造。</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000000" w:fill="FFFFFF"/>
            <w:vAlign w:val="center"/>
          </w:tcPr>
          <w:p>
            <w:pPr>
              <w:widowControl/>
              <w:rPr>
                <w:rFonts w:hAnsi="宋体" w:cs="宋体"/>
                <w:sz w:val="20"/>
              </w:rPr>
            </w:pPr>
          </w:p>
        </w:tc>
        <w:tc>
          <w:tcPr>
            <w:tcW w:w="492" w:type="pct"/>
            <w:vMerge w:val="restart"/>
            <w:shd w:val="clear" w:color="000000" w:fill="FFFFFF"/>
            <w:noWrap/>
            <w:vAlign w:val="center"/>
          </w:tcPr>
          <w:p>
            <w:pPr>
              <w:widowControl/>
              <w:rPr>
                <w:rFonts w:hAnsi="宋体" w:cs="宋体"/>
                <w:sz w:val="20"/>
              </w:rPr>
            </w:pPr>
            <w:r>
              <w:rPr>
                <w:rFonts w:hAnsi="宋体" w:cs="宋体"/>
                <w:sz w:val="20"/>
              </w:rPr>
              <w:t>4.2.8</w:t>
            </w:r>
          </w:p>
        </w:tc>
        <w:tc>
          <w:tcPr>
            <w:tcW w:w="512" w:type="pct"/>
            <w:vMerge w:val="restart"/>
            <w:shd w:val="clear" w:color="000000" w:fill="FFFFFF"/>
            <w:vAlign w:val="center"/>
          </w:tcPr>
          <w:p>
            <w:pPr>
              <w:widowControl/>
              <w:rPr>
                <w:rFonts w:hAnsi="宋体" w:cs="宋体"/>
                <w:b/>
                <w:bCs/>
                <w:sz w:val="20"/>
              </w:rPr>
            </w:pPr>
            <w:r>
              <w:rPr>
                <w:rFonts w:hAnsi="宋体" w:cs="宋体"/>
                <w:sz w:val="20"/>
              </w:rPr>
              <w:t>提高建筑结构材料的耐久性</w:t>
            </w:r>
          </w:p>
        </w:tc>
        <w:tc>
          <w:tcPr>
            <w:tcW w:w="2134" w:type="pct"/>
            <w:gridSpan w:val="8"/>
            <w:shd w:val="clear" w:color="000000" w:fill="FFFFFF"/>
            <w:vAlign w:val="center"/>
          </w:tcPr>
          <w:p>
            <w:pPr>
              <w:widowControl/>
              <w:rPr>
                <w:rFonts w:hAnsi="宋体" w:cs="宋体"/>
                <w:sz w:val="20"/>
              </w:rPr>
            </w:pPr>
            <w:r>
              <w:rPr>
                <w:rFonts w:hAnsi="宋体" w:cs="宋体"/>
                <w:sz w:val="20"/>
              </w:rPr>
              <w:t>按100年进行耐久性设计。</w:t>
            </w:r>
          </w:p>
        </w:tc>
        <w:tc>
          <w:tcPr>
            <w:tcW w:w="391" w:type="pct"/>
            <w:shd w:val="clear" w:color="000000" w:fill="FFFFFF"/>
            <w:vAlign w:val="center"/>
          </w:tcPr>
          <w:p>
            <w:pPr>
              <w:widowControl/>
              <w:jc w:val="center"/>
              <w:rPr>
                <w:rFonts w:hAnsi="宋体" w:cs="宋体"/>
                <w:b/>
                <w:bCs/>
                <w:sz w:val="20"/>
              </w:rPr>
            </w:pPr>
            <w:r>
              <w:rPr>
                <w:rFonts w:hAnsi="宋体" w:cs="宋体"/>
                <w:b/>
                <w:bCs/>
                <w:sz w:val="20"/>
              </w:rPr>
              <w:t>10</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10</w:t>
            </w: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采用耐久性能好的建筑结构材料，满足下列条件之一：</w:t>
            </w:r>
          </w:p>
          <w:p>
            <w:pPr>
              <w:widowControl/>
              <w:rPr>
                <w:rFonts w:hAnsi="宋体" w:cs="宋体"/>
                <w:bCs/>
                <w:sz w:val="20"/>
              </w:rPr>
            </w:pPr>
            <w:r>
              <w:rPr>
                <w:rFonts w:hAnsi="宋体" w:cs="宋体"/>
                <w:bCs/>
                <w:sz w:val="20"/>
              </w:rPr>
              <w:t>□对于混凝土构件，提高钢筋保护层厚度或采用高耐久混凝土；</w:t>
            </w:r>
          </w:p>
          <w:p>
            <w:pPr>
              <w:pStyle w:val="13"/>
              <w:ind w:firstLine="0" w:firstLineChars="0"/>
              <w:jc w:val="both"/>
              <w:rPr>
                <w:rFonts w:hAnsi="宋体" w:eastAsia="宋体" w:cs="宋体"/>
                <w:bCs/>
                <w:lang w:eastAsia="zh-CN"/>
              </w:rPr>
            </w:pPr>
            <w:r>
              <w:rPr>
                <w:rFonts w:hAnsi="宋体" w:eastAsia="宋体" w:cs="宋体"/>
                <w:bCs/>
                <w:lang w:eastAsia="zh-CN"/>
              </w:rPr>
              <w:t>□对于钢构件，采用耐候结构钢及耐候型防腐涂料；</w:t>
            </w:r>
          </w:p>
          <w:p>
            <w:pPr>
              <w:pStyle w:val="13"/>
              <w:ind w:firstLine="0" w:firstLineChars="0"/>
              <w:jc w:val="both"/>
              <w:rPr>
                <w:rFonts w:hAnsi="宋体" w:eastAsia="宋体" w:cs="宋体"/>
                <w:lang w:eastAsia="zh-CN"/>
              </w:rPr>
            </w:pPr>
            <w:r>
              <w:rPr>
                <w:rFonts w:hAnsi="宋体" w:eastAsia="宋体" w:cs="宋体"/>
                <w:bCs/>
                <w:lang w:eastAsia="zh-CN"/>
              </w:rPr>
              <w:t>□对于木构件，采用防腐木材、耐久木材或耐久木制品。</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4.2.9</w:t>
            </w:r>
          </w:p>
        </w:tc>
        <w:tc>
          <w:tcPr>
            <w:tcW w:w="512" w:type="pct"/>
            <w:vMerge w:val="restart"/>
            <w:shd w:val="clear" w:color="auto" w:fill="auto"/>
            <w:vAlign w:val="center"/>
          </w:tcPr>
          <w:p>
            <w:pPr>
              <w:widowControl/>
              <w:rPr>
                <w:rFonts w:hAnsi="宋体" w:cs="宋体"/>
                <w:b/>
                <w:bCs/>
                <w:sz w:val="20"/>
              </w:rPr>
            </w:pPr>
            <w:r>
              <w:rPr>
                <w:rFonts w:hAnsi="宋体" w:cs="宋体"/>
                <w:sz w:val="20"/>
              </w:rPr>
              <w:t>合理采用耐久性好、易维护的装饰装修建筑材料。</w:t>
            </w:r>
          </w:p>
        </w:tc>
        <w:tc>
          <w:tcPr>
            <w:tcW w:w="2134" w:type="pct"/>
            <w:gridSpan w:val="8"/>
            <w:shd w:val="clear" w:color="auto" w:fill="auto"/>
            <w:vAlign w:val="center"/>
          </w:tcPr>
          <w:p>
            <w:pPr>
              <w:widowControl/>
              <w:rPr>
                <w:rFonts w:hAnsi="宋体" w:cs="宋体"/>
                <w:sz w:val="20"/>
              </w:rPr>
            </w:pPr>
            <w:r>
              <w:rPr>
                <w:rFonts w:hAnsi="宋体" w:cs="宋体"/>
                <w:sz w:val="20"/>
              </w:rPr>
              <w:t>采用耐久性好的外饰面材料。</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9</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采用耐久性好的防水和密封材料。</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
                <w:bCs/>
                <w:sz w:val="20"/>
              </w:rPr>
            </w:pPr>
          </w:p>
        </w:tc>
        <w:tc>
          <w:tcPr>
            <w:tcW w:w="2134" w:type="pct"/>
            <w:gridSpan w:val="8"/>
            <w:vAlign w:val="center"/>
          </w:tcPr>
          <w:p>
            <w:pPr>
              <w:widowControl/>
              <w:rPr>
                <w:rFonts w:hAnsi="宋体" w:cs="宋体"/>
                <w:sz w:val="20"/>
              </w:rPr>
            </w:pPr>
            <w:r>
              <w:rPr>
                <w:rFonts w:hAnsi="宋体" w:cs="宋体"/>
                <w:sz w:val="20"/>
              </w:rPr>
              <w:t>采用耐久性好、易维护的室内装饰装修材料。</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restart"/>
            <w:vAlign w:val="center"/>
          </w:tcPr>
          <w:p>
            <w:pPr>
              <w:widowControl/>
              <w:rPr>
                <w:rFonts w:hAnsi="宋体" w:cs="宋体"/>
                <w:b/>
                <w:bCs/>
                <w:sz w:val="20"/>
              </w:rPr>
            </w:pPr>
          </w:p>
          <w:p>
            <w:pPr>
              <w:widowControl/>
              <w:rPr>
                <w:rFonts w:hAnsi="宋体" w:cs="宋体"/>
                <w:b/>
                <w:bCs/>
                <w:sz w:val="20"/>
              </w:rPr>
            </w:pPr>
          </w:p>
          <w:p>
            <w:pPr>
              <w:widowControl/>
              <w:rPr>
                <w:rFonts w:hAnsi="宋体" w:cs="宋体"/>
                <w:b/>
                <w:bCs/>
                <w:sz w:val="20"/>
              </w:rPr>
            </w:pPr>
          </w:p>
          <w:p>
            <w:pPr>
              <w:widowControl/>
              <w:rPr>
                <w:rFonts w:hAnsi="宋体" w:cs="宋体"/>
                <w:b/>
                <w:bCs/>
                <w:sz w:val="20"/>
              </w:rPr>
            </w:pPr>
          </w:p>
          <w:p>
            <w:pPr>
              <w:widowControl/>
              <w:rPr>
                <w:rFonts w:hAnsi="宋体" w:cs="宋体"/>
                <w:b/>
                <w:bCs/>
                <w:sz w:val="20"/>
              </w:rPr>
            </w:pPr>
          </w:p>
          <w:p>
            <w:pPr>
              <w:widowControl/>
              <w:rPr>
                <w:rFonts w:hAnsi="宋体" w:cs="宋体"/>
                <w:b/>
                <w:bCs/>
                <w:sz w:val="20"/>
              </w:rPr>
            </w:pPr>
          </w:p>
          <w:p>
            <w:pPr>
              <w:widowControl/>
              <w:rPr>
                <w:rFonts w:hAnsi="宋体" w:cs="宋体"/>
                <w:b/>
                <w:bCs/>
                <w:sz w:val="20"/>
              </w:rPr>
            </w:pPr>
          </w:p>
          <w:p>
            <w:pPr>
              <w:widowControl/>
              <w:rPr>
                <w:rFonts w:hAnsi="宋体" w:cs="宋体"/>
                <w:b/>
                <w:bCs/>
                <w:sz w:val="20"/>
              </w:rPr>
            </w:pPr>
          </w:p>
          <w:p>
            <w:pPr>
              <w:widowControl/>
              <w:rPr>
                <w:rFonts w:hAnsi="宋体" w:cs="宋体"/>
                <w:b/>
                <w:bCs/>
                <w:sz w:val="20"/>
              </w:rPr>
            </w:pPr>
          </w:p>
          <w:p>
            <w:pPr>
              <w:widowControl/>
              <w:rPr>
                <w:rFonts w:hAnsi="宋体" w:cs="宋体"/>
                <w:b/>
                <w:bCs/>
                <w:sz w:val="20"/>
              </w:rPr>
            </w:pPr>
            <w:r>
              <w:rPr>
                <w:rFonts w:hAnsi="宋体" w:cs="宋体"/>
                <w:b/>
                <w:bCs/>
                <w:sz w:val="20"/>
              </w:rPr>
              <w:t>健康舒适</w:t>
            </w:r>
          </w:p>
        </w:tc>
        <w:tc>
          <w:tcPr>
            <w:tcW w:w="492" w:type="pct"/>
            <w:shd w:val="clear" w:color="auto" w:fill="auto"/>
            <w:noWrap/>
            <w:vAlign w:val="center"/>
          </w:tcPr>
          <w:p>
            <w:pPr>
              <w:widowControl/>
              <w:rPr>
                <w:rFonts w:hAnsi="宋体" w:cs="宋体"/>
                <w:sz w:val="20"/>
              </w:rPr>
            </w:pPr>
            <w:r>
              <w:rPr>
                <w:rFonts w:hAnsi="宋体" w:cs="宋体"/>
                <w:sz w:val="20"/>
              </w:rPr>
              <w:t>5.1.1</w:t>
            </w:r>
          </w:p>
        </w:tc>
        <w:tc>
          <w:tcPr>
            <w:tcW w:w="2646" w:type="pct"/>
            <w:gridSpan w:val="9"/>
            <w:shd w:val="clear" w:color="auto" w:fill="auto"/>
            <w:vAlign w:val="center"/>
          </w:tcPr>
          <w:p>
            <w:pPr>
              <w:rPr>
                <w:rFonts w:hAnsi="宋体" w:cs="宋体"/>
                <w:bCs/>
                <w:sz w:val="20"/>
              </w:rPr>
            </w:pPr>
            <w:r>
              <w:rPr>
                <w:rFonts w:hAnsi="宋体" w:cs="宋体"/>
                <w:bCs/>
                <w:sz w:val="20"/>
              </w:rPr>
              <w:t>室内空气中的氨、甲醛、苯、总挥发性有机物、氡等污染物浓度应符合现行国家标准《室内空气质量标准》GB/T 18883的有关规定。建筑室内和建筑主出入口处应禁止吸烟，并应在醒目位置设置禁烟标志。</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5.1.2</w:t>
            </w:r>
          </w:p>
        </w:tc>
        <w:tc>
          <w:tcPr>
            <w:tcW w:w="2646" w:type="pct"/>
            <w:gridSpan w:val="9"/>
            <w:shd w:val="clear" w:color="auto" w:fill="auto"/>
            <w:vAlign w:val="center"/>
          </w:tcPr>
          <w:p>
            <w:pPr>
              <w:rPr>
                <w:rFonts w:hAnsi="宋体" w:cs="宋体"/>
                <w:bCs/>
                <w:sz w:val="20"/>
              </w:rPr>
            </w:pPr>
            <w:r>
              <w:rPr>
                <w:rFonts w:hAnsi="宋体" w:cs="宋体"/>
                <w:bCs/>
                <w:sz w:val="20"/>
              </w:rPr>
              <w:t>应采取措施避免厨房、餐厅、打印复印室、卫生间、地下车库等区域的空气和污染物串通到其他空间；应防止厨房、卫生间的排气倒灌。</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5.1.3</w:t>
            </w:r>
          </w:p>
        </w:tc>
        <w:tc>
          <w:tcPr>
            <w:tcW w:w="512" w:type="pct"/>
            <w:vMerge w:val="restart"/>
            <w:shd w:val="clear" w:color="auto" w:fill="auto"/>
            <w:vAlign w:val="center"/>
          </w:tcPr>
          <w:p>
            <w:pPr>
              <w:rPr>
                <w:rFonts w:hAnsi="宋体" w:cs="宋体"/>
                <w:bCs/>
                <w:sz w:val="20"/>
              </w:rPr>
            </w:pPr>
            <w:r>
              <w:rPr>
                <w:rFonts w:hAnsi="宋体" w:cs="宋体"/>
                <w:bCs/>
                <w:sz w:val="20"/>
              </w:rPr>
              <w:t>给排水系统的设置应符合下列规定</w:t>
            </w:r>
          </w:p>
        </w:tc>
        <w:tc>
          <w:tcPr>
            <w:tcW w:w="2134" w:type="pct"/>
            <w:gridSpan w:val="8"/>
            <w:shd w:val="clear" w:color="auto" w:fill="auto"/>
            <w:vAlign w:val="center"/>
          </w:tcPr>
          <w:p>
            <w:pPr>
              <w:rPr>
                <w:rFonts w:hAnsi="宋体" w:cs="宋体"/>
                <w:bCs/>
                <w:sz w:val="20"/>
              </w:rPr>
            </w:pPr>
            <w:r>
              <w:rPr>
                <w:rFonts w:hAnsi="宋体" w:cs="宋体"/>
                <w:bCs/>
                <w:sz w:val="20"/>
              </w:rPr>
              <w:t>生活饮用水水质应满足现行国家标准《生活饮用水卫生标准》GB 5749的要求；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应制定水池、水箱等储水设施定期清洗消毒计划并实施，且生活饮用水储水设施每半年清洗消毒应不少于1次；</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应使用构造内自带水封的便器，且其水封深度不应小于50mm；</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非传统水源管道和设备应设置明确、清晰的永久性标识。</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5.1.4</w:t>
            </w:r>
          </w:p>
        </w:tc>
        <w:tc>
          <w:tcPr>
            <w:tcW w:w="512" w:type="pct"/>
            <w:vMerge w:val="restart"/>
            <w:shd w:val="clear" w:color="auto" w:fill="auto"/>
            <w:vAlign w:val="center"/>
          </w:tcPr>
          <w:p>
            <w:pPr>
              <w:rPr>
                <w:rFonts w:hAnsi="宋体" w:cs="宋体"/>
                <w:bCs/>
                <w:sz w:val="20"/>
              </w:rPr>
            </w:pPr>
            <w:r>
              <w:rPr>
                <w:rFonts w:hAnsi="宋体" w:cs="宋体"/>
                <w:bCs/>
                <w:sz w:val="20"/>
              </w:rPr>
              <w:t>主要功能房间的室内噪声级和隔声性能应符合下列规定</w:t>
            </w:r>
          </w:p>
        </w:tc>
        <w:tc>
          <w:tcPr>
            <w:tcW w:w="2134" w:type="pct"/>
            <w:gridSpan w:val="8"/>
            <w:shd w:val="clear" w:color="auto" w:fill="auto"/>
            <w:vAlign w:val="center"/>
          </w:tcPr>
          <w:p>
            <w:pPr>
              <w:rPr>
                <w:rFonts w:hAnsi="宋体" w:cs="宋体"/>
                <w:bCs/>
                <w:sz w:val="20"/>
              </w:rPr>
            </w:pPr>
            <w:r>
              <w:rPr>
                <w:rFonts w:hAnsi="宋体" w:cs="宋体"/>
                <w:bCs/>
                <w:sz w:val="20"/>
              </w:rPr>
              <w:t>室内噪声级应满足现行国家标准《民用建筑隔声设计规范》GB 50118中的低限要求；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外墙、隔墙、楼板和门窗的隔声性能应满足现行国家标准《民用建筑隔声设计规范》GB50118中的低限要求。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5.1.5</w:t>
            </w:r>
          </w:p>
        </w:tc>
        <w:tc>
          <w:tcPr>
            <w:tcW w:w="512" w:type="pct"/>
            <w:vMerge w:val="restart"/>
            <w:shd w:val="clear" w:color="auto" w:fill="auto"/>
            <w:vAlign w:val="center"/>
          </w:tcPr>
          <w:p>
            <w:pPr>
              <w:rPr>
                <w:rFonts w:hAnsi="宋体" w:cs="宋体"/>
                <w:bCs/>
                <w:sz w:val="20"/>
              </w:rPr>
            </w:pPr>
            <w:r>
              <w:rPr>
                <w:rFonts w:hAnsi="宋体" w:cs="宋体"/>
                <w:bCs/>
                <w:sz w:val="20"/>
              </w:rPr>
              <w:t>建筑照明应符合下列规定：</w:t>
            </w:r>
          </w:p>
        </w:tc>
        <w:tc>
          <w:tcPr>
            <w:tcW w:w="2134" w:type="pct"/>
            <w:gridSpan w:val="8"/>
            <w:shd w:val="clear" w:color="auto" w:fill="auto"/>
            <w:vAlign w:val="center"/>
          </w:tcPr>
          <w:p>
            <w:pPr>
              <w:rPr>
                <w:rFonts w:hAnsi="宋体" w:cs="宋体"/>
                <w:bCs/>
                <w:sz w:val="20"/>
              </w:rPr>
            </w:pPr>
            <w:r>
              <w:rPr>
                <w:rFonts w:hAnsi="宋体" w:cs="宋体"/>
                <w:bCs/>
                <w:sz w:val="20"/>
              </w:rPr>
              <w:t>照明数量和质量应符合现行国家标准《建筑照明设计标准》GB 50034的规定；</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人员长期停留的场所应采用符合现行国家标准《灯和灯系统的光生物安全性》GB/T 20145规定的无危险类照明产品；</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选用LED照明产品的光输出波形的波动深度应满足现行国家标准《LED室内照明应用技术要求》GB/T 31831的规定。</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5.1.6</w:t>
            </w:r>
          </w:p>
        </w:tc>
        <w:tc>
          <w:tcPr>
            <w:tcW w:w="2646" w:type="pct"/>
            <w:gridSpan w:val="9"/>
            <w:shd w:val="clear" w:color="auto" w:fill="auto"/>
            <w:vAlign w:val="center"/>
          </w:tcPr>
          <w:p>
            <w:pPr>
              <w:rPr>
                <w:rFonts w:hAnsi="宋体" w:cs="宋体"/>
                <w:bCs/>
                <w:sz w:val="20"/>
              </w:rPr>
            </w:pPr>
            <w:r>
              <w:rPr>
                <w:rFonts w:hAnsi="宋体" w:cs="宋体"/>
                <w:bCs/>
                <w:sz w:val="20"/>
              </w:rPr>
              <w:t>应采取措施保障室内热环境。采用集中供暖空调系统的建筑，房间内的温度、湿度、新风量等设计参数应符合现行国家标准《民用建筑供暖通风与空气调节设计规范》GB 50736的有关规定；采用非集中供暖空调系统的建筑，应具有保障室内热环境的措施或预留条件。</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5.1.7</w:t>
            </w:r>
          </w:p>
        </w:tc>
        <w:tc>
          <w:tcPr>
            <w:tcW w:w="512" w:type="pct"/>
            <w:vMerge w:val="restart"/>
            <w:shd w:val="clear" w:color="auto" w:fill="auto"/>
            <w:vAlign w:val="center"/>
          </w:tcPr>
          <w:p>
            <w:pPr>
              <w:rPr>
                <w:rFonts w:hAnsi="宋体" w:cs="宋体"/>
                <w:bCs/>
                <w:sz w:val="20"/>
              </w:rPr>
            </w:pPr>
            <w:r>
              <w:rPr>
                <w:rFonts w:hAnsi="宋体" w:cs="宋体"/>
                <w:bCs/>
                <w:sz w:val="20"/>
              </w:rPr>
              <w:t>围护结构热工性能应符合下列规定：</w:t>
            </w:r>
          </w:p>
        </w:tc>
        <w:tc>
          <w:tcPr>
            <w:tcW w:w="2134" w:type="pct"/>
            <w:gridSpan w:val="8"/>
            <w:shd w:val="clear" w:color="auto" w:fill="auto"/>
            <w:vAlign w:val="center"/>
          </w:tcPr>
          <w:p>
            <w:pPr>
              <w:rPr>
                <w:rFonts w:hAnsi="宋体" w:cs="宋体"/>
                <w:bCs/>
                <w:sz w:val="20"/>
              </w:rPr>
            </w:pPr>
            <w:r>
              <w:rPr>
                <w:rFonts w:hAnsi="宋体" w:cs="宋体"/>
                <w:bCs/>
                <w:sz w:val="20"/>
              </w:rPr>
              <w:t>在室内设计温度、湿度条件下，建筑非透光围护结构内表面不得结露；</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供暖建筑的屋面、外墙内部不应产生冷凝；</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屋顶和外墙隔热性能应满足现行国家标准《民用建筑热工设计规范》GB 50176的要求。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5.1.8</w:t>
            </w:r>
          </w:p>
        </w:tc>
        <w:tc>
          <w:tcPr>
            <w:tcW w:w="2646" w:type="pct"/>
            <w:gridSpan w:val="9"/>
            <w:shd w:val="clear" w:color="auto" w:fill="auto"/>
            <w:vAlign w:val="center"/>
          </w:tcPr>
          <w:p>
            <w:pPr>
              <w:rPr>
                <w:rFonts w:hAnsi="宋体" w:cs="宋体"/>
                <w:bCs/>
                <w:sz w:val="20"/>
              </w:rPr>
            </w:pPr>
            <w:r>
              <w:rPr>
                <w:rFonts w:hAnsi="宋体" w:cs="宋体"/>
                <w:bCs/>
                <w:sz w:val="20"/>
              </w:rPr>
              <w:t>主要功能房间应具有现场独立控制的热环境调节装置。</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5.1.9</w:t>
            </w:r>
          </w:p>
        </w:tc>
        <w:tc>
          <w:tcPr>
            <w:tcW w:w="2646" w:type="pct"/>
            <w:gridSpan w:val="9"/>
            <w:shd w:val="clear" w:color="auto" w:fill="auto"/>
            <w:vAlign w:val="center"/>
          </w:tcPr>
          <w:p>
            <w:pPr>
              <w:rPr>
                <w:rFonts w:hAnsi="宋体" w:cs="宋体"/>
                <w:bCs/>
                <w:sz w:val="20"/>
              </w:rPr>
            </w:pPr>
            <w:r>
              <w:rPr>
                <w:rFonts w:hAnsi="宋体" w:cs="宋体"/>
                <w:bCs/>
                <w:sz w:val="20"/>
              </w:rPr>
              <w:t>地下车库应设置与排风设备联动的一氧化碳浓度监测装置。</w:t>
            </w:r>
          </w:p>
        </w:tc>
        <w:tc>
          <w:tcPr>
            <w:tcW w:w="766" w:type="pct"/>
            <w:gridSpan w:val="2"/>
            <w:vAlign w:val="center"/>
          </w:tcPr>
          <w:p>
            <w:pPr>
              <w:widowControl/>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5.2.1</w:t>
            </w:r>
          </w:p>
        </w:tc>
        <w:tc>
          <w:tcPr>
            <w:tcW w:w="512" w:type="pct"/>
            <w:vMerge w:val="restart"/>
            <w:shd w:val="clear" w:color="auto" w:fill="auto"/>
            <w:vAlign w:val="center"/>
          </w:tcPr>
          <w:p>
            <w:pPr>
              <w:rPr>
                <w:rFonts w:hAnsi="宋体" w:cs="宋体"/>
                <w:bCs/>
                <w:sz w:val="20"/>
              </w:rPr>
            </w:pPr>
            <w:r>
              <w:rPr>
                <w:rFonts w:hAnsi="宋体" w:cs="宋体"/>
                <w:bCs/>
                <w:sz w:val="20"/>
              </w:rPr>
              <w:t>控制室内主要空气污染物的浓度。</w:t>
            </w:r>
          </w:p>
        </w:tc>
        <w:tc>
          <w:tcPr>
            <w:tcW w:w="2134" w:type="pct"/>
            <w:gridSpan w:val="8"/>
            <w:shd w:val="clear" w:color="auto" w:fill="auto"/>
            <w:vAlign w:val="center"/>
          </w:tcPr>
          <w:p>
            <w:pPr>
              <w:rPr>
                <w:rFonts w:hAnsi="宋体" w:cs="宋体"/>
                <w:bCs/>
                <w:sz w:val="20"/>
              </w:rPr>
            </w:pPr>
            <w:r>
              <w:rPr>
                <w:rFonts w:hAnsi="宋体" w:cs="宋体"/>
                <w:bCs/>
                <w:sz w:val="20"/>
              </w:rPr>
              <w:t>氨、甲醛、苯、总挥发性有机物、氡等污染物浓度低于现行国家标准《室内空气质量标准》GB/T 18883规定限值10%，得3分；低于20%，得6分。</w:t>
            </w:r>
          </w:p>
        </w:tc>
        <w:tc>
          <w:tcPr>
            <w:tcW w:w="391" w:type="pct"/>
            <w:vAlign w:val="center"/>
          </w:tcPr>
          <w:p>
            <w:pPr>
              <w:widowControl/>
              <w:jc w:val="center"/>
              <w:rPr>
                <w:rFonts w:hAnsi="宋体" w:cs="宋体"/>
                <w:b/>
                <w:bCs/>
                <w:sz w:val="20"/>
              </w:rPr>
            </w:pPr>
            <w:r>
              <w:rPr>
                <w:rFonts w:hAnsi="宋体" w:cs="宋体"/>
                <w:b/>
                <w:bCs/>
                <w:sz w:val="20"/>
              </w:rPr>
              <w:t>6</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12</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室内PM</w:t>
            </w:r>
            <w:r>
              <w:rPr>
                <w:rFonts w:hAnsi="宋体" w:cs="宋体"/>
                <w:bCs/>
                <w:sz w:val="20"/>
                <w:vertAlign w:val="subscript"/>
              </w:rPr>
              <w:t>2.5</w:t>
            </w:r>
            <w:r>
              <w:rPr>
                <w:rFonts w:hAnsi="宋体" w:cs="宋体"/>
                <w:bCs/>
                <w:sz w:val="20"/>
              </w:rPr>
              <w:t>年均浓度不高于25ug/m</w:t>
            </w:r>
            <w:r>
              <w:rPr>
                <w:rFonts w:hAnsi="宋体" w:cs="宋体"/>
                <w:bCs/>
                <w:sz w:val="20"/>
                <w:vertAlign w:val="superscript"/>
              </w:rPr>
              <w:t>3</w:t>
            </w:r>
            <w:r>
              <w:rPr>
                <w:rFonts w:hAnsi="宋体" w:cs="宋体"/>
                <w:bCs/>
                <w:sz w:val="20"/>
              </w:rPr>
              <w:t>，且室内PM</w:t>
            </w:r>
            <w:r>
              <w:rPr>
                <w:rFonts w:hAnsi="宋体" w:cs="宋体"/>
                <w:bCs/>
                <w:sz w:val="20"/>
                <w:vertAlign w:val="subscript"/>
              </w:rPr>
              <w:t>10</w:t>
            </w:r>
            <w:r>
              <w:rPr>
                <w:rFonts w:hAnsi="宋体" w:cs="宋体"/>
                <w:bCs/>
                <w:sz w:val="20"/>
              </w:rPr>
              <w:t>年均浓度不高于50ug/m</w:t>
            </w:r>
            <w:r>
              <w:rPr>
                <w:rFonts w:hAnsi="宋体" w:cs="宋体"/>
                <w:bCs/>
                <w:sz w:val="20"/>
                <w:vertAlign w:val="superscript"/>
              </w:rPr>
              <w:t>3</w:t>
            </w:r>
            <w:r>
              <w:rPr>
                <w:rFonts w:hAnsi="宋体" w:cs="宋体"/>
                <w:bCs/>
                <w:sz w:val="20"/>
              </w:rPr>
              <w:t>。</w:t>
            </w:r>
          </w:p>
        </w:tc>
        <w:tc>
          <w:tcPr>
            <w:tcW w:w="391" w:type="pct"/>
            <w:vAlign w:val="center"/>
          </w:tcPr>
          <w:p>
            <w:pPr>
              <w:widowControl/>
              <w:jc w:val="center"/>
              <w:rPr>
                <w:rFonts w:hAnsi="宋体" w:cs="宋体"/>
                <w:b/>
                <w:bCs/>
                <w:sz w:val="20"/>
              </w:rPr>
            </w:pPr>
            <w:r>
              <w:rPr>
                <w:rFonts w:hAnsi="宋体" w:cs="宋体"/>
                <w:b/>
                <w:bCs/>
                <w:sz w:val="20"/>
              </w:rPr>
              <w:t>6</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5.2.2</w:t>
            </w:r>
          </w:p>
        </w:tc>
        <w:tc>
          <w:tcPr>
            <w:tcW w:w="2646" w:type="pct"/>
            <w:gridSpan w:val="9"/>
            <w:shd w:val="clear" w:color="auto" w:fill="auto"/>
            <w:vAlign w:val="center"/>
          </w:tcPr>
          <w:p>
            <w:pPr>
              <w:rPr>
                <w:rFonts w:hAnsi="宋体" w:cs="宋体"/>
                <w:b/>
                <w:bCs/>
                <w:sz w:val="20"/>
              </w:rPr>
            </w:pPr>
            <w:r>
              <w:rPr>
                <w:rFonts w:hAnsi="宋体" w:cs="宋体"/>
                <w:bCs/>
                <w:sz w:val="20"/>
              </w:rPr>
              <w:t>选用的装饰装修材料满足国家现行绿色产品评价标准中对有害物质限量的要求。</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5.2.3</w:t>
            </w:r>
          </w:p>
        </w:tc>
        <w:tc>
          <w:tcPr>
            <w:tcW w:w="512" w:type="pct"/>
            <w:vMerge w:val="restart"/>
            <w:shd w:val="clear" w:color="auto" w:fill="auto"/>
            <w:vAlign w:val="center"/>
          </w:tcPr>
          <w:p>
            <w:pPr>
              <w:rPr>
                <w:rFonts w:hAnsi="宋体" w:cs="宋体"/>
                <w:bCs/>
                <w:sz w:val="20"/>
              </w:rPr>
            </w:pPr>
            <w:r>
              <w:rPr>
                <w:rFonts w:hAnsi="宋体" w:cs="宋体"/>
                <w:bCs/>
                <w:sz w:val="20"/>
              </w:rPr>
              <w:t>水质满足国标要求</w:t>
            </w:r>
          </w:p>
        </w:tc>
        <w:tc>
          <w:tcPr>
            <w:tcW w:w="2134" w:type="pct"/>
            <w:gridSpan w:val="8"/>
            <w:shd w:val="clear" w:color="auto" w:fill="auto"/>
            <w:vAlign w:val="center"/>
          </w:tcPr>
          <w:p>
            <w:pPr>
              <w:rPr>
                <w:rFonts w:hAnsi="宋体" w:cs="宋体"/>
                <w:bCs/>
                <w:sz w:val="20"/>
              </w:rPr>
            </w:pPr>
            <w:r>
              <w:rPr>
                <w:rFonts w:hAnsi="宋体" w:cs="宋体"/>
                <w:bCs/>
                <w:sz w:val="20"/>
              </w:rPr>
              <w:t>水质满足国家现行有关标准的要求。</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除生活饮用水供水系统，未设置其他供水系统时，直接得分。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5.2.4</w:t>
            </w:r>
          </w:p>
        </w:tc>
        <w:tc>
          <w:tcPr>
            <w:tcW w:w="512" w:type="pct"/>
            <w:vMerge w:val="restart"/>
            <w:shd w:val="clear" w:color="auto" w:fill="auto"/>
            <w:vAlign w:val="center"/>
          </w:tcPr>
          <w:p>
            <w:pPr>
              <w:rPr>
                <w:rFonts w:hAnsi="宋体" w:cs="宋体"/>
                <w:bCs/>
                <w:sz w:val="20"/>
              </w:rPr>
            </w:pPr>
            <w:r>
              <w:rPr>
                <w:rFonts w:hAnsi="宋体" w:cs="宋体"/>
                <w:bCs/>
                <w:sz w:val="20"/>
              </w:rPr>
              <w:t>储水设施采取措施满足卫生要求</w:t>
            </w:r>
          </w:p>
        </w:tc>
        <w:tc>
          <w:tcPr>
            <w:tcW w:w="2134" w:type="pct"/>
            <w:gridSpan w:val="8"/>
            <w:shd w:val="clear" w:color="auto" w:fill="auto"/>
            <w:vAlign w:val="center"/>
          </w:tcPr>
          <w:p>
            <w:pPr>
              <w:rPr>
                <w:rFonts w:hAnsi="宋体" w:cs="宋体"/>
                <w:bCs/>
                <w:sz w:val="20"/>
              </w:rPr>
            </w:pPr>
            <w:r>
              <w:rPr>
                <w:rFonts w:hAnsi="宋体" w:cs="宋体"/>
                <w:bCs/>
                <w:sz w:val="20"/>
              </w:rPr>
              <w:t>使用符合国家现行标准要求的成品水箱。</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9</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bCs/>
                <w:sz w:val="20"/>
              </w:rPr>
            </w:pPr>
            <w:r>
              <w:rPr>
                <w:rFonts w:hAnsi="宋体" w:cs="宋体"/>
                <w:bCs/>
                <w:sz w:val="20"/>
              </w:rPr>
              <w:t>采取保证储水不变质的措施。</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bCs/>
                <w:sz w:val="20"/>
              </w:rPr>
            </w:pPr>
            <w:r>
              <w:rPr>
                <w:rFonts w:hAnsi="宋体" w:cs="宋体"/>
                <w:bCs/>
                <w:sz w:val="20"/>
              </w:rPr>
              <w:t>未设置生活饮用水储水设施直接得分。</w:t>
            </w:r>
          </w:p>
        </w:tc>
        <w:tc>
          <w:tcPr>
            <w:tcW w:w="391" w:type="pct"/>
            <w:vAlign w:val="center"/>
          </w:tcPr>
          <w:p>
            <w:pPr>
              <w:widowControl/>
              <w:jc w:val="center"/>
              <w:rPr>
                <w:rFonts w:hAnsi="宋体" w:cs="宋体"/>
                <w:b/>
                <w:bCs/>
                <w:sz w:val="20"/>
              </w:rPr>
            </w:pPr>
            <w:r>
              <w:rPr>
                <w:rFonts w:hAnsi="宋体" w:cs="宋体"/>
                <w:b/>
                <w:bCs/>
                <w:sz w:val="20"/>
              </w:rPr>
              <w:t>9</w:t>
            </w:r>
          </w:p>
        </w:tc>
        <w:tc>
          <w:tcPr>
            <w:tcW w:w="375" w:type="pct"/>
            <w:vMerge w:val="continue"/>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5.2.5</w:t>
            </w:r>
          </w:p>
        </w:tc>
        <w:tc>
          <w:tcPr>
            <w:tcW w:w="2646" w:type="pct"/>
            <w:gridSpan w:val="9"/>
            <w:shd w:val="clear" w:color="auto" w:fill="auto"/>
            <w:vAlign w:val="center"/>
          </w:tcPr>
          <w:p>
            <w:pPr>
              <w:rPr>
                <w:rFonts w:hAnsi="宋体" w:cs="宋体"/>
                <w:bCs/>
                <w:sz w:val="20"/>
              </w:rPr>
            </w:pPr>
            <w:r>
              <w:rPr>
                <w:rFonts w:hAnsi="宋体" w:cs="宋体"/>
                <w:bCs/>
                <w:sz w:val="20"/>
              </w:rPr>
              <w:t>所有给排水管道、设备、设施设置明确、清晰的永久性标识。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5.2.6</w:t>
            </w:r>
          </w:p>
        </w:tc>
        <w:tc>
          <w:tcPr>
            <w:tcW w:w="2646" w:type="pct"/>
            <w:gridSpan w:val="9"/>
            <w:shd w:val="clear" w:color="auto" w:fill="auto"/>
            <w:vAlign w:val="center"/>
          </w:tcPr>
          <w:p>
            <w:pPr>
              <w:rPr>
                <w:rFonts w:hAnsi="宋体" w:cs="宋体"/>
                <w:bCs/>
                <w:sz w:val="20"/>
              </w:rPr>
            </w:pPr>
            <w:r>
              <w:rPr>
                <w:rFonts w:hAnsi="宋体" w:cs="宋体"/>
                <w:bCs/>
                <w:sz w:val="20"/>
              </w:rPr>
              <w:t>采取措施优化主要功能房间的室内声环境，噪声级达到现行国家标准《民用建筑隔声设计规范》GB 50118中的低限标准限值和高要求标准限值的平均值，得4分；达到高要求标准限值8分。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5.2.7</w:t>
            </w:r>
          </w:p>
        </w:tc>
        <w:tc>
          <w:tcPr>
            <w:tcW w:w="512" w:type="pct"/>
            <w:vMerge w:val="restart"/>
            <w:shd w:val="clear" w:color="auto" w:fill="auto"/>
            <w:vAlign w:val="center"/>
          </w:tcPr>
          <w:p>
            <w:pPr>
              <w:widowControl/>
              <w:rPr>
                <w:rFonts w:hAnsi="宋体" w:cs="宋体"/>
                <w:b/>
                <w:bCs/>
                <w:sz w:val="20"/>
              </w:rPr>
            </w:pPr>
            <w:r>
              <w:rPr>
                <w:rFonts w:hAnsi="宋体" w:cs="宋体"/>
                <w:sz w:val="20"/>
              </w:rPr>
              <w:t>主要功能房间的隔声性能良好。</w:t>
            </w:r>
          </w:p>
        </w:tc>
        <w:tc>
          <w:tcPr>
            <w:tcW w:w="2134" w:type="pct"/>
            <w:gridSpan w:val="8"/>
            <w:shd w:val="clear" w:color="auto" w:fill="auto"/>
            <w:vAlign w:val="center"/>
          </w:tcPr>
          <w:p>
            <w:pPr>
              <w:rPr>
                <w:rFonts w:hAnsi="宋体" w:cs="宋体"/>
                <w:bCs/>
                <w:sz w:val="20"/>
              </w:rPr>
            </w:pPr>
            <w:r>
              <w:rPr>
                <w:rFonts w:hAnsi="宋体" w:cs="宋体"/>
                <w:bCs/>
                <w:sz w:val="20"/>
              </w:rPr>
              <w:t>构件及相邻房间之间的空气声隔声性能：高于低限标准限值和高要求标准限值的平均值，得3分；高要求标准限值，得5分。</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bCs/>
                <w:sz w:val="20"/>
              </w:rPr>
            </w:pPr>
            <w:r>
              <w:rPr>
                <w:rFonts w:hAnsi="宋体" w:cs="宋体"/>
                <w:bCs/>
                <w:sz w:val="20"/>
              </w:rPr>
              <w:t>楼板的撞击声隔声性能：高于低限标准限值和高要求标准限值的平均值，得3分；高要求标准限值，得5分。</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5.2.8</w:t>
            </w:r>
          </w:p>
        </w:tc>
        <w:tc>
          <w:tcPr>
            <w:tcW w:w="512" w:type="pct"/>
            <w:vMerge w:val="restart"/>
            <w:shd w:val="clear" w:color="auto" w:fill="auto"/>
            <w:vAlign w:val="center"/>
          </w:tcPr>
          <w:p>
            <w:pPr>
              <w:rPr>
                <w:rFonts w:hAnsi="宋体" w:cs="宋体"/>
                <w:bCs/>
                <w:sz w:val="20"/>
              </w:rPr>
            </w:pPr>
            <w:r>
              <w:rPr>
                <w:rFonts w:hAnsi="宋体" w:cs="宋体"/>
                <w:bCs/>
                <w:sz w:val="20"/>
              </w:rPr>
              <w:t>充分利用天然光</w:t>
            </w:r>
          </w:p>
        </w:tc>
        <w:tc>
          <w:tcPr>
            <w:tcW w:w="327" w:type="pct"/>
            <w:gridSpan w:val="4"/>
            <w:shd w:val="clear" w:color="auto" w:fill="auto"/>
            <w:vAlign w:val="center"/>
          </w:tcPr>
          <w:p>
            <w:pPr>
              <w:jc w:val="center"/>
              <w:rPr>
                <w:rFonts w:hAnsi="宋体" w:cs="宋体"/>
                <w:bCs/>
                <w:sz w:val="20"/>
              </w:rPr>
            </w:pPr>
            <w:r>
              <w:rPr>
                <w:rFonts w:hAnsi="宋体" w:cs="宋体"/>
                <w:bCs/>
                <w:sz w:val="20"/>
              </w:rPr>
              <w:t>住宅建筑</w:t>
            </w:r>
          </w:p>
        </w:tc>
        <w:tc>
          <w:tcPr>
            <w:tcW w:w="1807" w:type="pct"/>
            <w:gridSpan w:val="4"/>
            <w:shd w:val="clear" w:color="auto" w:fill="auto"/>
            <w:vAlign w:val="center"/>
          </w:tcPr>
          <w:p>
            <w:pPr>
              <w:rPr>
                <w:rFonts w:hAnsi="宋体" w:cs="宋体"/>
                <w:bCs/>
                <w:sz w:val="20"/>
              </w:rPr>
            </w:pPr>
            <w:r>
              <w:rPr>
                <w:rFonts w:hAnsi="宋体" w:cs="宋体"/>
                <w:bCs/>
                <w:sz w:val="20"/>
              </w:rPr>
              <w:t>主要功能空间至少60%面积比例区域采光照度值不低于300lx的小时数平均不少于8h/d。</w:t>
            </w:r>
          </w:p>
        </w:tc>
        <w:tc>
          <w:tcPr>
            <w:tcW w:w="391" w:type="pct"/>
            <w:vAlign w:val="center"/>
          </w:tcPr>
          <w:p>
            <w:pPr>
              <w:widowControl/>
              <w:jc w:val="center"/>
              <w:rPr>
                <w:rFonts w:hAnsi="宋体" w:cs="宋体"/>
                <w:b/>
                <w:bCs/>
                <w:sz w:val="20"/>
              </w:rPr>
            </w:pPr>
            <w:r>
              <w:rPr>
                <w:rFonts w:hAnsi="宋体" w:cs="宋体"/>
                <w:b/>
                <w:bCs/>
                <w:sz w:val="20"/>
              </w:rPr>
              <w:t>9</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12</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
                <w:bCs/>
                <w:sz w:val="20"/>
              </w:rPr>
            </w:pPr>
          </w:p>
        </w:tc>
        <w:tc>
          <w:tcPr>
            <w:tcW w:w="327" w:type="pct"/>
            <w:gridSpan w:val="4"/>
            <w:vMerge w:val="restart"/>
            <w:vAlign w:val="center"/>
          </w:tcPr>
          <w:p>
            <w:pPr>
              <w:jc w:val="center"/>
              <w:rPr>
                <w:rFonts w:hAnsi="宋体" w:cs="宋体"/>
                <w:b/>
                <w:bCs/>
                <w:sz w:val="20"/>
              </w:rPr>
            </w:pPr>
            <w:r>
              <w:rPr>
                <w:rFonts w:hAnsi="宋体" w:cs="宋体"/>
                <w:bCs/>
                <w:sz w:val="20"/>
              </w:rPr>
              <w:t>公共建筑</w:t>
            </w:r>
          </w:p>
        </w:tc>
        <w:tc>
          <w:tcPr>
            <w:tcW w:w="1807" w:type="pct"/>
            <w:gridSpan w:val="4"/>
            <w:vAlign w:val="center"/>
          </w:tcPr>
          <w:p>
            <w:pPr>
              <w:rPr>
                <w:rFonts w:hAnsi="宋体" w:cs="宋体"/>
                <w:bCs/>
                <w:sz w:val="20"/>
              </w:rPr>
            </w:pPr>
            <w:r>
              <w:rPr>
                <w:rFonts w:hAnsi="宋体" w:cs="宋体"/>
                <w:bCs/>
                <w:sz w:val="20"/>
              </w:rPr>
              <w:t>内区采光系数满足采光要求的面积比例达到60%。</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327" w:type="pct"/>
            <w:gridSpan w:val="4"/>
            <w:vMerge w:val="continue"/>
            <w:vAlign w:val="center"/>
          </w:tcPr>
          <w:p>
            <w:pPr>
              <w:widowControl/>
              <w:rPr>
                <w:rFonts w:hAnsi="宋体" w:cs="宋体"/>
                <w:b/>
                <w:bCs/>
                <w:sz w:val="20"/>
              </w:rPr>
            </w:pPr>
          </w:p>
        </w:tc>
        <w:tc>
          <w:tcPr>
            <w:tcW w:w="1807" w:type="pct"/>
            <w:gridSpan w:val="4"/>
            <w:vAlign w:val="center"/>
          </w:tcPr>
          <w:p>
            <w:pPr>
              <w:rPr>
                <w:rFonts w:hAnsi="宋体" w:cs="宋体"/>
                <w:bCs/>
                <w:sz w:val="20"/>
              </w:rPr>
            </w:pPr>
            <w:r>
              <w:rPr>
                <w:rFonts w:hAnsi="宋体" w:cs="宋体"/>
                <w:bCs/>
                <w:sz w:val="20"/>
              </w:rPr>
              <w:t>地下空间平均采光系数≥0.5%的面积与首层地下室面积的比例达到10%以上。</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327" w:type="pct"/>
            <w:gridSpan w:val="4"/>
            <w:vMerge w:val="continue"/>
            <w:vAlign w:val="center"/>
          </w:tcPr>
          <w:p>
            <w:pPr>
              <w:widowControl/>
              <w:rPr>
                <w:rFonts w:hAnsi="宋体" w:cs="宋体"/>
                <w:b/>
                <w:bCs/>
                <w:sz w:val="20"/>
              </w:rPr>
            </w:pPr>
          </w:p>
        </w:tc>
        <w:tc>
          <w:tcPr>
            <w:tcW w:w="1807" w:type="pct"/>
            <w:gridSpan w:val="4"/>
            <w:vAlign w:val="center"/>
          </w:tcPr>
          <w:p>
            <w:pPr>
              <w:rPr>
                <w:rFonts w:hAnsi="宋体" w:cs="宋体"/>
                <w:bCs/>
                <w:sz w:val="20"/>
              </w:rPr>
            </w:pPr>
            <w:r>
              <w:rPr>
                <w:rFonts w:hAnsi="宋体" w:cs="宋体"/>
                <w:bCs/>
                <w:sz w:val="20"/>
              </w:rPr>
              <w:t>主要功能空间至少60%面积比例区域采光照度值不低于采光要求的小时数平均不少于4h/d。</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b/>
                <w:bCs/>
                <w:sz w:val="20"/>
              </w:rPr>
            </w:pPr>
            <w:r>
              <w:rPr>
                <w:rFonts w:hAnsi="宋体" w:cs="宋体"/>
                <w:bCs/>
                <w:sz w:val="20"/>
              </w:rPr>
              <w:t>主要功能房间有眩光控制措施。</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000000" w:fill="FFFFFF"/>
            <w:vAlign w:val="center"/>
          </w:tcPr>
          <w:p>
            <w:pPr>
              <w:widowControl/>
              <w:rPr>
                <w:rFonts w:hAnsi="宋体" w:cs="宋体"/>
                <w:sz w:val="20"/>
              </w:rPr>
            </w:pPr>
          </w:p>
        </w:tc>
        <w:tc>
          <w:tcPr>
            <w:tcW w:w="492" w:type="pct"/>
            <w:vMerge w:val="restart"/>
            <w:shd w:val="clear" w:color="000000" w:fill="FFFFFF"/>
            <w:noWrap/>
            <w:vAlign w:val="center"/>
          </w:tcPr>
          <w:p>
            <w:pPr>
              <w:widowControl/>
              <w:rPr>
                <w:rFonts w:hAnsi="宋体" w:cs="宋体"/>
                <w:sz w:val="20"/>
              </w:rPr>
            </w:pPr>
            <w:r>
              <w:rPr>
                <w:rFonts w:hAnsi="宋体" w:cs="宋体"/>
                <w:sz w:val="20"/>
              </w:rPr>
              <w:t>5.2.9</w:t>
            </w:r>
          </w:p>
        </w:tc>
        <w:tc>
          <w:tcPr>
            <w:tcW w:w="512" w:type="pct"/>
            <w:vMerge w:val="restart"/>
            <w:shd w:val="clear" w:color="auto" w:fill="auto"/>
            <w:vAlign w:val="center"/>
          </w:tcPr>
          <w:p>
            <w:pPr>
              <w:rPr>
                <w:rFonts w:hAnsi="宋体" w:cs="宋体"/>
                <w:b/>
                <w:bCs/>
                <w:sz w:val="20"/>
              </w:rPr>
            </w:pPr>
            <w:r>
              <w:rPr>
                <w:rFonts w:hAnsi="宋体" w:cs="宋体"/>
                <w:bCs/>
                <w:sz w:val="20"/>
              </w:rPr>
              <w:t>具有良好的室内热湿环境</w:t>
            </w:r>
          </w:p>
        </w:tc>
        <w:tc>
          <w:tcPr>
            <w:tcW w:w="2134" w:type="pct"/>
            <w:gridSpan w:val="8"/>
            <w:shd w:val="clear" w:color="auto" w:fill="auto"/>
            <w:vAlign w:val="center"/>
          </w:tcPr>
          <w:p>
            <w:pPr>
              <w:rPr>
                <w:rFonts w:hAnsi="宋体" w:cs="宋体"/>
                <w:bCs/>
                <w:sz w:val="20"/>
              </w:rPr>
            </w:pPr>
            <w:r>
              <w:rPr>
                <w:rFonts w:hAnsi="宋体" w:cs="宋体"/>
                <w:bCs/>
                <w:sz w:val="20"/>
              </w:rPr>
              <w:t>自然通风、复合通风：主要功能房间室内热环境参数在适应性热舒适区域的时间比例:</w:t>
            </w:r>
          </w:p>
          <w:p>
            <w:pPr>
              <w:rPr>
                <w:rFonts w:hAnsi="宋体" w:cs="宋体"/>
                <w:bCs/>
                <w:sz w:val="20"/>
              </w:rPr>
            </w:pPr>
            <w:r>
              <w:rPr>
                <w:rFonts w:hAnsi="宋体" w:cs="宋体"/>
                <w:bCs/>
                <w:sz w:val="20"/>
              </w:rPr>
              <w:t>30%，得2分；</w:t>
            </w:r>
          </w:p>
          <w:p>
            <w:pPr>
              <w:rPr>
                <w:rFonts w:hAnsi="宋体" w:cs="宋体"/>
                <w:bCs/>
                <w:sz w:val="20"/>
              </w:rPr>
            </w:pPr>
            <w:r>
              <w:rPr>
                <w:rFonts w:hAnsi="宋体" w:cs="宋体"/>
                <w:bCs/>
                <w:sz w:val="20"/>
              </w:rPr>
              <w:t>40%，得3分；</w:t>
            </w:r>
          </w:p>
          <w:p>
            <w:pPr>
              <w:rPr>
                <w:rFonts w:hAnsi="宋体" w:cs="宋体"/>
                <w:bCs/>
                <w:sz w:val="20"/>
              </w:rPr>
            </w:pPr>
            <w:r>
              <w:rPr>
                <w:rFonts w:hAnsi="宋体" w:cs="宋体"/>
                <w:bCs/>
                <w:sz w:val="20"/>
              </w:rPr>
              <w:t>50%，得4分；</w:t>
            </w:r>
          </w:p>
          <w:p>
            <w:pPr>
              <w:rPr>
                <w:rFonts w:hAnsi="宋体" w:cs="宋体"/>
                <w:bCs/>
                <w:sz w:val="20"/>
              </w:rPr>
            </w:pPr>
            <w:r>
              <w:rPr>
                <w:rFonts w:hAnsi="宋体" w:cs="宋体"/>
                <w:bCs/>
                <w:sz w:val="20"/>
              </w:rPr>
              <w:t>60%，得5分；</w:t>
            </w:r>
          </w:p>
          <w:p>
            <w:pPr>
              <w:rPr>
                <w:rFonts w:hAnsi="宋体" w:cs="宋体"/>
                <w:bCs/>
                <w:sz w:val="20"/>
              </w:rPr>
            </w:pPr>
            <w:r>
              <w:rPr>
                <w:rFonts w:hAnsi="宋体" w:cs="宋体"/>
                <w:bCs/>
                <w:sz w:val="20"/>
              </w:rPr>
              <w:t>70%，得6分；</w:t>
            </w:r>
          </w:p>
          <w:p>
            <w:pPr>
              <w:rPr>
                <w:rFonts w:hAnsi="宋体" w:cs="宋体"/>
                <w:bCs/>
                <w:sz w:val="20"/>
              </w:rPr>
            </w:pPr>
            <w:r>
              <w:rPr>
                <w:rFonts w:hAnsi="宋体" w:cs="宋体"/>
                <w:bCs/>
                <w:sz w:val="20"/>
              </w:rPr>
              <w:t>80%，得7分；</w:t>
            </w:r>
          </w:p>
          <w:p>
            <w:pPr>
              <w:rPr>
                <w:rFonts w:hAnsi="宋体" w:cs="宋体"/>
                <w:b/>
                <w:bCs/>
                <w:sz w:val="20"/>
              </w:rPr>
            </w:pPr>
            <w:r>
              <w:rPr>
                <w:rFonts w:hAnsi="宋体" w:cs="宋体"/>
                <w:bCs/>
                <w:sz w:val="20"/>
              </w:rPr>
              <w:t>90%及以上，得8分。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8</w:t>
            </w: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bCs/>
                <w:sz w:val="20"/>
              </w:rPr>
            </w:pPr>
            <w:r>
              <w:rPr>
                <w:rFonts w:hAnsi="宋体" w:cs="宋体"/>
                <w:bCs/>
                <w:sz w:val="20"/>
              </w:rPr>
              <w:t>人工冷热源：</w:t>
            </w:r>
          </w:p>
          <w:p>
            <w:pPr>
              <w:rPr>
                <w:rFonts w:hAnsi="宋体" w:cs="宋体"/>
                <w:bCs/>
                <w:sz w:val="20"/>
              </w:rPr>
            </w:pPr>
            <w:r>
              <w:rPr>
                <w:rFonts w:hAnsi="宋体" w:cs="宋体"/>
                <w:bCs/>
                <w:sz w:val="20"/>
              </w:rPr>
              <w:t>主要功能房间达到现行国家标准《民用建筑室内热湿环境评价标准》GB/T 50785规定的室内人工冷热源热湿环境整体评价Ⅱ级面积比例：60%，得5分；</w:t>
            </w:r>
          </w:p>
          <w:p>
            <w:pPr>
              <w:rPr>
                <w:rFonts w:hAnsi="宋体" w:cs="宋体"/>
                <w:bCs/>
                <w:sz w:val="20"/>
              </w:rPr>
            </w:pPr>
            <w:r>
              <w:rPr>
                <w:rFonts w:hAnsi="宋体" w:cs="宋体"/>
                <w:bCs/>
                <w:sz w:val="20"/>
              </w:rPr>
              <w:t>70%，得6分；</w:t>
            </w:r>
          </w:p>
          <w:p>
            <w:pPr>
              <w:rPr>
                <w:rFonts w:hAnsi="宋体" w:cs="宋体"/>
                <w:bCs/>
                <w:sz w:val="20"/>
              </w:rPr>
            </w:pPr>
            <w:r>
              <w:rPr>
                <w:rFonts w:hAnsi="宋体" w:cs="宋体"/>
                <w:bCs/>
                <w:sz w:val="20"/>
              </w:rPr>
              <w:t>80%，得7分；</w:t>
            </w:r>
          </w:p>
          <w:p>
            <w:pPr>
              <w:rPr>
                <w:rFonts w:hAnsi="宋体" w:cs="宋体"/>
                <w:b/>
                <w:bCs/>
                <w:sz w:val="20"/>
              </w:rPr>
            </w:pPr>
            <w:r>
              <w:rPr>
                <w:rFonts w:hAnsi="宋体" w:cs="宋体"/>
                <w:bCs/>
                <w:sz w:val="20"/>
              </w:rPr>
              <w:t>90%及以上，得8分。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continue"/>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5.2.10</w:t>
            </w:r>
          </w:p>
        </w:tc>
        <w:tc>
          <w:tcPr>
            <w:tcW w:w="512" w:type="pct"/>
            <w:vMerge w:val="restart"/>
            <w:shd w:val="clear" w:color="auto" w:fill="auto"/>
            <w:vAlign w:val="center"/>
          </w:tcPr>
          <w:p>
            <w:pPr>
              <w:widowControl/>
              <w:rPr>
                <w:rFonts w:hAnsi="宋体" w:cs="宋体"/>
                <w:b/>
                <w:bCs/>
                <w:sz w:val="20"/>
              </w:rPr>
            </w:pPr>
            <w:r>
              <w:rPr>
                <w:rFonts w:hAnsi="宋体" w:cs="宋体"/>
                <w:sz w:val="20"/>
              </w:rPr>
              <w:t>优化建筑空间和平面布局，改善自然通风效果。</w:t>
            </w:r>
          </w:p>
        </w:tc>
        <w:tc>
          <w:tcPr>
            <w:tcW w:w="2134" w:type="pct"/>
            <w:gridSpan w:val="8"/>
            <w:shd w:val="clear" w:color="auto" w:fill="auto"/>
            <w:vAlign w:val="center"/>
          </w:tcPr>
          <w:p>
            <w:pPr>
              <w:widowControl/>
              <w:rPr>
                <w:rFonts w:hAnsi="宋体" w:cs="宋体"/>
                <w:bCs/>
                <w:sz w:val="20"/>
              </w:rPr>
            </w:pPr>
            <w:r>
              <w:rPr>
                <w:rFonts w:hAnsi="宋体" w:cs="宋体"/>
                <w:bCs/>
                <w:sz w:val="20"/>
              </w:rPr>
              <w:t>住宅建筑通风开口面积与房间地板面积的比例：                                        夏热冬冷地区达到8%，得5分；</w:t>
            </w:r>
          </w:p>
          <w:p>
            <w:pPr>
              <w:widowControl/>
              <w:rPr>
                <w:rFonts w:hAnsi="宋体" w:cs="宋体"/>
                <w:bCs/>
                <w:sz w:val="20"/>
              </w:rPr>
            </w:pPr>
            <w:r>
              <w:rPr>
                <w:rFonts w:hAnsi="宋体" w:cs="宋体"/>
                <w:bCs/>
                <w:sz w:val="20"/>
              </w:rPr>
              <w:t>达到10%，得6分；</w:t>
            </w:r>
          </w:p>
          <w:p>
            <w:pPr>
              <w:widowControl/>
              <w:rPr>
                <w:rFonts w:hAnsi="宋体" w:cs="宋体"/>
                <w:bCs/>
                <w:sz w:val="20"/>
              </w:rPr>
            </w:pPr>
            <w:r>
              <w:rPr>
                <w:rFonts w:hAnsi="宋体" w:cs="宋体"/>
                <w:bCs/>
                <w:sz w:val="20"/>
              </w:rPr>
              <w:t>达到12%，得7分；</w:t>
            </w:r>
          </w:p>
          <w:p>
            <w:pPr>
              <w:widowControl/>
              <w:rPr>
                <w:rFonts w:hAnsi="宋体" w:cs="宋体"/>
                <w:bCs/>
                <w:sz w:val="20"/>
              </w:rPr>
            </w:pPr>
            <w:r>
              <w:rPr>
                <w:rFonts w:hAnsi="宋体" w:cs="宋体"/>
                <w:bCs/>
                <w:sz w:val="20"/>
              </w:rPr>
              <w:t>达到14%及以上，得8分。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bCs/>
                <w:sz w:val="20"/>
              </w:rPr>
            </w:pPr>
            <w:r>
              <w:rPr>
                <w:rFonts w:hAnsi="宋体" w:cs="宋体"/>
                <w:bCs/>
                <w:sz w:val="20"/>
              </w:rPr>
              <w:t>公共建筑过渡季典型工况下主要功能房间的平均自然通风换气次数不小于2次/h的面积比例：</w:t>
            </w:r>
          </w:p>
          <w:p>
            <w:pPr>
              <w:widowControl/>
              <w:rPr>
                <w:rFonts w:hAnsi="宋体" w:cs="宋体"/>
                <w:bCs/>
                <w:sz w:val="20"/>
              </w:rPr>
            </w:pPr>
            <w:r>
              <w:rPr>
                <w:rFonts w:hAnsi="宋体" w:cs="宋体"/>
                <w:bCs/>
                <w:sz w:val="20"/>
              </w:rPr>
              <w:t>70%≤RR＜80%，得5分；</w:t>
            </w:r>
          </w:p>
          <w:p>
            <w:pPr>
              <w:widowControl/>
              <w:rPr>
                <w:rFonts w:hAnsi="宋体" w:cs="宋体"/>
                <w:bCs/>
                <w:sz w:val="20"/>
              </w:rPr>
            </w:pPr>
            <w:r>
              <w:rPr>
                <w:rFonts w:hAnsi="宋体" w:cs="宋体"/>
                <w:bCs/>
                <w:sz w:val="20"/>
              </w:rPr>
              <w:t>80%≤RR＜90%，得6分；</w:t>
            </w:r>
          </w:p>
          <w:p>
            <w:pPr>
              <w:widowControl/>
              <w:rPr>
                <w:rFonts w:hAnsi="宋体" w:cs="宋体"/>
                <w:bCs/>
                <w:sz w:val="20"/>
              </w:rPr>
            </w:pPr>
            <w:r>
              <w:rPr>
                <w:rFonts w:hAnsi="宋体" w:cs="宋体"/>
                <w:bCs/>
                <w:sz w:val="20"/>
              </w:rPr>
              <w:t>90%≤RR＜100%，得7分；</w:t>
            </w:r>
          </w:p>
          <w:p>
            <w:pPr>
              <w:widowControl/>
              <w:rPr>
                <w:rFonts w:hAnsi="宋体" w:cs="宋体"/>
                <w:bCs/>
                <w:sz w:val="20"/>
              </w:rPr>
            </w:pPr>
            <w:r>
              <w:rPr>
                <w:rFonts w:hAnsi="宋体" w:cs="宋体"/>
                <w:bCs/>
                <w:sz w:val="20"/>
              </w:rPr>
              <w:t>100%，得8分。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5.2.11</w:t>
            </w:r>
          </w:p>
        </w:tc>
        <w:tc>
          <w:tcPr>
            <w:tcW w:w="512" w:type="pct"/>
            <w:shd w:val="clear" w:color="auto" w:fill="auto"/>
            <w:vAlign w:val="center"/>
          </w:tcPr>
          <w:p>
            <w:pPr>
              <w:rPr>
                <w:rFonts w:hAnsi="宋体" w:cs="宋体"/>
                <w:bCs/>
                <w:sz w:val="20"/>
              </w:rPr>
            </w:pPr>
            <w:r>
              <w:rPr>
                <w:rFonts w:hAnsi="宋体" w:cs="宋体"/>
                <w:bCs/>
                <w:sz w:val="20"/>
              </w:rPr>
              <w:t>设置可调节遮阳设施，改善室内热舒适。</w:t>
            </w:r>
          </w:p>
        </w:tc>
        <w:tc>
          <w:tcPr>
            <w:tcW w:w="2134" w:type="pct"/>
            <w:gridSpan w:val="8"/>
            <w:shd w:val="clear" w:color="auto" w:fill="auto"/>
            <w:vAlign w:val="center"/>
          </w:tcPr>
          <w:p>
            <w:pPr>
              <w:rPr>
                <w:rFonts w:hAnsi="宋体" w:cs="宋体"/>
                <w:bCs/>
                <w:sz w:val="20"/>
              </w:rPr>
            </w:pPr>
            <w:r>
              <w:rPr>
                <w:rFonts w:hAnsi="宋体" w:cs="宋体"/>
                <w:bCs/>
                <w:sz w:val="20"/>
              </w:rPr>
              <w:t>可调节遮阳设施面积占外窗透明部分比例SZ：</w:t>
            </w:r>
          </w:p>
          <w:p>
            <w:pPr>
              <w:rPr>
                <w:rFonts w:hAnsi="宋体" w:cs="宋体"/>
                <w:bCs/>
                <w:sz w:val="20"/>
              </w:rPr>
            </w:pPr>
            <w:r>
              <w:rPr>
                <w:rFonts w:hAnsi="宋体" w:cs="宋体"/>
                <w:bCs/>
                <w:sz w:val="20"/>
              </w:rPr>
              <w:t>25%≤SZ＜35%，得3分；</w:t>
            </w:r>
          </w:p>
          <w:p>
            <w:pPr>
              <w:rPr>
                <w:rFonts w:hAnsi="宋体" w:cs="宋体"/>
                <w:bCs/>
                <w:sz w:val="20"/>
              </w:rPr>
            </w:pPr>
            <w:r>
              <w:rPr>
                <w:rFonts w:hAnsi="宋体" w:cs="宋体"/>
                <w:bCs/>
                <w:sz w:val="20"/>
              </w:rPr>
              <w:t>35%≤SZ＜45%，得5分；</w:t>
            </w:r>
          </w:p>
          <w:p>
            <w:pPr>
              <w:rPr>
                <w:rFonts w:hAnsi="宋体" w:cs="宋体"/>
                <w:bCs/>
                <w:sz w:val="20"/>
              </w:rPr>
            </w:pPr>
            <w:r>
              <w:rPr>
                <w:rFonts w:hAnsi="宋体" w:cs="宋体"/>
                <w:bCs/>
                <w:sz w:val="20"/>
              </w:rPr>
              <w:t>45%≤SZ＜55%，得7分；</w:t>
            </w:r>
          </w:p>
          <w:p>
            <w:pPr>
              <w:rPr>
                <w:rFonts w:hAnsi="宋体" w:cs="宋体"/>
                <w:bCs/>
                <w:sz w:val="20"/>
              </w:rPr>
            </w:pPr>
            <w:r>
              <w:rPr>
                <w:rFonts w:hAnsi="宋体" w:cs="宋体"/>
                <w:bCs/>
                <w:sz w:val="20"/>
              </w:rPr>
              <w:t>SZ≥55%，得9分。</w:t>
            </w:r>
          </w:p>
        </w:tc>
        <w:tc>
          <w:tcPr>
            <w:tcW w:w="391" w:type="pct"/>
            <w:vAlign w:val="center"/>
          </w:tcPr>
          <w:p>
            <w:pPr>
              <w:widowControl/>
              <w:jc w:val="center"/>
              <w:rPr>
                <w:rFonts w:hAnsi="宋体" w:cs="宋体"/>
                <w:b/>
                <w:bCs/>
                <w:sz w:val="20"/>
              </w:rPr>
            </w:pPr>
            <w:r>
              <w:rPr>
                <w:rFonts w:hAnsi="宋体" w:cs="宋体"/>
                <w:b/>
                <w:bCs/>
                <w:sz w:val="20"/>
              </w:rPr>
              <w:t>9</w:t>
            </w:r>
          </w:p>
        </w:tc>
        <w:tc>
          <w:tcPr>
            <w:tcW w:w="375" w:type="pct"/>
            <w:shd w:val="clear" w:color="auto" w:fill="auto"/>
            <w:vAlign w:val="center"/>
          </w:tcPr>
          <w:p>
            <w:pPr>
              <w:widowControl/>
              <w:jc w:val="center"/>
              <w:rPr>
                <w:rFonts w:hAnsi="宋体" w:cs="宋体"/>
                <w:b/>
                <w:bCs/>
                <w:sz w:val="20"/>
              </w:rPr>
            </w:pPr>
            <w:r>
              <w:rPr>
                <w:rFonts w:hAnsi="宋体" w:cs="宋体"/>
                <w:b/>
                <w:bCs/>
                <w:sz w:val="20"/>
              </w:rPr>
              <w:t>9</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restart"/>
            <w:vAlign w:val="center"/>
          </w:tcPr>
          <w:p>
            <w:pPr>
              <w:widowControl/>
              <w:rPr>
                <w:rFonts w:hAnsi="宋体" w:cs="宋体"/>
                <w:b/>
                <w:bCs/>
                <w:sz w:val="20"/>
              </w:rPr>
            </w:pPr>
            <w:r>
              <w:rPr>
                <w:rFonts w:hAnsi="宋体" w:cs="宋体"/>
                <w:b/>
                <w:bCs/>
                <w:sz w:val="20"/>
              </w:rPr>
              <w:t>生活便利</w:t>
            </w:r>
          </w:p>
        </w:tc>
        <w:tc>
          <w:tcPr>
            <w:tcW w:w="492" w:type="pct"/>
            <w:shd w:val="clear" w:color="auto" w:fill="auto"/>
            <w:noWrap/>
            <w:vAlign w:val="center"/>
          </w:tcPr>
          <w:p>
            <w:pPr>
              <w:widowControl/>
              <w:rPr>
                <w:rFonts w:hAnsi="宋体" w:cs="宋体"/>
                <w:sz w:val="20"/>
              </w:rPr>
            </w:pPr>
            <w:r>
              <w:rPr>
                <w:rFonts w:hAnsi="宋体" w:cs="宋体"/>
                <w:sz w:val="20"/>
              </w:rPr>
              <w:t>6.1.1</w:t>
            </w:r>
          </w:p>
        </w:tc>
        <w:tc>
          <w:tcPr>
            <w:tcW w:w="2646" w:type="pct"/>
            <w:gridSpan w:val="9"/>
            <w:shd w:val="clear" w:color="auto" w:fill="auto"/>
            <w:vAlign w:val="center"/>
          </w:tcPr>
          <w:p>
            <w:pPr>
              <w:rPr>
                <w:rFonts w:hAnsi="宋体" w:cs="宋体"/>
                <w:bCs/>
                <w:sz w:val="20"/>
              </w:rPr>
            </w:pPr>
            <w:r>
              <w:rPr>
                <w:rFonts w:hAnsi="宋体" w:cs="宋体"/>
                <w:bCs/>
                <w:sz w:val="20"/>
              </w:rPr>
              <w:t>建筑、室外场地、公共绿地、城市道路相互之间应设置连贯的无障碍步行系统。</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6.1.2</w:t>
            </w:r>
          </w:p>
        </w:tc>
        <w:tc>
          <w:tcPr>
            <w:tcW w:w="2646" w:type="pct"/>
            <w:gridSpan w:val="9"/>
            <w:shd w:val="clear" w:color="auto" w:fill="auto"/>
            <w:vAlign w:val="center"/>
          </w:tcPr>
          <w:p>
            <w:pPr>
              <w:rPr>
                <w:rFonts w:hAnsi="宋体" w:cs="宋体"/>
                <w:bCs/>
                <w:sz w:val="20"/>
              </w:rPr>
            </w:pPr>
            <w:r>
              <w:rPr>
                <w:rFonts w:hAnsi="宋体" w:cs="宋体"/>
                <w:bCs/>
                <w:sz w:val="20"/>
              </w:rPr>
              <w:t>场地人行出入口500m内应设有公共交通站点或配备联系公共交通站点的专用接驳车。</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6.1.3</w:t>
            </w:r>
          </w:p>
        </w:tc>
        <w:tc>
          <w:tcPr>
            <w:tcW w:w="2646" w:type="pct"/>
            <w:gridSpan w:val="9"/>
            <w:shd w:val="clear" w:color="auto" w:fill="auto"/>
            <w:vAlign w:val="center"/>
          </w:tcPr>
          <w:p>
            <w:pPr>
              <w:rPr>
                <w:rFonts w:hAnsi="宋体" w:cs="宋体"/>
                <w:bCs/>
                <w:sz w:val="20"/>
              </w:rPr>
            </w:pPr>
            <w:r>
              <w:rPr>
                <w:rFonts w:hAnsi="宋体" w:cs="宋体"/>
                <w:bCs/>
                <w:sz w:val="20"/>
              </w:rPr>
              <w:t>停车场应具有电动汽车充电设施或具备充电设施的安装条件，并应合理设置电动汽车和无障碍汽车停车位。</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6.1.4</w:t>
            </w:r>
          </w:p>
        </w:tc>
        <w:tc>
          <w:tcPr>
            <w:tcW w:w="2646" w:type="pct"/>
            <w:gridSpan w:val="9"/>
            <w:shd w:val="clear" w:color="auto" w:fill="auto"/>
            <w:vAlign w:val="center"/>
          </w:tcPr>
          <w:p>
            <w:pPr>
              <w:rPr>
                <w:rFonts w:hAnsi="宋体" w:cs="宋体"/>
                <w:bCs/>
                <w:sz w:val="20"/>
              </w:rPr>
            </w:pPr>
            <w:r>
              <w:rPr>
                <w:rFonts w:hAnsi="宋体" w:cs="宋体"/>
                <w:bCs/>
                <w:sz w:val="20"/>
              </w:rPr>
              <w:t>自行车停车场所应位置合理、方便出入。</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6.1.5</w:t>
            </w:r>
          </w:p>
        </w:tc>
        <w:tc>
          <w:tcPr>
            <w:tcW w:w="2646" w:type="pct"/>
            <w:gridSpan w:val="9"/>
            <w:shd w:val="clear" w:color="auto" w:fill="auto"/>
            <w:vAlign w:val="center"/>
          </w:tcPr>
          <w:p>
            <w:pPr>
              <w:rPr>
                <w:rFonts w:hAnsi="宋体" w:cs="宋体"/>
                <w:bCs/>
                <w:sz w:val="20"/>
              </w:rPr>
            </w:pPr>
            <w:r>
              <w:rPr>
                <w:rFonts w:hAnsi="宋体" w:cs="宋体"/>
                <w:bCs/>
                <w:sz w:val="20"/>
              </w:rPr>
              <w:t>建筑设备管理系统应具有自动监控管理功能。</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6.1.6</w:t>
            </w:r>
          </w:p>
        </w:tc>
        <w:tc>
          <w:tcPr>
            <w:tcW w:w="2646" w:type="pct"/>
            <w:gridSpan w:val="9"/>
            <w:shd w:val="clear" w:color="auto" w:fill="auto"/>
            <w:vAlign w:val="center"/>
          </w:tcPr>
          <w:p>
            <w:pPr>
              <w:rPr>
                <w:rFonts w:hAnsi="宋体" w:cs="宋体"/>
                <w:bCs/>
                <w:sz w:val="20"/>
              </w:rPr>
            </w:pPr>
            <w:r>
              <w:rPr>
                <w:rFonts w:hAnsi="宋体" w:cs="宋体"/>
                <w:bCs/>
                <w:sz w:val="20"/>
              </w:rPr>
              <w:t>建筑应设置信息网络系统。</w:t>
            </w:r>
          </w:p>
        </w:tc>
        <w:tc>
          <w:tcPr>
            <w:tcW w:w="766" w:type="pct"/>
            <w:gridSpan w:val="2"/>
            <w:vAlign w:val="center"/>
          </w:tcPr>
          <w:p>
            <w:pPr>
              <w:widowControl/>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6.2.1</w:t>
            </w:r>
          </w:p>
        </w:tc>
        <w:tc>
          <w:tcPr>
            <w:tcW w:w="512" w:type="pct"/>
            <w:vMerge w:val="restart"/>
            <w:shd w:val="clear" w:color="auto" w:fill="auto"/>
            <w:vAlign w:val="center"/>
          </w:tcPr>
          <w:p>
            <w:pPr>
              <w:rPr>
                <w:rFonts w:hAnsi="宋体" w:cs="宋体"/>
                <w:b/>
                <w:bCs/>
                <w:sz w:val="20"/>
              </w:rPr>
            </w:pPr>
            <w:r>
              <w:rPr>
                <w:rFonts w:hAnsi="宋体" w:cs="宋体"/>
                <w:bCs/>
                <w:sz w:val="20"/>
              </w:rPr>
              <w:t>场地与公共公交通站点联系便捷。</w:t>
            </w:r>
          </w:p>
        </w:tc>
        <w:tc>
          <w:tcPr>
            <w:tcW w:w="2134" w:type="pct"/>
            <w:gridSpan w:val="8"/>
            <w:shd w:val="clear" w:color="auto" w:fill="auto"/>
            <w:vAlign w:val="center"/>
          </w:tcPr>
          <w:p>
            <w:pPr>
              <w:rPr>
                <w:rFonts w:hAnsi="宋体" w:cs="宋体"/>
                <w:bCs/>
                <w:sz w:val="20"/>
              </w:rPr>
            </w:pPr>
            <w:r>
              <w:rPr>
                <w:rFonts w:hAnsi="宋体" w:cs="宋体"/>
                <w:bCs/>
                <w:sz w:val="20"/>
              </w:rPr>
              <w:t>场地出入口到达公共交通站点的步行距离不大于500m，或到达轨道交通站的步行距离不大于800m；得2分；</w:t>
            </w:r>
          </w:p>
          <w:p>
            <w:pPr>
              <w:rPr>
                <w:rFonts w:hAnsi="宋体" w:cs="宋体"/>
                <w:b/>
                <w:bCs/>
                <w:sz w:val="20"/>
              </w:rPr>
            </w:pPr>
            <w:r>
              <w:rPr>
                <w:rFonts w:hAnsi="宋体" w:cs="宋体"/>
                <w:bCs/>
                <w:sz w:val="20"/>
              </w:rPr>
              <w:t>场地出入口到达公共交通站点的步行距离不大于300m，或到达轨道交通站的步行距离不大于500m ；得4分；</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widowControl/>
              <w:rPr>
                <w:rFonts w:hAnsi="宋体" w:cs="宋体"/>
                <w:b/>
                <w:bCs/>
                <w:sz w:val="20"/>
              </w:rPr>
            </w:pPr>
            <w:r>
              <w:rPr>
                <w:rFonts w:hAnsi="宋体" w:cs="宋体"/>
                <w:sz w:val="20"/>
              </w:rPr>
              <w:t>场地出入口步行距离800m范围内设有2条及以上线路的公共交通站点。</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6.2.2</w:t>
            </w:r>
          </w:p>
        </w:tc>
        <w:tc>
          <w:tcPr>
            <w:tcW w:w="512" w:type="pct"/>
            <w:vMerge w:val="restart"/>
            <w:shd w:val="clear" w:color="auto" w:fill="auto"/>
            <w:vAlign w:val="center"/>
          </w:tcPr>
          <w:p>
            <w:pPr>
              <w:rPr>
                <w:rFonts w:hAnsi="宋体" w:cs="宋体"/>
                <w:b/>
                <w:bCs/>
                <w:sz w:val="20"/>
              </w:rPr>
            </w:pPr>
            <w:r>
              <w:rPr>
                <w:rFonts w:hAnsi="宋体" w:cs="宋体"/>
                <w:bCs/>
                <w:sz w:val="20"/>
              </w:rPr>
              <w:t>建筑室内外公共区域满足全龄化设计要求</w:t>
            </w:r>
          </w:p>
        </w:tc>
        <w:tc>
          <w:tcPr>
            <w:tcW w:w="2134" w:type="pct"/>
            <w:gridSpan w:val="8"/>
            <w:shd w:val="clear" w:color="auto" w:fill="auto"/>
            <w:vAlign w:val="center"/>
          </w:tcPr>
          <w:p>
            <w:pPr>
              <w:rPr>
                <w:rFonts w:hAnsi="宋体" w:cs="宋体"/>
                <w:bCs/>
                <w:sz w:val="20"/>
              </w:rPr>
            </w:pPr>
            <w:r>
              <w:rPr>
                <w:rFonts w:hAnsi="宋体" w:cs="宋体"/>
                <w:bCs/>
                <w:sz w:val="20"/>
              </w:rPr>
              <w:t>建筑室内公共区域、室外公共活动场地及道路均满足无障碍设计要求。</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bCs/>
                <w:sz w:val="20"/>
              </w:rPr>
            </w:pPr>
            <w:r>
              <w:rPr>
                <w:rFonts w:hAnsi="宋体" w:cs="宋体"/>
                <w:bCs/>
                <w:sz w:val="20"/>
              </w:rPr>
              <w:t>建筑室内公共区域的墙、柱等处的阳角均为圆角，并设有安全抓杆或扶手。</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bCs/>
                <w:sz w:val="20"/>
              </w:rPr>
            </w:pPr>
            <w:r>
              <w:rPr>
                <w:rFonts w:hAnsi="宋体" w:cs="宋体"/>
                <w:bCs/>
                <w:sz w:val="20"/>
              </w:rPr>
              <w:t>设有可容纳担架的无障碍电梯。</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6.2.3</w:t>
            </w:r>
          </w:p>
        </w:tc>
        <w:tc>
          <w:tcPr>
            <w:tcW w:w="512" w:type="pct"/>
            <w:vMerge w:val="restart"/>
            <w:shd w:val="clear" w:color="auto" w:fill="auto"/>
            <w:vAlign w:val="center"/>
          </w:tcPr>
          <w:p>
            <w:pPr>
              <w:widowControl/>
              <w:rPr>
                <w:rFonts w:hAnsi="宋体" w:cs="宋体"/>
                <w:b/>
                <w:bCs/>
                <w:sz w:val="20"/>
              </w:rPr>
            </w:pPr>
            <w:r>
              <w:rPr>
                <w:rFonts w:hAnsi="宋体" w:cs="宋体"/>
                <w:sz w:val="20"/>
              </w:rPr>
              <w:t>提供便利的公共服务。</w:t>
            </w:r>
          </w:p>
        </w:tc>
        <w:tc>
          <w:tcPr>
            <w:tcW w:w="2134" w:type="pct"/>
            <w:gridSpan w:val="8"/>
            <w:shd w:val="clear" w:color="auto" w:fill="auto"/>
            <w:vAlign w:val="center"/>
          </w:tcPr>
          <w:p>
            <w:pPr>
              <w:rPr>
                <w:rFonts w:hAnsi="宋体" w:cs="宋体"/>
                <w:bCs/>
                <w:sz w:val="20"/>
              </w:rPr>
            </w:pPr>
            <w:r>
              <w:rPr>
                <w:rFonts w:hAnsi="宋体" w:cs="宋体"/>
                <w:bCs/>
                <w:sz w:val="20"/>
              </w:rPr>
              <w:t>居住建筑：满足4项，得5分；满足6项及以上，得10分；</w:t>
            </w:r>
          </w:p>
          <w:p>
            <w:pPr>
              <w:rPr>
                <w:rFonts w:hAnsi="宋体" w:cs="宋体"/>
                <w:bCs/>
                <w:sz w:val="20"/>
              </w:rPr>
            </w:pPr>
            <w:r>
              <w:rPr>
                <w:rFonts w:hAnsi="宋体" w:cs="宋体"/>
                <w:bCs/>
                <w:sz w:val="20"/>
              </w:rPr>
              <w:t>□场地出入口到达幼儿园的步行距离不超过300m；</w:t>
            </w:r>
          </w:p>
          <w:p>
            <w:pPr>
              <w:rPr>
                <w:rFonts w:hAnsi="宋体" w:cs="宋体"/>
                <w:bCs/>
                <w:sz w:val="20"/>
              </w:rPr>
            </w:pPr>
            <w:r>
              <w:rPr>
                <w:rFonts w:hAnsi="宋体" w:cs="宋体"/>
                <w:bCs/>
                <w:sz w:val="20"/>
              </w:rPr>
              <w:t>□场地出入口到达小学的步行距离不超过500m；</w:t>
            </w:r>
          </w:p>
          <w:p>
            <w:pPr>
              <w:rPr>
                <w:rFonts w:hAnsi="宋体" w:cs="宋体"/>
                <w:bCs/>
                <w:sz w:val="20"/>
              </w:rPr>
            </w:pPr>
            <w:r>
              <w:rPr>
                <w:rFonts w:hAnsi="宋体" w:cs="宋体"/>
                <w:bCs/>
                <w:sz w:val="20"/>
              </w:rPr>
              <w:t>□场地出入口到达中学的步行距离不超过1000m；</w:t>
            </w:r>
          </w:p>
          <w:p>
            <w:pPr>
              <w:rPr>
                <w:rFonts w:hAnsi="宋体" w:cs="宋体"/>
                <w:bCs/>
                <w:sz w:val="20"/>
              </w:rPr>
            </w:pPr>
            <w:r>
              <w:rPr>
                <w:rFonts w:hAnsi="宋体" w:cs="宋体"/>
                <w:bCs/>
                <w:sz w:val="20"/>
              </w:rPr>
              <w:t>□场地出入口到达医院的步行距离不超过1000m；</w:t>
            </w:r>
          </w:p>
          <w:p>
            <w:pPr>
              <w:rPr>
                <w:rFonts w:hAnsi="宋体" w:cs="宋体"/>
                <w:bCs/>
                <w:sz w:val="20"/>
              </w:rPr>
            </w:pPr>
            <w:r>
              <w:rPr>
                <w:rFonts w:hAnsi="宋体" w:cs="宋体"/>
                <w:bCs/>
                <w:sz w:val="20"/>
              </w:rPr>
              <w:t>□场地出入口到达群众文化活动设施的步行距离不超过800m；</w:t>
            </w:r>
          </w:p>
          <w:p>
            <w:pPr>
              <w:rPr>
                <w:rFonts w:hAnsi="宋体" w:cs="宋体"/>
                <w:bCs/>
                <w:sz w:val="20"/>
              </w:rPr>
            </w:pPr>
            <w:r>
              <w:rPr>
                <w:rFonts w:hAnsi="宋体" w:cs="宋体"/>
                <w:bCs/>
                <w:sz w:val="20"/>
              </w:rPr>
              <w:t>□场地出入口到达老年人日间照料设施的步行距离不超过500m；</w:t>
            </w:r>
          </w:p>
          <w:p>
            <w:pPr>
              <w:rPr>
                <w:rFonts w:hAnsi="宋体" w:cs="宋体"/>
                <w:bCs/>
                <w:sz w:val="20"/>
              </w:rPr>
            </w:pPr>
            <w:r>
              <w:rPr>
                <w:rFonts w:hAnsi="宋体" w:cs="宋体"/>
                <w:bCs/>
                <w:sz w:val="20"/>
              </w:rPr>
              <w:t>□场地周边500m范围内具有3种及以上的商业服务设施。</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10</w:t>
            </w:r>
          </w:p>
        </w:tc>
        <w:tc>
          <w:tcPr>
            <w:tcW w:w="455" w:type="pct"/>
            <w:vMerge w:val="restar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255" w:type="pct"/>
            <w:vMerge w:val="continue"/>
            <w:vAlign w:val="center"/>
          </w:tcPr>
          <w:p>
            <w:pPr>
              <w:widowControl/>
              <w:rPr>
                <w:rFonts w:hAnsi="宋体" w:cs="宋体"/>
                <w:sz w:val="20"/>
              </w:rPr>
            </w:pPr>
          </w:p>
        </w:tc>
        <w:tc>
          <w:tcPr>
            <w:tcW w:w="492" w:type="pct"/>
            <w:vMerge w:val="continue"/>
            <w:shd w:val="clear" w:color="auto" w:fill="auto"/>
            <w:noWrap/>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sz w:val="20"/>
              </w:rPr>
            </w:pPr>
          </w:p>
        </w:tc>
        <w:tc>
          <w:tcPr>
            <w:tcW w:w="2134" w:type="pct"/>
            <w:gridSpan w:val="8"/>
            <w:shd w:val="clear" w:color="auto" w:fill="auto"/>
            <w:vAlign w:val="center"/>
          </w:tcPr>
          <w:p>
            <w:pPr>
              <w:rPr>
                <w:rFonts w:hAnsi="宋体" w:cs="宋体"/>
                <w:bCs/>
                <w:sz w:val="20"/>
              </w:rPr>
            </w:pPr>
            <w:r>
              <w:rPr>
                <w:rFonts w:hAnsi="宋体" w:cs="宋体"/>
                <w:bCs/>
                <w:sz w:val="20"/>
              </w:rPr>
              <w:t>公共建筑：满足3项，5分；满足5项，10分；</w:t>
            </w:r>
          </w:p>
          <w:p>
            <w:pPr>
              <w:rPr>
                <w:rFonts w:hAnsi="宋体" w:cs="宋体"/>
                <w:bCs/>
                <w:sz w:val="20"/>
              </w:rPr>
            </w:pPr>
            <w:r>
              <w:rPr>
                <w:rFonts w:hAnsi="宋体" w:cs="宋体"/>
                <w:bCs/>
                <w:sz w:val="20"/>
              </w:rPr>
              <w:t>□建筑内兼容2种及以上面向社会的公共服务功能；</w:t>
            </w:r>
          </w:p>
          <w:p>
            <w:pPr>
              <w:rPr>
                <w:rFonts w:hAnsi="宋体" w:cs="宋体"/>
                <w:bCs/>
                <w:sz w:val="20"/>
              </w:rPr>
            </w:pPr>
            <w:r>
              <w:rPr>
                <w:rFonts w:hAnsi="宋体" w:cs="宋体"/>
                <w:bCs/>
                <w:sz w:val="20"/>
              </w:rPr>
              <w:t>□建筑向社会公众提供开放的公共活动空间；</w:t>
            </w:r>
          </w:p>
          <w:p>
            <w:pPr>
              <w:rPr>
                <w:rFonts w:hAnsi="宋体" w:cs="宋体"/>
                <w:bCs/>
                <w:sz w:val="20"/>
              </w:rPr>
            </w:pPr>
            <w:r>
              <w:rPr>
                <w:rFonts w:hAnsi="宋体" w:cs="宋体"/>
                <w:bCs/>
                <w:sz w:val="20"/>
              </w:rPr>
              <w:t>□电动汽车充电桩的车位数占总车位数的比例不低于10%；</w:t>
            </w:r>
          </w:p>
          <w:p>
            <w:pPr>
              <w:rPr>
                <w:rFonts w:hAnsi="宋体" w:cs="宋体"/>
                <w:bCs/>
                <w:sz w:val="20"/>
              </w:rPr>
            </w:pPr>
            <w:r>
              <w:rPr>
                <w:rFonts w:hAnsi="宋体" w:cs="宋体"/>
                <w:bCs/>
                <w:sz w:val="20"/>
              </w:rPr>
              <w:t>□周边500m范围内设有社会公共停车场（库）；</w:t>
            </w:r>
          </w:p>
          <w:p>
            <w:pPr>
              <w:rPr>
                <w:rFonts w:hAnsi="宋体" w:cs="宋体"/>
                <w:bCs/>
                <w:sz w:val="20"/>
              </w:rPr>
            </w:pPr>
            <w:r>
              <w:rPr>
                <w:rFonts w:hAnsi="宋体" w:cs="宋体"/>
                <w:bCs/>
                <w:sz w:val="20"/>
              </w:rPr>
              <w:t>□场地不封闭或场地内步行公共通道向社会开放。</w:t>
            </w:r>
          </w:p>
        </w:tc>
        <w:tc>
          <w:tcPr>
            <w:tcW w:w="391" w:type="pct"/>
            <w:vAlign w:val="center"/>
          </w:tcPr>
          <w:p>
            <w:pPr>
              <w:jc w:val="center"/>
              <w:rPr>
                <w:rFonts w:hAnsi="宋体" w:cs="宋体"/>
                <w:b/>
                <w:bCs/>
                <w:sz w:val="20"/>
              </w:rPr>
            </w:pPr>
            <w:r>
              <w:rPr>
                <w:rFonts w:hAnsi="宋体" w:cs="宋体"/>
                <w:b/>
                <w:bCs/>
                <w:sz w:val="20"/>
              </w:rPr>
              <w:t>10</w:t>
            </w:r>
          </w:p>
        </w:tc>
        <w:tc>
          <w:tcPr>
            <w:tcW w:w="375" w:type="pct"/>
            <w:vMerge w:val="continue"/>
            <w:shd w:val="clear" w:color="auto" w:fill="auto"/>
            <w:vAlign w:val="center"/>
          </w:tcPr>
          <w:p>
            <w:pPr>
              <w:widowControl/>
              <w:jc w:val="center"/>
              <w:rPr>
                <w:rFonts w:hAnsi="宋体" w:cs="宋体"/>
                <w:b/>
                <w:bCs/>
                <w:sz w:val="20"/>
              </w:rPr>
            </w:pPr>
          </w:p>
        </w:tc>
        <w:tc>
          <w:tcPr>
            <w:tcW w:w="455" w:type="pct"/>
            <w:vMerge w:val="continue"/>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6.2.4</w:t>
            </w:r>
          </w:p>
        </w:tc>
        <w:tc>
          <w:tcPr>
            <w:tcW w:w="814" w:type="pct"/>
            <w:gridSpan w:val="4"/>
            <w:vMerge w:val="restart"/>
            <w:shd w:val="clear" w:color="auto" w:fill="auto"/>
            <w:vAlign w:val="center"/>
          </w:tcPr>
          <w:p>
            <w:pPr>
              <w:rPr>
                <w:rFonts w:hAnsi="宋体" w:cs="宋体"/>
                <w:bCs/>
                <w:sz w:val="20"/>
              </w:rPr>
            </w:pPr>
            <w:r>
              <w:rPr>
                <w:rFonts w:hAnsi="宋体" w:cs="宋体"/>
                <w:bCs/>
                <w:sz w:val="20"/>
              </w:rPr>
              <w:t>城市绿地、广场及公共运动场地等开敞空间，步行可达。</w:t>
            </w:r>
          </w:p>
        </w:tc>
        <w:tc>
          <w:tcPr>
            <w:tcW w:w="1832" w:type="pct"/>
            <w:gridSpan w:val="5"/>
            <w:shd w:val="clear" w:color="auto" w:fill="auto"/>
            <w:vAlign w:val="center"/>
          </w:tcPr>
          <w:p>
            <w:pPr>
              <w:rPr>
                <w:rFonts w:hAnsi="宋体" w:cs="宋体"/>
                <w:bCs/>
                <w:sz w:val="20"/>
              </w:rPr>
            </w:pPr>
            <w:r>
              <w:rPr>
                <w:rFonts w:hAnsi="宋体" w:cs="宋体"/>
                <w:bCs/>
                <w:sz w:val="20"/>
              </w:rPr>
              <w:t>场地出入口到达城市公园绿地、居住区公园、广场的步行距离不超过300m。</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814" w:type="pct"/>
            <w:gridSpan w:val="4"/>
            <w:vMerge w:val="continue"/>
            <w:vAlign w:val="center"/>
          </w:tcPr>
          <w:p>
            <w:pPr>
              <w:rPr>
                <w:rFonts w:hAnsi="宋体" w:cs="宋体"/>
                <w:bCs/>
                <w:sz w:val="20"/>
              </w:rPr>
            </w:pPr>
          </w:p>
        </w:tc>
        <w:tc>
          <w:tcPr>
            <w:tcW w:w="1832" w:type="pct"/>
            <w:gridSpan w:val="5"/>
            <w:vAlign w:val="center"/>
          </w:tcPr>
          <w:p>
            <w:pPr>
              <w:rPr>
                <w:rFonts w:hAnsi="宋体" w:cs="宋体"/>
                <w:bCs/>
                <w:sz w:val="20"/>
              </w:rPr>
            </w:pPr>
            <w:r>
              <w:rPr>
                <w:rFonts w:hAnsi="宋体" w:cs="宋体"/>
                <w:bCs/>
                <w:sz w:val="20"/>
              </w:rPr>
              <w:t>到达中型多功能运动场地的步行距离不超过500m。</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000000" w:fill="FFFFFF"/>
            <w:vAlign w:val="center"/>
          </w:tcPr>
          <w:p>
            <w:pPr>
              <w:widowControl/>
              <w:rPr>
                <w:rFonts w:hAnsi="宋体" w:cs="宋体"/>
                <w:sz w:val="20"/>
              </w:rPr>
            </w:pPr>
          </w:p>
        </w:tc>
        <w:tc>
          <w:tcPr>
            <w:tcW w:w="492" w:type="pct"/>
            <w:vMerge w:val="restart"/>
            <w:shd w:val="clear" w:color="000000" w:fill="FFFFFF"/>
            <w:noWrap/>
            <w:vAlign w:val="center"/>
          </w:tcPr>
          <w:p>
            <w:pPr>
              <w:widowControl/>
              <w:rPr>
                <w:rFonts w:hAnsi="宋体" w:cs="宋体"/>
                <w:sz w:val="20"/>
              </w:rPr>
            </w:pPr>
            <w:r>
              <w:rPr>
                <w:rFonts w:hAnsi="宋体" w:cs="宋体"/>
                <w:sz w:val="20"/>
              </w:rPr>
              <w:t>6.2.5</w:t>
            </w:r>
          </w:p>
        </w:tc>
        <w:tc>
          <w:tcPr>
            <w:tcW w:w="512" w:type="pct"/>
            <w:vMerge w:val="restart"/>
            <w:shd w:val="clear" w:color="000000" w:fill="FFFFFF"/>
            <w:vAlign w:val="center"/>
          </w:tcPr>
          <w:p>
            <w:pPr>
              <w:rPr>
                <w:rFonts w:hAnsi="宋体" w:cs="宋体"/>
                <w:b/>
                <w:bCs/>
                <w:sz w:val="20"/>
              </w:rPr>
            </w:pPr>
            <w:r>
              <w:rPr>
                <w:rFonts w:hAnsi="宋体" w:cs="宋体"/>
                <w:bCs/>
                <w:sz w:val="20"/>
              </w:rPr>
              <w:t>健身场地和空间</w:t>
            </w:r>
          </w:p>
        </w:tc>
        <w:tc>
          <w:tcPr>
            <w:tcW w:w="2134" w:type="pct"/>
            <w:gridSpan w:val="8"/>
            <w:shd w:val="clear" w:color="000000" w:fill="FFFFFF"/>
            <w:vAlign w:val="center"/>
          </w:tcPr>
          <w:p>
            <w:pPr>
              <w:rPr>
                <w:rFonts w:hAnsi="宋体" w:cs="宋体"/>
                <w:bCs/>
                <w:sz w:val="20"/>
              </w:rPr>
            </w:pPr>
            <w:r>
              <w:rPr>
                <w:rFonts w:hAnsi="宋体" w:cs="宋体"/>
                <w:bCs/>
                <w:sz w:val="20"/>
              </w:rPr>
              <w:t>室外健身场地面积不少于总用地面积的0.5%。</w:t>
            </w:r>
          </w:p>
        </w:tc>
        <w:tc>
          <w:tcPr>
            <w:tcW w:w="391" w:type="pct"/>
            <w:shd w:val="clear" w:color="000000" w:fill="FFFFFF"/>
            <w:vAlign w:val="center"/>
          </w:tcPr>
          <w:p>
            <w:pPr>
              <w:widowControl/>
              <w:jc w:val="center"/>
              <w:rPr>
                <w:rFonts w:hAnsi="宋体" w:cs="宋体"/>
                <w:b/>
                <w:bCs/>
                <w:sz w:val="20"/>
              </w:rPr>
            </w:pPr>
            <w:r>
              <w:rPr>
                <w:rFonts w:hAnsi="宋体" w:cs="宋体"/>
                <w:b/>
                <w:bCs/>
                <w:sz w:val="20"/>
              </w:rPr>
              <w:t>3</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10</w:t>
            </w: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bCs/>
                <w:sz w:val="20"/>
              </w:rPr>
            </w:pPr>
            <w:r>
              <w:rPr>
                <w:rFonts w:hAnsi="宋体" w:cs="宋体"/>
                <w:bCs/>
                <w:sz w:val="20"/>
              </w:rPr>
              <w:t>设置宽度不少于1.25m的专用健身慢行道，健身慢行道长度不少于用地红线周长的1/4且不少于100m。</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bCs/>
                <w:sz w:val="20"/>
              </w:rPr>
            </w:pPr>
            <w:r>
              <w:rPr>
                <w:rFonts w:hAnsi="宋体" w:cs="宋体"/>
                <w:bCs/>
                <w:sz w:val="20"/>
              </w:rPr>
              <w:t>室内健身空间的面积不少于地上建筑面积的0.3%且不少于60m²。</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bCs/>
                <w:sz w:val="20"/>
              </w:rPr>
            </w:pPr>
            <w:r>
              <w:rPr>
                <w:rFonts w:hAnsi="宋体" w:cs="宋体"/>
                <w:bCs/>
                <w:sz w:val="20"/>
              </w:rPr>
              <w:t>楼梯间具有天然采光和良好的视野，且距离主入口的距离不大于15m。</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6.2.6</w:t>
            </w:r>
          </w:p>
        </w:tc>
        <w:tc>
          <w:tcPr>
            <w:tcW w:w="2646" w:type="pct"/>
            <w:gridSpan w:val="9"/>
            <w:shd w:val="clear" w:color="auto" w:fill="auto"/>
            <w:vAlign w:val="center"/>
          </w:tcPr>
          <w:p>
            <w:pPr>
              <w:rPr>
                <w:rFonts w:hAnsi="宋体" w:cs="宋体"/>
                <w:bCs/>
                <w:sz w:val="20"/>
              </w:rPr>
            </w:pPr>
            <w:r>
              <w:rPr>
                <w:rFonts w:hAnsi="宋体" w:cs="宋体"/>
                <w:bCs/>
                <w:sz w:val="20"/>
              </w:rPr>
              <w:t>设置分类、分级用能自动远传计量系统，且设置能源管理系统实现对建筑能耗的监测、数据分析和管理。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6.2.7</w:t>
            </w:r>
          </w:p>
        </w:tc>
        <w:tc>
          <w:tcPr>
            <w:tcW w:w="2646" w:type="pct"/>
            <w:gridSpan w:val="9"/>
            <w:shd w:val="clear" w:color="auto" w:fill="auto"/>
            <w:vAlign w:val="center"/>
          </w:tcPr>
          <w:p>
            <w:pPr>
              <w:rPr>
                <w:rFonts w:hAnsi="宋体" w:cs="宋体"/>
                <w:bCs/>
                <w:sz w:val="20"/>
              </w:rPr>
            </w:pPr>
            <w:r>
              <w:rPr>
                <w:rFonts w:hAnsi="宋体" w:cs="宋体"/>
                <w:bCs/>
                <w:sz w:val="20"/>
              </w:rPr>
              <w:t>设置PM</w:t>
            </w:r>
            <w:r>
              <w:rPr>
                <w:rFonts w:hAnsi="宋体" w:cs="宋体"/>
                <w:bCs/>
                <w:sz w:val="20"/>
                <w:vertAlign w:val="subscript"/>
              </w:rPr>
              <w:t>10</w:t>
            </w:r>
            <w:r>
              <w:rPr>
                <w:rFonts w:hAnsi="宋体" w:cs="宋体"/>
                <w:bCs/>
                <w:sz w:val="20"/>
              </w:rPr>
              <w:t>、PM</w:t>
            </w:r>
            <w:r>
              <w:rPr>
                <w:rFonts w:hAnsi="宋体" w:cs="宋体"/>
                <w:bCs/>
                <w:sz w:val="20"/>
                <w:vertAlign w:val="subscript"/>
              </w:rPr>
              <w:t>2.5</w:t>
            </w:r>
            <w:r>
              <w:rPr>
                <w:rFonts w:hAnsi="宋体" w:cs="宋体"/>
                <w:bCs/>
                <w:sz w:val="20"/>
              </w:rPr>
              <w:t>、CO</w:t>
            </w:r>
            <w:r>
              <w:rPr>
                <w:rFonts w:hAnsi="宋体" w:cs="宋体"/>
                <w:bCs/>
                <w:sz w:val="20"/>
                <w:vertAlign w:val="subscript"/>
              </w:rPr>
              <w:t>2</w:t>
            </w:r>
            <w:r>
              <w:rPr>
                <w:rFonts w:hAnsi="宋体" w:cs="宋体"/>
                <w:bCs/>
                <w:sz w:val="20"/>
              </w:rPr>
              <w:t>浓度的空气质量监测系统，且具有存储至少一年的监测数据和实时显示等功能。</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Align w:val="center"/>
          </w:tcPr>
          <w:p>
            <w:pPr>
              <w:widowControl/>
              <w:jc w:val="center"/>
              <w:rPr>
                <w:rFonts w:hAnsi="宋体" w:cs="宋体"/>
                <w:b/>
                <w:bCs/>
                <w:sz w:val="20"/>
              </w:rPr>
            </w:pPr>
            <w:r>
              <w:rPr>
                <w:rFonts w:hAnsi="宋体" w:cs="宋体"/>
                <w:b/>
                <w:bCs/>
                <w:sz w:val="20"/>
              </w:rPr>
              <w:t>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6.2.8</w:t>
            </w:r>
          </w:p>
        </w:tc>
        <w:tc>
          <w:tcPr>
            <w:tcW w:w="512" w:type="pct"/>
            <w:vMerge w:val="restart"/>
            <w:shd w:val="clear" w:color="auto" w:fill="auto"/>
            <w:vAlign w:val="center"/>
          </w:tcPr>
          <w:p>
            <w:pPr>
              <w:rPr>
                <w:rFonts w:hAnsi="宋体" w:cs="宋体"/>
                <w:bCs/>
                <w:sz w:val="20"/>
              </w:rPr>
            </w:pPr>
            <w:r>
              <w:rPr>
                <w:rFonts w:hAnsi="宋体" w:cs="宋体"/>
                <w:bCs/>
                <w:sz w:val="20"/>
              </w:rPr>
              <w:t>设置用水远传计量系统、水质在线监测系统。</w:t>
            </w:r>
          </w:p>
        </w:tc>
        <w:tc>
          <w:tcPr>
            <w:tcW w:w="2134" w:type="pct"/>
            <w:gridSpan w:val="8"/>
            <w:shd w:val="clear" w:color="auto" w:fill="auto"/>
            <w:vAlign w:val="center"/>
          </w:tcPr>
          <w:p>
            <w:pPr>
              <w:rPr>
                <w:rFonts w:hAnsi="宋体" w:cs="宋体"/>
                <w:bCs/>
                <w:sz w:val="20"/>
              </w:rPr>
            </w:pPr>
            <w:r>
              <w:rPr>
                <w:rFonts w:hAnsi="宋体" w:cs="宋体"/>
                <w:bCs/>
                <w:sz w:val="20"/>
              </w:rPr>
              <w:t>设置用水量远传计量系统，能分类、分级记录、统计分析各种用水情况。</w:t>
            </w:r>
          </w:p>
        </w:tc>
        <w:tc>
          <w:tcPr>
            <w:tcW w:w="391" w:type="pct"/>
            <w:vAlign w:val="center"/>
          </w:tcPr>
          <w:p>
            <w:pPr>
              <w:jc w:val="center"/>
              <w:rPr>
                <w:rFonts w:hAnsi="宋体" w:cs="宋体"/>
                <w:b/>
                <w:bCs/>
                <w:sz w:val="20"/>
              </w:rPr>
            </w:pPr>
            <w:r>
              <w:rPr>
                <w:rFonts w:hAnsi="宋体" w:cs="宋体"/>
                <w:b/>
                <w:bCs/>
                <w:sz w:val="20"/>
              </w:rPr>
              <w:t>3</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7</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shd w:val="clear" w:color="auto" w:fill="auto"/>
            <w:noWrap/>
            <w:vAlign w:val="center"/>
          </w:tcPr>
          <w:p>
            <w:pPr>
              <w:widowControl/>
              <w:rPr>
                <w:rFonts w:hAnsi="宋体" w:cs="宋体"/>
                <w:sz w:val="20"/>
              </w:rPr>
            </w:pPr>
          </w:p>
        </w:tc>
        <w:tc>
          <w:tcPr>
            <w:tcW w:w="512" w:type="pct"/>
            <w:vMerge w:val="continue"/>
            <w:shd w:val="clear" w:color="auto" w:fill="auto"/>
            <w:vAlign w:val="center"/>
          </w:tcPr>
          <w:p>
            <w:pPr>
              <w:rPr>
                <w:rFonts w:hAnsi="宋体" w:cs="宋体"/>
                <w:bCs/>
                <w:sz w:val="20"/>
              </w:rPr>
            </w:pPr>
          </w:p>
        </w:tc>
        <w:tc>
          <w:tcPr>
            <w:tcW w:w="2134" w:type="pct"/>
            <w:gridSpan w:val="8"/>
            <w:shd w:val="clear" w:color="auto" w:fill="auto"/>
            <w:vAlign w:val="center"/>
          </w:tcPr>
          <w:p>
            <w:pPr>
              <w:rPr>
                <w:rFonts w:hAnsi="宋体" w:cs="宋体"/>
                <w:bCs/>
                <w:sz w:val="20"/>
              </w:rPr>
            </w:pPr>
            <w:r>
              <w:rPr>
                <w:rFonts w:hAnsi="宋体" w:cs="宋体"/>
                <w:bCs/>
                <w:sz w:val="20"/>
              </w:rPr>
              <w:t>利用计量数据进行管网漏损自动监测、分析与整改，管道漏损率低于5%。</w:t>
            </w:r>
          </w:p>
        </w:tc>
        <w:tc>
          <w:tcPr>
            <w:tcW w:w="391" w:type="pct"/>
            <w:vAlign w:val="center"/>
          </w:tcPr>
          <w:p>
            <w:pPr>
              <w:jc w:val="center"/>
              <w:rPr>
                <w:rFonts w:hAnsi="宋体" w:cs="宋体"/>
                <w:b/>
                <w:bCs/>
                <w:sz w:val="20"/>
              </w:rPr>
            </w:pPr>
            <w:r>
              <w:rPr>
                <w:rFonts w:hAnsi="宋体" w:cs="宋体"/>
                <w:b/>
                <w:bCs/>
                <w:sz w:val="20"/>
              </w:rPr>
              <w:t>2</w:t>
            </w:r>
          </w:p>
        </w:tc>
        <w:tc>
          <w:tcPr>
            <w:tcW w:w="375" w:type="pct"/>
            <w:vMerge w:val="continue"/>
            <w:shd w:val="clear" w:color="auto" w:fill="auto"/>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shd w:val="clear" w:color="auto" w:fill="auto"/>
            <w:noWrap/>
            <w:vAlign w:val="center"/>
          </w:tcPr>
          <w:p>
            <w:pPr>
              <w:widowControl/>
              <w:rPr>
                <w:rFonts w:hAnsi="宋体" w:cs="宋体"/>
                <w:sz w:val="20"/>
              </w:rPr>
            </w:pPr>
          </w:p>
        </w:tc>
        <w:tc>
          <w:tcPr>
            <w:tcW w:w="512" w:type="pct"/>
            <w:vMerge w:val="continue"/>
            <w:shd w:val="clear" w:color="auto" w:fill="auto"/>
            <w:vAlign w:val="center"/>
          </w:tcPr>
          <w:p>
            <w:pPr>
              <w:rPr>
                <w:rFonts w:hAnsi="宋体" w:cs="宋体"/>
                <w:bCs/>
                <w:sz w:val="20"/>
              </w:rPr>
            </w:pPr>
          </w:p>
        </w:tc>
        <w:tc>
          <w:tcPr>
            <w:tcW w:w="2134" w:type="pct"/>
            <w:gridSpan w:val="8"/>
            <w:shd w:val="clear" w:color="auto" w:fill="auto"/>
            <w:vAlign w:val="center"/>
          </w:tcPr>
          <w:p>
            <w:pPr>
              <w:rPr>
                <w:rFonts w:hAnsi="宋体" w:cs="宋体"/>
                <w:bCs/>
                <w:sz w:val="20"/>
              </w:rPr>
            </w:pPr>
            <w:r>
              <w:rPr>
                <w:rFonts w:hAnsi="宋体" w:cs="宋体"/>
                <w:bCs/>
                <w:sz w:val="20"/>
              </w:rPr>
              <w:t>设置水质在线监测系统，监测生活饮用水、管道直饮水、游泳池水、非传统水源、空调冷却水的水质指标，记录并保存水质监测结果，且能随时供用户查询。</w:t>
            </w:r>
          </w:p>
        </w:tc>
        <w:tc>
          <w:tcPr>
            <w:tcW w:w="391" w:type="pct"/>
            <w:vAlign w:val="center"/>
          </w:tcPr>
          <w:p>
            <w:pPr>
              <w:jc w:val="center"/>
              <w:rPr>
                <w:rFonts w:hAnsi="宋体" w:cs="宋体"/>
                <w:b/>
                <w:bCs/>
                <w:sz w:val="20"/>
              </w:rPr>
            </w:pPr>
            <w:r>
              <w:rPr>
                <w:rFonts w:hAnsi="宋体" w:cs="宋体"/>
                <w:b/>
                <w:bCs/>
                <w:sz w:val="20"/>
              </w:rPr>
              <w:t>2</w:t>
            </w:r>
          </w:p>
        </w:tc>
        <w:tc>
          <w:tcPr>
            <w:tcW w:w="375" w:type="pct"/>
            <w:vMerge w:val="continue"/>
            <w:shd w:val="clear" w:color="auto" w:fill="auto"/>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rPr>
                <w:rFonts w:hAnsi="宋体" w:cs="宋体"/>
                <w:sz w:val="20"/>
              </w:rPr>
            </w:pPr>
            <w:r>
              <w:rPr>
                <w:rFonts w:hAnsi="宋体" w:cs="宋体"/>
                <w:sz w:val="20"/>
              </w:rPr>
              <w:t>6.2.9</w:t>
            </w:r>
          </w:p>
        </w:tc>
        <w:tc>
          <w:tcPr>
            <w:tcW w:w="512" w:type="pct"/>
            <w:vMerge w:val="restart"/>
            <w:shd w:val="clear" w:color="auto" w:fill="auto"/>
            <w:vAlign w:val="center"/>
          </w:tcPr>
          <w:p>
            <w:pPr>
              <w:rPr>
                <w:rFonts w:hAnsi="宋体" w:cs="宋体"/>
                <w:bCs/>
                <w:sz w:val="20"/>
              </w:rPr>
            </w:pPr>
            <w:r>
              <w:rPr>
                <w:rFonts w:hAnsi="宋体" w:cs="宋体"/>
                <w:bCs/>
                <w:sz w:val="20"/>
              </w:rPr>
              <w:t>具有智能化服务系统。</w:t>
            </w:r>
          </w:p>
        </w:tc>
        <w:tc>
          <w:tcPr>
            <w:tcW w:w="2134" w:type="pct"/>
            <w:gridSpan w:val="8"/>
            <w:shd w:val="clear" w:color="auto" w:fill="auto"/>
            <w:vAlign w:val="center"/>
          </w:tcPr>
          <w:p>
            <w:pPr>
              <w:rPr>
                <w:rFonts w:hAnsi="宋体" w:cs="宋体"/>
                <w:bCs/>
                <w:sz w:val="20"/>
              </w:rPr>
            </w:pPr>
            <w:r>
              <w:rPr>
                <w:rFonts w:hAnsi="宋体" w:cs="宋体"/>
                <w:bCs/>
                <w:sz w:val="20"/>
              </w:rPr>
              <w:t>具有家电控制、照明控制、安全报警、环境监测、建筑设备控制、工作生活服务等3种及以上的服务功能。</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9</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具有远程监控的功能。</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bCs/>
                <w:sz w:val="20"/>
              </w:rPr>
            </w:pPr>
            <w:r>
              <w:rPr>
                <w:rFonts w:hAnsi="宋体" w:cs="宋体"/>
                <w:bCs/>
                <w:sz w:val="20"/>
              </w:rPr>
              <w:t>具有接入智慧城市（城区、社区）的功能。</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restart"/>
            <w:vAlign w:val="center"/>
          </w:tcPr>
          <w:p>
            <w:pPr>
              <w:widowControl/>
              <w:rPr>
                <w:rFonts w:hAnsi="宋体" w:cs="宋体"/>
                <w:b/>
                <w:bCs/>
                <w:sz w:val="20"/>
              </w:rPr>
            </w:pPr>
            <w:r>
              <w:rPr>
                <w:rFonts w:hAnsi="宋体" w:cs="宋体"/>
                <w:b/>
                <w:bCs/>
                <w:sz w:val="20"/>
              </w:rPr>
              <w:t>节约资源</w:t>
            </w:r>
          </w:p>
        </w:tc>
        <w:tc>
          <w:tcPr>
            <w:tcW w:w="492" w:type="pct"/>
            <w:shd w:val="clear" w:color="auto" w:fill="auto"/>
            <w:noWrap/>
            <w:vAlign w:val="center"/>
          </w:tcPr>
          <w:p>
            <w:pPr>
              <w:widowControl/>
              <w:rPr>
                <w:rFonts w:hAnsi="宋体" w:cs="宋体"/>
                <w:sz w:val="20"/>
              </w:rPr>
            </w:pPr>
            <w:r>
              <w:rPr>
                <w:rFonts w:hAnsi="宋体" w:cs="宋体"/>
                <w:sz w:val="20"/>
              </w:rPr>
              <w:t>7.1.1</w:t>
            </w:r>
          </w:p>
        </w:tc>
        <w:tc>
          <w:tcPr>
            <w:tcW w:w="2646" w:type="pct"/>
            <w:gridSpan w:val="9"/>
            <w:shd w:val="clear" w:color="auto" w:fill="auto"/>
            <w:vAlign w:val="center"/>
          </w:tcPr>
          <w:p>
            <w:pPr>
              <w:rPr>
                <w:rFonts w:hAnsi="宋体" w:cs="宋体"/>
                <w:bCs/>
                <w:sz w:val="20"/>
              </w:rPr>
            </w:pPr>
            <w:r>
              <w:rPr>
                <w:rFonts w:hAnsi="宋体" w:cs="宋体"/>
                <w:bCs/>
                <w:sz w:val="20"/>
              </w:rPr>
              <w:t>应结合场地自然条件和建筑功能需求，对建筑的体形、平面布局、空间尺度、围护结构等进行节能设计，且应符合国家有关节能设计的要求。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7.1.2</w:t>
            </w:r>
          </w:p>
        </w:tc>
        <w:tc>
          <w:tcPr>
            <w:tcW w:w="730" w:type="pct"/>
            <w:gridSpan w:val="3"/>
            <w:vMerge w:val="restart"/>
            <w:shd w:val="clear" w:color="auto" w:fill="auto"/>
            <w:vAlign w:val="center"/>
          </w:tcPr>
          <w:p>
            <w:pPr>
              <w:rPr>
                <w:rFonts w:hAnsi="宋体" w:cs="宋体"/>
                <w:bCs/>
                <w:sz w:val="20"/>
              </w:rPr>
            </w:pPr>
            <w:r>
              <w:rPr>
                <w:rFonts w:hAnsi="宋体" w:cs="宋体"/>
                <w:bCs/>
                <w:sz w:val="20"/>
              </w:rPr>
              <w:t>应采取措施降低部分负荷、部分空间使用下的供暖、空调系统能耗。</w:t>
            </w:r>
          </w:p>
        </w:tc>
        <w:tc>
          <w:tcPr>
            <w:tcW w:w="1916" w:type="pct"/>
            <w:gridSpan w:val="6"/>
            <w:shd w:val="clear" w:color="auto" w:fill="auto"/>
            <w:vAlign w:val="center"/>
          </w:tcPr>
          <w:p>
            <w:pPr>
              <w:rPr>
                <w:rFonts w:hAnsi="宋体" w:cs="宋体"/>
                <w:bCs/>
                <w:sz w:val="20"/>
              </w:rPr>
            </w:pPr>
            <w:r>
              <w:rPr>
                <w:rFonts w:hAnsi="宋体" w:cs="宋体"/>
                <w:bCs/>
                <w:sz w:val="20"/>
              </w:rPr>
              <w:t>应区分房间的朝向细分供暖、空调区域，并应对系统进行分区控制。</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730" w:type="pct"/>
            <w:gridSpan w:val="3"/>
            <w:vMerge w:val="continue"/>
            <w:vAlign w:val="center"/>
          </w:tcPr>
          <w:p>
            <w:pPr>
              <w:widowControl/>
              <w:rPr>
                <w:rFonts w:hAnsi="宋体" w:cs="宋体"/>
                <w:b/>
                <w:bCs/>
                <w:sz w:val="20"/>
              </w:rPr>
            </w:pPr>
          </w:p>
        </w:tc>
        <w:tc>
          <w:tcPr>
            <w:tcW w:w="1916" w:type="pct"/>
            <w:gridSpan w:val="6"/>
            <w:vAlign w:val="center"/>
          </w:tcPr>
          <w:p>
            <w:pPr>
              <w:rPr>
                <w:rFonts w:hAnsi="宋体" w:cs="宋体"/>
                <w:bCs/>
                <w:sz w:val="20"/>
              </w:rPr>
            </w:pPr>
            <w:r>
              <w:rPr>
                <w:rFonts w:hAnsi="宋体" w:cs="宋体"/>
                <w:bCs/>
                <w:sz w:val="20"/>
              </w:rPr>
              <w:t>IPLV、SCOP满足</w:t>
            </w:r>
            <w:r>
              <w:rPr>
                <w:rFonts w:hAnsi="宋体" w:cs="宋体"/>
                <w:sz w:val="20"/>
              </w:rPr>
              <w:t>现行国家标准</w:t>
            </w:r>
            <w:r>
              <w:rPr>
                <w:rFonts w:hAnsi="宋体" w:cs="宋体"/>
                <w:bCs/>
                <w:sz w:val="20"/>
              </w:rPr>
              <w:t>《公共建筑节能设计标准》GB 50189规定。</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7.1.3</w:t>
            </w:r>
          </w:p>
        </w:tc>
        <w:tc>
          <w:tcPr>
            <w:tcW w:w="2646" w:type="pct"/>
            <w:gridSpan w:val="9"/>
            <w:shd w:val="clear" w:color="auto" w:fill="auto"/>
            <w:vAlign w:val="center"/>
          </w:tcPr>
          <w:p>
            <w:pPr>
              <w:widowControl/>
              <w:rPr>
                <w:rFonts w:hAnsi="宋体" w:cs="宋体"/>
                <w:b/>
                <w:bCs/>
                <w:sz w:val="20"/>
              </w:rPr>
            </w:pPr>
            <w:r>
              <w:rPr>
                <w:rFonts w:hAnsi="宋体" w:cs="宋体"/>
                <w:sz w:val="20"/>
              </w:rPr>
              <w:t>应根据建筑空间功能设置分区温度，合理降低室内过渡区空间的温度设定标准。</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7.1.4</w:t>
            </w:r>
          </w:p>
        </w:tc>
        <w:tc>
          <w:tcPr>
            <w:tcW w:w="2646" w:type="pct"/>
            <w:gridSpan w:val="9"/>
            <w:shd w:val="clear" w:color="auto" w:fill="auto"/>
            <w:vAlign w:val="center"/>
          </w:tcPr>
          <w:p>
            <w:pPr>
              <w:widowControl/>
              <w:rPr>
                <w:rFonts w:hAnsi="宋体" w:cs="宋体"/>
                <w:bCs/>
                <w:sz w:val="20"/>
              </w:rPr>
            </w:pPr>
            <w:r>
              <w:rPr>
                <w:rFonts w:hAnsi="宋体" w:cs="宋体"/>
                <w:sz w:val="20"/>
              </w:rPr>
              <w:t>主要功能房间的照明功率密度值不应高于现行国家标准《建筑照明设计标准》GB 50034规定的现行值；公共区域的照明系统应采用分区、定时、感应等节能控制；采光区域的照明控制应独立于其他区域的照明控制。</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7.1.5</w:t>
            </w:r>
          </w:p>
        </w:tc>
        <w:tc>
          <w:tcPr>
            <w:tcW w:w="2646" w:type="pct"/>
            <w:gridSpan w:val="9"/>
            <w:shd w:val="clear" w:color="auto" w:fill="auto"/>
            <w:vAlign w:val="center"/>
          </w:tcPr>
          <w:p>
            <w:pPr>
              <w:widowControl/>
              <w:rPr>
                <w:rFonts w:hAnsi="宋体" w:cs="宋体"/>
                <w:bCs/>
                <w:sz w:val="20"/>
              </w:rPr>
            </w:pPr>
            <w:r>
              <w:rPr>
                <w:rFonts w:hAnsi="宋体" w:cs="宋体"/>
                <w:sz w:val="20"/>
              </w:rPr>
              <w:t>冷热源、输配系统和照明等各部分能耗应进行独立分项计量。</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7.1.6</w:t>
            </w:r>
          </w:p>
        </w:tc>
        <w:tc>
          <w:tcPr>
            <w:tcW w:w="2646" w:type="pct"/>
            <w:gridSpan w:val="9"/>
            <w:shd w:val="clear" w:color="auto" w:fill="auto"/>
            <w:vAlign w:val="center"/>
          </w:tcPr>
          <w:p>
            <w:pPr>
              <w:widowControl/>
              <w:rPr>
                <w:rFonts w:hAnsi="宋体" w:cs="宋体"/>
                <w:bCs/>
                <w:sz w:val="20"/>
              </w:rPr>
            </w:pPr>
            <w:r>
              <w:rPr>
                <w:rFonts w:hAnsi="宋体" w:cs="宋体"/>
                <w:sz w:val="20"/>
              </w:rPr>
              <w:t>垂直电梯应采取群控、变频调速或能量反馈等节能措施；自动扶梯应采用变频感应启动等节能控制措施。</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7.1.7</w:t>
            </w:r>
          </w:p>
        </w:tc>
        <w:tc>
          <w:tcPr>
            <w:tcW w:w="512" w:type="pct"/>
            <w:vMerge w:val="restart"/>
            <w:shd w:val="clear" w:color="auto" w:fill="auto"/>
            <w:vAlign w:val="center"/>
          </w:tcPr>
          <w:p>
            <w:pPr>
              <w:widowControl/>
              <w:rPr>
                <w:rFonts w:hAnsi="宋体" w:cs="宋体"/>
                <w:bCs/>
                <w:sz w:val="20"/>
              </w:rPr>
            </w:pPr>
            <w:r>
              <w:rPr>
                <w:rFonts w:hAnsi="宋体" w:cs="宋体"/>
                <w:sz w:val="20"/>
              </w:rPr>
              <w:t>应制定水资源利用方案，统筹利用各种水资源。</w:t>
            </w:r>
          </w:p>
        </w:tc>
        <w:tc>
          <w:tcPr>
            <w:tcW w:w="2134" w:type="pct"/>
            <w:gridSpan w:val="8"/>
            <w:shd w:val="clear" w:color="auto" w:fill="auto"/>
            <w:vAlign w:val="center"/>
          </w:tcPr>
          <w:p>
            <w:pPr>
              <w:widowControl/>
              <w:rPr>
                <w:rFonts w:hAnsi="宋体" w:cs="宋体"/>
                <w:bCs/>
                <w:sz w:val="20"/>
              </w:rPr>
            </w:pPr>
            <w:r>
              <w:rPr>
                <w:rFonts w:hAnsi="宋体" w:cs="宋体"/>
                <w:bCs/>
                <w:sz w:val="20"/>
              </w:rPr>
              <w:t>应按使用用途、付费或管理单元，分别设置用水计量装置；</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用水点处水压大于0.2Mpa的配水支管应设置减压设施，并应满足给水配件的最小工作压力的要求；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用水器具和设备应满足节水产品的要求。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7.1.8</w:t>
            </w:r>
          </w:p>
        </w:tc>
        <w:tc>
          <w:tcPr>
            <w:tcW w:w="2646" w:type="pct"/>
            <w:gridSpan w:val="9"/>
            <w:shd w:val="clear" w:color="auto" w:fill="auto"/>
            <w:vAlign w:val="center"/>
          </w:tcPr>
          <w:p>
            <w:pPr>
              <w:widowControl/>
              <w:rPr>
                <w:rFonts w:hAnsi="宋体" w:cs="宋体"/>
                <w:bCs/>
                <w:sz w:val="20"/>
              </w:rPr>
            </w:pPr>
            <w:r>
              <w:rPr>
                <w:rFonts w:hAnsi="宋体" w:cs="宋体"/>
                <w:sz w:val="20"/>
              </w:rPr>
              <w:t>不应采用建筑形体和布置严重不规则的建筑结构。</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7.1.9</w:t>
            </w:r>
          </w:p>
        </w:tc>
        <w:tc>
          <w:tcPr>
            <w:tcW w:w="512" w:type="pct"/>
            <w:vMerge w:val="restart"/>
            <w:shd w:val="clear" w:color="auto" w:fill="auto"/>
            <w:vAlign w:val="center"/>
          </w:tcPr>
          <w:p>
            <w:pPr>
              <w:widowControl/>
              <w:rPr>
                <w:rFonts w:hAnsi="宋体" w:cs="宋体"/>
                <w:b/>
                <w:bCs/>
                <w:sz w:val="20"/>
              </w:rPr>
            </w:pPr>
            <w:r>
              <w:rPr>
                <w:rFonts w:hAnsi="宋体" w:cs="宋体"/>
                <w:bCs/>
                <w:sz w:val="20"/>
              </w:rPr>
              <w:t>建筑造型要素应简约，且无大量装饰性构件。</w:t>
            </w:r>
          </w:p>
        </w:tc>
        <w:tc>
          <w:tcPr>
            <w:tcW w:w="2134" w:type="pct"/>
            <w:gridSpan w:val="8"/>
            <w:shd w:val="clear" w:color="auto" w:fill="auto"/>
            <w:vAlign w:val="center"/>
          </w:tcPr>
          <w:p>
            <w:pPr>
              <w:widowControl/>
              <w:rPr>
                <w:rFonts w:hAnsi="宋体" w:cs="宋体"/>
                <w:bCs/>
                <w:sz w:val="20"/>
              </w:rPr>
            </w:pPr>
            <w:r>
              <w:rPr>
                <w:rFonts w:hAnsi="宋体" w:cs="宋体"/>
                <w:bCs/>
                <w:sz w:val="20"/>
              </w:rPr>
              <w:t>住宅建筑的装饰性构件造价占建筑总造价的比例不应大于2%；</w:t>
            </w:r>
          </w:p>
        </w:tc>
        <w:tc>
          <w:tcPr>
            <w:tcW w:w="766" w:type="pct"/>
            <w:gridSpan w:val="2"/>
            <w:vMerge w:val="restart"/>
            <w:vAlign w:val="center"/>
          </w:tcPr>
          <w:p>
            <w:pPr>
              <w:jc w:val="center"/>
              <w:rPr>
                <w:rFonts w:hAnsi="宋体" w:cs="宋体"/>
                <w:b/>
                <w:bCs/>
                <w:sz w:val="20"/>
              </w:rPr>
            </w:pPr>
            <w:r>
              <w:rPr>
                <w:rFonts w:hAnsi="宋体" w:cs="宋体"/>
                <w:b/>
                <w:bCs/>
                <w:sz w:val="20"/>
              </w:rPr>
              <w:t>控制项</w:t>
            </w:r>
          </w:p>
        </w:tc>
        <w:tc>
          <w:tcPr>
            <w:tcW w:w="455" w:type="pct"/>
            <w:vMerge w:val="restar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vMerge w:val="restar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255" w:type="pct"/>
            <w:vMerge w:val="continue"/>
            <w:vAlign w:val="center"/>
          </w:tcPr>
          <w:p>
            <w:pPr>
              <w:widowControl/>
              <w:rPr>
                <w:rFonts w:hAnsi="宋体" w:cs="宋体"/>
                <w:sz w:val="20"/>
              </w:rPr>
            </w:pPr>
          </w:p>
        </w:tc>
        <w:tc>
          <w:tcPr>
            <w:tcW w:w="492" w:type="pct"/>
            <w:vMerge w:val="continue"/>
            <w:shd w:val="clear" w:color="auto" w:fill="auto"/>
            <w:noWrap/>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Cs/>
                <w:sz w:val="20"/>
              </w:rPr>
            </w:pPr>
          </w:p>
        </w:tc>
        <w:tc>
          <w:tcPr>
            <w:tcW w:w="2134" w:type="pct"/>
            <w:gridSpan w:val="8"/>
            <w:shd w:val="clear" w:color="auto" w:fill="auto"/>
            <w:vAlign w:val="center"/>
          </w:tcPr>
          <w:p>
            <w:pPr>
              <w:widowControl/>
              <w:rPr>
                <w:rFonts w:hAnsi="宋体" w:cs="宋体"/>
                <w:bCs/>
                <w:sz w:val="20"/>
              </w:rPr>
            </w:pPr>
            <w:r>
              <w:rPr>
                <w:rFonts w:hAnsi="宋体" w:cs="宋体"/>
                <w:bCs/>
                <w:sz w:val="20"/>
              </w:rPr>
              <w:t>公共建筑的装饰性构件造价占建筑总造价的比例不应大于1%。</w:t>
            </w:r>
          </w:p>
        </w:tc>
        <w:tc>
          <w:tcPr>
            <w:tcW w:w="766" w:type="pct"/>
            <w:gridSpan w:val="2"/>
            <w:vMerge w:val="continue"/>
            <w:vAlign w:val="center"/>
          </w:tcPr>
          <w:p>
            <w:pPr>
              <w:jc w:val="center"/>
              <w:rPr>
                <w:rFonts w:hAnsi="宋体" w:cs="宋体"/>
                <w:b/>
                <w:bCs/>
                <w:sz w:val="20"/>
              </w:rPr>
            </w:pPr>
          </w:p>
        </w:tc>
        <w:tc>
          <w:tcPr>
            <w:tcW w:w="455" w:type="pct"/>
            <w:vMerge w:val="continue"/>
            <w:vAlign w:val="center"/>
          </w:tcPr>
          <w:p>
            <w:pPr>
              <w:widowControl/>
              <w:ind w:left="-63" w:leftChars="-30" w:right="-105" w:rightChars="-50"/>
              <w:rPr>
                <w:rFonts w:hAnsi="宋体" w:cs="宋体"/>
                <w:szCs w:val="21"/>
              </w:rPr>
            </w:pPr>
          </w:p>
        </w:tc>
        <w:tc>
          <w:tcPr>
            <w:tcW w:w="386" w:type="pct"/>
            <w:vMerge w:val="continue"/>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7.1.10</w:t>
            </w:r>
          </w:p>
        </w:tc>
        <w:tc>
          <w:tcPr>
            <w:tcW w:w="512" w:type="pct"/>
            <w:vMerge w:val="restart"/>
            <w:shd w:val="clear" w:color="auto" w:fill="auto"/>
            <w:vAlign w:val="center"/>
          </w:tcPr>
          <w:p>
            <w:pPr>
              <w:widowControl/>
              <w:rPr>
                <w:rFonts w:hAnsi="宋体" w:cs="宋体"/>
                <w:bCs/>
                <w:sz w:val="20"/>
              </w:rPr>
            </w:pPr>
            <w:r>
              <w:rPr>
                <w:rFonts w:hAnsi="宋体" w:cs="宋体"/>
                <w:bCs/>
                <w:sz w:val="20"/>
              </w:rPr>
              <w:t>建筑材料选用</w:t>
            </w:r>
          </w:p>
        </w:tc>
        <w:tc>
          <w:tcPr>
            <w:tcW w:w="2134" w:type="pct"/>
            <w:gridSpan w:val="8"/>
            <w:shd w:val="clear" w:color="auto" w:fill="auto"/>
            <w:vAlign w:val="center"/>
          </w:tcPr>
          <w:p>
            <w:pPr>
              <w:rPr>
                <w:rFonts w:hAnsi="宋体" w:cs="宋体"/>
                <w:sz w:val="20"/>
              </w:rPr>
            </w:pPr>
            <w:r>
              <w:rPr>
                <w:rFonts w:hAnsi="宋体" w:cs="宋体"/>
                <w:sz w:val="20"/>
              </w:rPr>
              <w:t>500km以内生产的建筑材料使用量占建筑材料总重量的比例应大于60%。</w:t>
            </w:r>
          </w:p>
        </w:tc>
        <w:tc>
          <w:tcPr>
            <w:tcW w:w="766" w:type="pct"/>
            <w:gridSpan w:val="2"/>
            <w:vMerge w:val="restart"/>
            <w:vAlign w:val="center"/>
          </w:tcPr>
          <w:p>
            <w:pPr>
              <w:widowControl/>
              <w:jc w:val="center"/>
              <w:rPr>
                <w:rFonts w:hAnsi="宋体" w:cs="宋体"/>
                <w:b/>
                <w:bCs/>
                <w:sz w:val="20"/>
              </w:rPr>
            </w:pPr>
            <w:r>
              <w:rPr>
                <w:rFonts w:hAnsi="宋体" w:cs="宋体"/>
                <w:b/>
                <w:bCs/>
                <w:sz w:val="20"/>
              </w:rPr>
              <w:t>控制项</w:t>
            </w:r>
          </w:p>
        </w:tc>
        <w:tc>
          <w:tcPr>
            <w:tcW w:w="455" w:type="pct"/>
            <w:vMerge w:val="restar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vMerge w:val="restar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
                <w:bCs/>
                <w:sz w:val="20"/>
              </w:rPr>
            </w:pPr>
          </w:p>
        </w:tc>
        <w:tc>
          <w:tcPr>
            <w:tcW w:w="2134" w:type="pct"/>
            <w:gridSpan w:val="8"/>
            <w:vAlign w:val="center"/>
          </w:tcPr>
          <w:p>
            <w:pPr>
              <w:rPr>
                <w:rFonts w:hAnsi="宋体" w:cs="宋体"/>
                <w:sz w:val="20"/>
              </w:rPr>
            </w:pPr>
            <w:r>
              <w:rPr>
                <w:rFonts w:hAnsi="宋体" w:cs="宋体"/>
                <w:sz w:val="20"/>
              </w:rPr>
              <w:t>现浇混凝土应采用预拌混凝土，建筑砂浆应采用预拌砂浆。</w:t>
            </w:r>
          </w:p>
        </w:tc>
        <w:tc>
          <w:tcPr>
            <w:tcW w:w="766" w:type="pct"/>
            <w:gridSpan w:val="2"/>
            <w:vMerge w:val="continue"/>
            <w:vAlign w:val="center"/>
          </w:tcPr>
          <w:p>
            <w:pPr>
              <w:widowControl/>
              <w:jc w:val="center"/>
              <w:rPr>
                <w:rFonts w:hAnsi="宋体" w:cs="宋体"/>
                <w:b/>
                <w:bCs/>
                <w:sz w:val="20"/>
              </w:rPr>
            </w:pPr>
          </w:p>
        </w:tc>
        <w:tc>
          <w:tcPr>
            <w:tcW w:w="455" w:type="pct"/>
            <w:vMerge w:val="continue"/>
            <w:vAlign w:val="center"/>
          </w:tcPr>
          <w:p>
            <w:pPr>
              <w:widowControl/>
              <w:rPr>
                <w:rFonts w:hAnsi="宋体" w:cs="宋体"/>
                <w:b/>
                <w:bCs/>
                <w:sz w:val="20"/>
              </w:rPr>
            </w:pPr>
          </w:p>
        </w:tc>
        <w:tc>
          <w:tcPr>
            <w:tcW w:w="386" w:type="pct"/>
            <w:vMerge w:val="continue"/>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7.2.1</w:t>
            </w:r>
          </w:p>
        </w:tc>
        <w:tc>
          <w:tcPr>
            <w:tcW w:w="512" w:type="pct"/>
            <w:vMerge w:val="restart"/>
            <w:shd w:val="clear" w:color="auto" w:fill="auto"/>
            <w:vAlign w:val="center"/>
          </w:tcPr>
          <w:p>
            <w:pPr>
              <w:widowControl/>
              <w:rPr>
                <w:rFonts w:hAnsi="宋体" w:cs="宋体"/>
                <w:bCs/>
                <w:sz w:val="20"/>
              </w:rPr>
            </w:pPr>
            <w:r>
              <w:rPr>
                <w:rFonts w:hAnsi="宋体" w:cs="宋体"/>
                <w:bCs/>
                <w:sz w:val="20"/>
              </w:rPr>
              <w:t>节约集约利用土地</w:t>
            </w:r>
          </w:p>
        </w:tc>
        <w:tc>
          <w:tcPr>
            <w:tcW w:w="2134" w:type="pct"/>
            <w:gridSpan w:val="8"/>
            <w:shd w:val="clear" w:color="auto" w:fill="auto"/>
            <w:vAlign w:val="center"/>
          </w:tcPr>
          <w:p>
            <w:pPr>
              <w:widowControl/>
              <w:rPr>
                <w:rFonts w:hAnsi="宋体" w:cs="宋体"/>
                <w:bCs/>
                <w:sz w:val="20"/>
              </w:rPr>
            </w:pPr>
            <w:r>
              <w:rPr>
                <w:rFonts w:hAnsi="宋体" w:cs="宋体"/>
                <w:bCs/>
                <w:sz w:val="20"/>
              </w:rPr>
              <w:t>住宅建筑根据其所在居住街坊人均住宅用地规则评定。</w:t>
            </w:r>
          </w:p>
        </w:tc>
        <w:tc>
          <w:tcPr>
            <w:tcW w:w="391" w:type="pct"/>
            <w:vAlign w:val="center"/>
          </w:tcPr>
          <w:p>
            <w:pPr>
              <w:widowControl/>
              <w:jc w:val="center"/>
              <w:rPr>
                <w:rFonts w:hAnsi="宋体" w:cs="宋体"/>
                <w:b/>
                <w:bCs/>
                <w:sz w:val="20"/>
              </w:rPr>
            </w:pPr>
            <w:r>
              <w:rPr>
                <w:rFonts w:hAnsi="宋体" w:cs="宋体"/>
                <w:b/>
                <w:bCs/>
                <w:sz w:val="20"/>
              </w:rPr>
              <w:t>20</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20</w:t>
            </w:r>
          </w:p>
        </w:tc>
        <w:tc>
          <w:tcPr>
            <w:tcW w:w="455" w:type="pct"/>
            <w:vMerge w:val="restar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255" w:type="pct"/>
            <w:vMerge w:val="continue"/>
            <w:vAlign w:val="center"/>
          </w:tcPr>
          <w:p>
            <w:pPr>
              <w:widowControl/>
              <w:rPr>
                <w:rFonts w:hAnsi="宋体" w:cs="宋体"/>
                <w:sz w:val="20"/>
              </w:rPr>
            </w:pPr>
          </w:p>
        </w:tc>
        <w:tc>
          <w:tcPr>
            <w:tcW w:w="492" w:type="pct"/>
            <w:vMerge w:val="continue"/>
            <w:shd w:val="clear" w:color="auto" w:fill="auto"/>
            <w:noWrap/>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Cs/>
                <w:sz w:val="20"/>
              </w:rPr>
            </w:pPr>
          </w:p>
        </w:tc>
        <w:tc>
          <w:tcPr>
            <w:tcW w:w="2134" w:type="pct"/>
            <w:gridSpan w:val="8"/>
            <w:shd w:val="clear" w:color="auto" w:fill="auto"/>
            <w:vAlign w:val="center"/>
          </w:tcPr>
          <w:p>
            <w:pPr>
              <w:widowControl/>
              <w:rPr>
                <w:rFonts w:hAnsi="宋体" w:cs="宋体"/>
                <w:bCs/>
                <w:sz w:val="20"/>
              </w:rPr>
            </w:pPr>
            <w:r>
              <w:rPr>
                <w:rFonts w:hAnsi="宋体" w:cs="宋体"/>
                <w:bCs/>
                <w:sz w:val="20"/>
              </w:rPr>
              <w:t>公共建筑根据不同功能建筑的容积率规则评定。</w:t>
            </w:r>
          </w:p>
        </w:tc>
        <w:tc>
          <w:tcPr>
            <w:tcW w:w="391" w:type="pct"/>
            <w:vAlign w:val="center"/>
          </w:tcPr>
          <w:p>
            <w:pPr>
              <w:jc w:val="center"/>
              <w:rPr>
                <w:rFonts w:hAnsi="宋体" w:cs="宋体"/>
                <w:b/>
                <w:bCs/>
                <w:sz w:val="20"/>
              </w:rPr>
            </w:pPr>
            <w:r>
              <w:rPr>
                <w:rFonts w:hAnsi="宋体" w:cs="宋体"/>
                <w:b/>
                <w:bCs/>
                <w:sz w:val="20"/>
              </w:rPr>
              <w:t>20</w:t>
            </w:r>
          </w:p>
        </w:tc>
        <w:tc>
          <w:tcPr>
            <w:tcW w:w="375" w:type="pct"/>
            <w:vMerge w:val="continue"/>
            <w:shd w:val="clear" w:color="auto" w:fill="auto"/>
            <w:vAlign w:val="center"/>
          </w:tcPr>
          <w:p>
            <w:pPr>
              <w:widowControl/>
              <w:jc w:val="center"/>
              <w:rPr>
                <w:rFonts w:hAnsi="宋体" w:cs="宋体"/>
                <w:b/>
                <w:bCs/>
                <w:sz w:val="20"/>
              </w:rPr>
            </w:pPr>
          </w:p>
        </w:tc>
        <w:tc>
          <w:tcPr>
            <w:tcW w:w="455" w:type="pct"/>
            <w:vMerge w:val="continue"/>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55" w:type="pct"/>
            <w:vMerge w:val="continue"/>
            <w:shd w:val="clear" w:color="000000" w:fill="FFFFFF"/>
            <w:vAlign w:val="center"/>
          </w:tcPr>
          <w:p>
            <w:pPr>
              <w:widowControl/>
              <w:rPr>
                <w:rFonts w:hAnsi="宋体" w:cs="宋体"/>
                <w:sz w:val="20"/>
              </w:rPr>
            </w:pPr>
          </w:p>
        </w:tc>
        <w:tc>
          <w:tcPr>
            <w:tcW w:w="492" w:type="pct"/>
            <w:vMerge w:val="restart"/>
            <w:shd w:val="clear" w:color="000000" w:fill="FFFFFF"/>
            <w:noWrap/>
            <w:vAlign w:val="center"/>
          </w:tcPr>
          <w:p>
            <w:pPr>
              <w:widowControl/>
              <w:rPr>
                <w:rFonts w:hAnsi="宋体" w:cs="宋体"/>
                <w:sz w:val="20"/>
              </w:rPr>
            </w:pPr>
            <w:r>
              <w:rPr>
                <w:rFonts w:hAnsi="宋体" w:cs="宋体"/>
                <w:sz w:val="20"/>
              </w:rPr>
              <w:t>7.2.2</w:t>
            </w:r>
          </w:p>
        </w:tc>
        <w:tc>
          <w:tcPr>
            <w:tcW w:w="512" w:type="pct"/>
            <w:vMerge w:val="restart"/>
            <w:shd w:val="clear" w:color="000000" w:fill="FFFFFF"/>
            <w:vAlign w:val="center"/>
          </w:tcPr>
          <w:p>
            <w:pPr>
              <w:widowControl/>
              <w:rPr>
                <w:rFonts w:hAnsi="宋体" w:cs="宋体"/>
                <w:bCs/>
                <w:sz w:val="20"/>
              </w:rPr>
            </w:pPr>
            <w:r>
              <w:rPr>
                <w:rFonts w:hAnsi="宋体" w:cs="宋体"/>
                <w:bCs/>
                <w:sz w:val="20"/>
              </w:rPr>
              <w:t>合理开发利用地下空间</w:t>
            </w:r>
          </w:p>
        </w:tc>
        <w:tc>
          <w:tcPr>
            <w:tcW w:w="2134" w:type="pct"/>
            <w:gridSpan w:val="8"/>
            <w:shd w:val="clear" w:color="000000" w:fill="FFFFFF"/>
            <w:vAlign w:val="center"/>
          </w:tcPr>
          <w:p>
            <w:pPr>
              <w:rPr>
                <w:rFonts w:hAnsi="宋体" w:cs="宋体"/>
                <w:sz w:val="20"/>
              </w:rPr>
            </w:pPr>
            <w:r>
              <w:rPr>
                <w:rFonts w:hAnsi="宋体" w:cs="宋体"/>
                <w:sz w:val="20"/>
              </w:rPr>
              <w:t>住宅建筑地下建筑面积与地上建筑面积的比率</w:t>
            </w:r>
            <w:r>
              <w:rPr>
                <w:rFonts w:hAnsi="宋体" w:cs="宋体"/>
                <w:iCs/>
                <w:sz w:val="20"/>
              </w:rPr>
              <w:t>R</w:t>
            </w:r>
            <w:r>
              <w:rPr>
                <w:rFonts w:hAnsi="宋体" w:cs="宋体"/>
                <w:sz w:val="20"/>
              </w:rPr>
              <w:t>r，地下一层建筑面积与总用地面积的比率</w:t>
            </w:r>
            <w:r>
              <w:rPr>
                <w:rFonts w:hAnsi="宋体" w:cs="宋体"/>
                <w:iCs/>
                <w:sz w:val="20"/>
              </w:rPr>
              <w:t>R</w:t>
            </w:r>
            <w:r>
              <w:rPr>
                <w:rFonts w:hAnsi="宋体" w:cs="宋体"/>
                <w:sz w:val="20"/>
              </w:rPr>
              <w:t>p：</w:t>
            </w:r>
          </w:p>
          <w:p>
            <w:pPr>
              <w:rPr>
                <w:rFonts w:hAnsi="宋体" w:cs="宋体"/>
                <w:sz w:val="20"/>
              </w:rPr>
            </w:pPr>
            <w:r>
              <w:rPr>
                <w:rFonts w:hAnsi="宋体" w:cs="宋体"/>
                <w:sz w:val="20"/>
              </w:rPr>
              <w:t>5%≤</w:t>
            </w:r>
            <w:r>
              <w:rPr>
                <w:rFonts w:hAnsi="宋体" w:cs="宋体"/>
                <w:iCs/>
                <w:sz w:val="20"/>
              </w:rPr>
              <w:t>R</w:t>
            </w:r>
            <w:r>
              <w:rPr>
                <w:rFonts w:hAnsi="宋体" w:cs="宋体"/>
                <w:sz w:val="20"/>
              </w:rPr>
              <w:t>r＜20%，得5分；</w:t>
            </w:r>
          </w:p>
          <w:p>
            <w:pPr>
              <w:rPr>
                <w:rFonts w:hAnsi="宋体" w:cs="宋体"/>
                <w:sz w:val="20"/>
              </w:rPr>
            </w:pPr>
            <w:r>
              <w:rPr>
                <w:rFonts w:hAnsi="宋体" w:cs="宋体"/>
                <w:iCs/>
                <w:sz w:val="20"/>
              </w:rPr>
              <w:t>R</w:t>
            </w:r>
            <w:r>
              <w:rPr>
                <w:rFonts w:hAnsi="宋体" w:cs="宋体"/>
                <w:sz w:val="20"/>
              </w:rPr>
              <w:t>r≥20%，得7分；</w:t>
            </w:r>
          </w:p>
          <w:p>
            <w:pPr>
              <w:rPr>
                <w:rFonts w:hAnsi="宋体" w:cs="宋体"/>
                <w:bCs/>
                <w:sz w:val="20"/>
              </w:rPr>
            </w:pPr>
            <w:r>
              <w:rPr>
                <w:rFonts w:hAnsi="宋体" w:cs="宋体"/>
                <w:iCs/>
                <w:sz w:val="20"/>
              </w:rPr>
              <w:t>R</w:t>
            </w:r>
            <w:r>
              <w:rPr>
                <w:rFonts w:hAnsi="宋体" w:cs="宋体"/>
                <w:sz w:val="20"/>
              </w:rPr>
              <w:t>r≥35%且</w:t>
            </w:r>
            <w:r>
              <w:rPr>
                <w:rFonts w:hAnsi="宋体" w:cs="宋体"/>
                <w:iCs/>
                <w:sz w:val="20"/>
              </w:rPr>
              <w:t>R</w:t>
            </w:r>
            <w:r>
              <w:rPr>
                <w:rFonts w:hAnsi="宋体" w:cs="宋体"/>
                <w:sz w:val="20"/>
              </w:rPr>
              <w:t>p＜60%，得12分。</w:t>
            </w:r>
          </w:p>
        </w:tc>
        <w:tc>
          <w:tcPr>
            <w:tcW w:w="391" w:type="pct"/>
            <w:shd w:val="clear" w:color="000000" w:fill="FFFFFF"/>
            <w:vAlign w:val="center"/>
          </w:tcPr>
          <w:p>
            <w:pPr>
              <w:widowControl/>
              <w:jc w:val="center"/>
              <w:rPr>
                <w:rFonts w:hAnsi="宋体" w:cs="宋体"/>
                <w:b/>
                <w:bCs/>
                <w:sz w:val="20"/>
              </w:rPr>
            </w:pPr>
            <w:r>
              <w:rPr>
                <w:rFonts w:hAnsi="宋体" w:cs="宋体"/>
                <w:b/>
                <w:bCs/>
                <w:sz w:val="20"/>
              </w:rPr>
              <w:t>12</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12</w:t>
            </w:r>
          </w:p>
        </w:tc>
        <w:tc>
          <w:tcPr>
            <w:tcW w:w="455" w:type="pct"/>
            <w:vMerge w:val="restar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255" w:type="pct"/>
            <w:vMerge w:val="continue"/>
            <w:shd w:val="clear" w:color="000000" w:fill="FFFFFF"/>
            <w:vAlign w:val="center"/>
          </w:tcPr>
          <w:p>
            <w:pPr>
              <w:widowControl/>
              <w:rPr>
                <w:rFonts w:hAnsi="宋体" w:cs="宋体"/>
                <w:sz w:val="20"/>
              </w:rPr>
            </w:pPr>
          </w:p>
        </w:tc>
        <w:tc>
          <w:tcPr>
            <w:tcW w:w="492" w:type="pct"/>
            <w:vMerge w:val="continue"/>
            <w:shd w:val="clear" w:color="000000" w:fill="FFFFFF"/>
            <w:noWrap/>
            <w:vAlign w:val="center"/>
          </w:tcPr>
          <w:p>
            <w:pPr>
              <w:widowControl/>
              <w:rPr>
                <w:rFonts w:hAnsi="宋体" w:cs="宋体"/>
                <w:sz w:val="20"/>
              </w:rPr>
            </w:pPr>
          </w:p>
        </w:tc>
        <w:tc>
          <w:tcPr>
            <w:tcW w:w="512" w:type="pct"/>
            <w:vMerge w:val="continue"/>
            <w:shd w:val="clear" w:color="000000" w:fill="FFFFFF"/>
            <w:vAlign w:val="center"/>
          </w:tcPr>
          <w:p>
            <w:pPr>
              <w:widowControl/>
              <w:rPr>
                <w:rFonts w:hAnsi="宋体" w:cs="宋体"/>
                <w:bCs/>
                <w:sz w:val="20"/>
              </w:rPr>
            </w:pPr>
          </w:p>
        </w:tc>
        <w:tc>
          <w:tcPr>
            <w:tcW w:w="2134" w:type="pct"/>
            <w:gridSpan w:val="8"/>
            <w:shd w:val="clear" w:color="000000" w:fill="FFFFFF"/>
            <w:vAlign w:val="center"/>
          </w:tcPr>
          <w:p>
            <w:pPr>
              <w:rPr>
                <w:rFonts w:hAnsi="宋体" w:cs="宋体"/>
                <w:bCs/>
                <w:sz w:val="20"/>
              </w:rPr>
            </w:pPr>
            <w:r>
              <w:rPr>
                <w:rFonts w:hAnsi="宋体" w:cs="宋体"/>
                <w:bCs/>
                <w:sz w:val="20"/>
              </w:rPr>
              <w:t>公共建筑</w:t>
            </w:r>
            <w:r>
              <w:rPr>
                <w:rFonts w:hAnsi="宋体" w:cs="宋体"/>
                <w:sz w:val="20"/>
              </w:rPr>
              <w:t>地下建筑面积与总用地面积之比</w:t>
            </w:r>
            <w:r>
              <w:rPr>
                <w:rFonts w:hAnsi="宋体" w:cs="宋体"/>
                <w:iCs/>
                <w:sz w:val="20"/>
              </w:rPr>
              <w:t>R</w:t>
            </w:r>
            <w:r>
              <w:rPr>
                <w:rFonts w:hAnsi="宋体" w:cs="宋体"/>
                <w:sz w:val="20"/>
              </w:rPr>
              <w:t>p</w:t>
            </w:r>
            <w:r>
              <w:rPr>
                <w:rFonts w:hAnsi="宋体" w:cs="宋体"/>
                <w:sz w:val="20"/>
                <w:vertAlign w:val="subscript"/>
              </w:rPr>
              <w:t>1</w:t>
            </w:r>
            <w:r>
              <w:rPr>
                <w:rFonts w:hAnsi="宋体" w:cs="宋体"/>
                <w:sz w:val="20"/>
              </w:rPr>
              <w:t>，地下一层建筑面积与总用地面积的比率</w:t>
            </w:r>
            <w:r>
              <w:rPr>
                <w:rFonts w:hAnsi="宋体" w:cs="宋体"/>
                <w:iCs/>
                <w:sz w:val="20"/>
              </w:rPr>
              <w:t>R</w:t>
            </w:r>
            <w:r>
              <w:rPr>
                <w:rFonts w:hAnsi="宋体" w:cs="宋体"/>
                <w:sz w:val="20"/>
              </w:rPr>
              <w:t>p：</w:t>
            </w:r>
          </w:p>
          <w:p>
            <w:pPr>
              <w:widowControl/>
              <w:rPr>
                <w:rFonts w:hAnsi="宋体" w:cs="宋体"/>
                <w:sz w:val="20"/>
              </w:rPr>
            </w:pPr>
            <w:r>
              <w:rPr>
                <w:rFonts w:hAnsi="宋体" w:cs="宋体"/>
                <w:iCs/>
                <w:sz w:val="20"/>
              </w:rPr>
              <w:t>R</w:t>
            </w:r>
            <w:r>
              <w:rPr>
                <w:rFonts w:hAnsi="宋体" w:cs="宋体"/>
                <w:sz w:val="20"/>
              </w:rPr>
              <w:t>p</w:t>
            </w:r>
            <w:r>
              <w:rPr>
                <w:rFonts w:hAnsi="宋体" w:cs="宋体"/>
                <w:sz w:val="20"/>
                <w:vertAlign w:val="subscript"/>
              </w:rPr>
              <w:t>1</w:t>
            </w:r>
            <w:r>
              <w:rPr>
                <w:rFonts w:hAnsi="宋体" w:cs="宋体"/>
                <w:sz w:val="20"/>
              </w:rPr>
              <w:t>≥0.5，得5分；</w:t>
            </w:r>
          </w:p>
          <w:p>
            <w:pPr>
              <w:rPr>
                <w:rFonts w:hAnsi="宋体" w:cs="宋体"/>
                <w:sz w:val="20"/>
              </w:rPr>
            </w:pPr>
            <w:r>
              <w:rPr>
                <w:rFonts w:hAnsi="宋体" w:cs="宋体"/>
                <w:iCs/>
                <w:sz w:val="20"/>
              </w:rPr>
              <w:t>R</w:t>
            </w:r>
            <w:r>
              <w:rPr>
                <w:rFonts w:hAnsi="宋体" w:cs="宋体"/>
                <w:sz w:val="20"/>
              </w:rPr>
              <w:t>p</w:t>
            </w:r>
            <w:r>
              <w:rPr>
                <w:rFonts w:hAnsi="宋体" w:cs="宋体"/>
                <w:sz w:val="20"/>
                <w:vertAlign w:val="subscript"/>
              </w:rPr>
              <w:t>1</w:t>
            </w:r>
            <w:r>
              <w:rPr>
                <w:rFonts w:hAnsi="宋体" w:cs="宋体"/>
                <w:sz w:val="20"/>
              </w:rPr>
              <w:t>≥0.7且</w:t>
            </w:r>
            <w:r>
              <w:rPr>
                <w:rFonts w:hAnsi="宋体" w:cs="宋体"/>
                <w:iCs/>
                <w:sz w:val="20"/>
              </w:rPr>
              <w:t>R</w:t>
            </w:r>
            <w:r>
              <w:rPr>
                <w:rFonts w:hAnsi="宋体" w:cs="宋体"/>
                <w:sz w:val="20"/>
              </w:rPr>
              <w:t>p＜70%，得7分；</w:t>
            </w:r>
          </w:p>
          <w:p>
            <w:pPr>
              <w:rPr>
                <w:rFonts w:hAnsi="宋体" w:cs="宋体"/>
                <w:bCs/>
                <w:sz w:val="20"/>
              </w:rPr>
            </w:pPr>
            <w:r>
              <w:rPr>
                <w:rFonts w:hAnsi="宋体" w:cs="宋体"/>
                <w:iCs/>
                <w:sz w:val="20"/>
              </w:rPr>
              <w:t>R</w:t>
            </w:r>
            <w:r>
              <w:rPr>
                <w:rFonts w:hAnsi="宋体" w:cs="宋体"/>
                <w:sz w:val="20"/>
              </w:rPr>
              <w:t>p</w:t>
            </w:r>
            <w:r>
              <w:rPr>
                <w:rFonts w:hAnsi="宋体" w:cs="宋体"/>
                <w:sz w:val="20"/>
                <w:vertAlign w:val="subscript"/>
              </w:rPr>
              <w:t>1</w:t>
            </w:r>
            <w:r>
              <w:rPr>
                <w:rFonts w:hAnsi="宋体" w:cs="宋体"/>
                <w:sz w:val="20"/>
              </w:rPr>
              <w:t>≥1.0且</w:t>
            </w:r>
            <w:r>
              <w:rPr>
                <w:rFonts w:hAnsi="宋体" w:cs="宋体"/>
                <w:iCs/>
                <w:sz w:val="20"/>
              </w:rPr>
              <w:t>R</w:t>
            </w:r>
            <w:r>
              <w:rPr>
                <w:rFonts w:hAnsi="宋体" w:cs="宋体"/>
                <w:sz w:val="20"/>
              </w:rPr>
              <w:t>p＜60%，得12分。</w:t>
            </w:r>
          </w:p>
        </w:tc>
        <w:tc>
          <w:tcPr>
            <w:tcW w:w="391" w:type="pct"/>
            <w:shd w:val="clear" w:color="000000" w:fill="FFFFFF"/>
            <w:vAlign w:val="center"/>
          </w:tcPr>
          <w:p>
            <w:pPr>
              <w:jc w:val="center"/>
              <w:rPr>
                <w:rFonts w:hAnsi="宋体" w:cs="宋体"/>
                <w:b/>
                <w:bCs/>
                <w:sz w:val="20"/>
              </w:rPr>
            </w:pPr>
            <w:r>
              <w:rPr>
                <w:rFonts w:hAnsi="宋体" w:cs="宋体"/>
                <w:b/>
                <w:bCs/>
                <w:sz w:val="20"/>
              </w:rPr>
              <w:t>12</w:t>
            </w:r>
          </w:p>
        </w:tc>
        <w:tc>
          <w:tcPr>
            <w:tcW w:w="375" w:type="pct"/>
            <w:vMerge w:val="continue"/>
            <w:shd w:val="clear" w:color="000000" w:fill="FFFFFF"/>
            <w:vAlign w:val="center"/>
          </w:tcPr>
          <w:p>
            <w:pPr>
              <w:widowControl/>
              <w:jc w:val="center"/>
              <w:rPr>
                <w:rFonts w:hAnsi="宋体" w:cs="宋体"/>
                <w:b/>
                <w:bCs/>
                <w:sz w:val="20"/>
              </w:rPr>
            </w:pPr>
          </w:p>
        </w:tc>
        <w:tc>
          <w:tcPr>
            <w:tcW w:w="455" w:type="pct"/>
            <w:vMerge w:val="continue"/>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255" w:type="pct"/>
            <w:vMerge w:val="continue"/>
            <w:shd w:val="clear" w:color="000000" w:fill="FFFFFF"/>
            <w:vAlign w:val="center"/>
          </w:tcPr>
          <w:p>
            <w:pPr>
              <w:widowControl/>
              <w:rPr>
                <w:rFonts w:hAnsi="宋体" w:cs="宋体"/>
                <w:sz w:val="20"/>
              </w:rPr>
            </w:pPr>
          </w:p>
        </w:tc>
        <w:tc>
          <w:tcPr>
            <w:tcW w:w="492" w:type="pct"/>
            <w:vMerge w:val="continue"/>
            <w:shd w:val="clear" w:color="000000" w:fill="FFFFFF"/>
            <w:noWrap/>
            <w:vAlign w:val="center"/>
          </w:tcPr>
          <w:p>
            <w:pPr>
              <w:widowControl/>
              <w:rPr>
                <w:rFonts w:hAnsi="宋体" w:cs="宋体"/>
                <w:sz w:val="20"/>
              </w:rPr>
            </w:pPr>
          </w:p>
        </w:tc>
        <w:tc>
          <w:tcPr>
            <w:tcW w:w="2646" w:type="pct"/>
            <w:gridSpan w:val="9"/>
            <w:shd w:val="clear" w:color="000000" w:fill="FFFFFF"/>
            <w:vAlign w:val="center"/>
          </w:tcPr>
          <w:p>
            <w:pPr>
              <w:rPr>
                <w:rFonts w:hAnsi="宋体" w:cs="宋体"/>
                <w:b/>
                <w:bCs/>
                <w:sz w:val="20"/>
              </w:rPr>
            </w:pPr>
            <w:r>
              <w:rPr>
                <w:rFonts w:hAnsi="宋体" w:cs="宋体"/>
                <w:bCs/>
                <w:sz w:val="20"/>
              </w:rPr>
              <w:t>或不适宜开发地下空间。</w:t>
            </w:r>
          </w:p>
        </w:tc>
        <w:tc>
          <w:tcPr>
            <w:tcW w:w="391" w:type="pct"/>
            <w:shd w:val="clear" w:color="000000" w:fill="FFFFFF"/>
            <w:vAlign w:val="center"/>
          </w:tcPr>
          <w:p>
            <w:pPr>
              <w:jc w:val="center"/>
              <w:rPr>
                <w:rFonts w:hAnsi="宋体" w:cs="宋体"/>
                <w:b/>
                <w:bCs/>
                <w:sz w:val="20"/>
              </w:rPr>
            </w:pPr>
            <w:r>
              <w:rPr>
                <w:rFonts w:hAnsi="宋体" w:cs="宋体"/>
                <w:b/>
                <w:bCs/>
                <w:sz w:val="20"/>
              </w:rPr>
              <w:t>12</w:t>
            </w:r>
          </w:p>
        </w:tc>
        <w:tc>
          <w:tcPr>
            <w:tcW w:w="375" w:type="pct"/>
            <w:vMerge w:val="continue"/>
            <w:shd w:val="clear" w:color="000000" w:fill="FFFFFF"/>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7.2.3</w:t>
            </w:r>
          </w:p>
        </w:tc>
        <w:tc>
          <w:tcPr>
            <w:tcW w:w="730" w:type="pct"/>
            <w:gridSpan w:val="3"/>
            <w:vMerge w:val="restart"/>
            <w:shd w:val="clear" w:color="auto" w:fill="auto"/>
            <w:vAlign w:val="center"/>
          </w:tcPr>
          <w:p>
            <w:pPr>
              <w:widowControl/>
              <w:rPr>
                <w:rFonts w:hAnsi="宋体" w:cs="宋体"/>
                <w:b/>
                <w:bCs/>
                <w:sz w:val="20"/>
              </w:rPr>
            </w:pPr>
            <w:r>
              <w:rPr>
                <w:rFonts w:hAnsi="宋体" w:cs="宋体"/>
                <w:sz w:val="20"/>
              </w:rPr>
              <w:t>采用机械式停车设施、地下停车库或地面停车楼等方式。</w:t>
            </w:r>
          </w:p>
        </w:tc>
        <w:tc>
          <w:tcPr>
            <w:tcW w:w="1916" w:type="pct"/>
            <w:gridSpan w:val="6"/>
            <w:shd w:val="clear" w:color="auto" w:fill="auto"/>
            <w:vAlign w:val="center"/>
          </w:tcPr>
          <w:p>
            <w:pPr>
              <w:widowControl/>
              <w:rPr>
                <w:rFonts w:hAnsi="宋体" w:cs="宋体"/>
                <w:b/>
                <w:bCs/>
                <w:sz w:val="20"/>
              </w:rPr>
            </w:pPr>
            <w:r>
              <w:rPr>
                <w:rFonts w:hAnsi="宋体" w:cs="宋体"/>
                <w:sz w:val="20"/>
              </w:rPr>
              <w:t>住宅建筑地面停车位数量与住宅总套数的比率小于10%。</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730" w:type="pct"/>
            <w:gridSpan w:val="3"/>
            <w:vMerge w:val="continue"/>
            <w:vAlign w:val="center"/>
          </w:tcPr>
          <w:p>
            <w:pPr>
              <w:widowControl/>
              <w:rPr>
                <w:rFonts w:hAnsi="宋体" w:cs="宋体"/>
                <w:b/>
                <w:bCs/>
                <w:sz w:val="20"/>
              </w:rPr>
            </w:pPr>
          </w:p>
        </w:tc>
        <w:tc>
          <w:tcPr>
            <w:tcW w:w="1916" w:type="pct"/>
            <w:gridSpan w:val="6"/>
            <w:vAlign w:val="center"/>
          </w:tcPr>
          <w:p>
            <w:pPr>
              <w:widowControl/>
              <w:rPr>
                <w:rFonts w:hAnsi="宋体" w:cs="宋体"/>
                <w:b/>
                <w:bCs/>
                <w:sz w:val="20"/>
              </w:rPr>
            </w:pPr>
            <w:r>
              <w:rPr>
                <w:rFonts w:hAnsi="宋体" w:cs="宋体"/>
                <w:sz w:val="20"/>
              </w:rPr>
              <w:t>公共建筑地面停车占地面积与其总建设用地面积的比率小于8%。</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7.2.4</w:t>
            </w:r>
          </w:p>
        </w:tc>
        <w:tc>
          <w:tcPr>
            <w:tcW w:w="512" w:type="pct"/>
            <w:shd w:val="clear" w:color="auto" w:fill="auto"/>
            <w:vAlign w:val="center"/>
          </w:tcPr>
          <w:p>
            <w:pPr>
              <w:widowControl/>
              <w:rPr>
                <w:rFonts w:hAnsi="宋体" w:cs="宋体"/>
                <w:bCs/>
                <w:sz w:val="20"/>
              </w:rPr>
            </w:pPr>
            <w:r>
              <w:rPr>
                <w:rFonts w:hAnsi="宋体" w:cs="宋体"/>
                <w:bCs/>
                <w:sz w:val="20"/>
              </w:rPr>
              <w:t>围护结构的热工性能优化</w:t>
            </w:r>
          </w:p>
        </w:tc>
        <w:tc>
          <w:tcPr>
            <w:tcW w:w="2134" w:type="pct"/>
            <w:gridSpan w:val="8"/>
            <w:shd w:val="clear" w:color="auto" w:fill="auto"/>
            <w:vAlign w:val="center"/>
          </w:tcPr>
          <w:p>
            <w:pPr>
              <w:widowControl/>
              <w:rPr>
                <w:rFonts w:hAnsi="宋体" w:cs="宋体"/>
                <w:bCs/>
                <w:sz w:val="20"/>
              </w:rPr>
            </w:pPr>
            <w:r>
              <w:rPr>
                <w:rFonts w:hAnsi="宋体" w:cs="宋体"/>
                <w:bCs/>
                <w:sz w:val="20"/>
              </w:rPr>
              <w:t xml:space="preserve">围护结构热工性能比国家现行相关建筑节能设计标准规定的提高幅度达到5%，或建筑供暖空调负荷降低5%，得5分；                        </w:t>
            </w:r>
          </w:p>
          <w:p>
            <w:pPr>
              <w:widowControl/>
              <w:rPr>
                <w:rFonts w:hAnsi="宋体" w:cs="宋体"/>
                <w:bCs/>
                <w:sz w:val="20"/>
              </w:rPr>
            </w:pPr>
            <w:r>
              <w:rPr>
                <w:rFonts w:hAnsi="宋体" w:cs="宋体"/>
                <w:bCs/>
                <w:sz w:val="20"/>
              </w:rPr>
              <w:t xml:space="preserve">围护结构热工性能比国家现行相关建筑节能设计标准规定的提高幅度达到10%，或建筑供暖空调负荷降低10%，得10分；        </w:t>
            </w:r>
          </w:p>
          <w:p>
            <w:pPr>
              <w:widowControl/>
              <w:rPr>
                <w:rFonts w:hAnsi="宋体" w:cs="宋体"/>
                <w:bCs/>
                <w:sz w:val="20"/>
              </w:rPr>
            </w:pPr>
            <w:r>
              <w:rPr>
                <w:rFonts w:hAnsi="宋体" w:cs="宋体"/>
                <w:bCs/>
                <w:sz w:val="20"/>
              </w:rPr>
              <w:t>围护结构热工性能比国家现行相关建筑节能设计标准规定的提高幅度达到15%，或建筑供暖空调负荷降低15%，得15分。</w:t>
            </w:r>
          </w:p>
        </w:tc>
        <w:tc>
          <w:tcPr>
            <w:tcW w:w="391" w:type="pct"/>
            <w:vAlign w:val="center"/>
          </w:tcPr>
          <w:p>
            <w:pPr>
              <w:widowControl/>
              <w:jc w:val="center"/>
              <w:rPr>
                <w:rFonts w:hAnsi="宋体" w:cs="宋体"/>
                <w:b/>
                <w:bCs/>
                <w:sz w:val="20"/>
              </w:rPr>
            </w:pPr>
            <w:r>
              <w:rPr>
                <w:rFonts w:hAnsi="宋体" w:cs="宋体"/>
                <w:b/>
                <w:bCs/>
                <w:sz w:val="20"/>
              </w:rPr>
              <w:t>15</w:t>
            </w:r>
          </w:p>
        </w:tc>
        <w:tc>
          <w:tcPr>
            <w:tcW w:w="375" w:type="pct"/>
            <w:vAlign w:val="center"/>
          </w:tcPr>
          <w:p>
            <w:pPr>
              <w:widowControl/>
              <w:jc w:val="center"/>
              <w:rPr>
                <w:rFonts w:hAnsi="宋体" w:cs="宋体"/>
                <w:b/>
                <w:bCs/>
                <w:sz w:val="20"/>
              </w:rPr>
            </w:pPr>
            <w:r>
              <w:rPr>
                <w:rFonts w:hAnsi="宋体" w:cs="宋体"/>
                <w:b/>
                <w:bCs/>
                <w:sz w:val="20"/>
              </w:rPr>
              <w:t>15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7.2.5</w:t>
            </w:r>
          </w:p>
        </w:tc>
        <w:tc>
          <w:tcPr>
            <w:tcW w:w="2646" w:type="pct"/>
            <w:gridSpan w:val="9"/>
            <w:shd w:val="clear" w:color="auto" w:fill="auto"/>
            <w:vAlign w:val="center"/>
          </w:tcPr>
          <w:p>
            <w:pPr>
              <w:widowControl/>
              <w:rPr>
                <w:rFonts w:hAnsi="宋体" w:cs="宋体"/>
                <w:b/>
                <w:bCs/>
                <w:sz w:val="20"/>
              </w:rPr>
            </w:pPr>
            <w:r>
              <w:rPr>
                <w:rFonts w:hAnsi="宋体" w:cs="宋体"/>
                <w:sz w:val="20"/>
              </w:rPr>
              <w:t>供暖空调系统的冷、热源机组能效均优于现行国家标准《公共建筑节能设计标准》GB 50189的规定以及现行有关国家标准能效限定值的要求。</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7.2.6</w:t>
            </w:r>
          </w:p>
        </w:tc>
        <w:tc>
          <w:tcPr>
            <w:tcW w:w="558" w:type="pct"/>
            <w:gridSpan w:val="2"/>
            <w:vMerge w:val="restart"/>
            <w:shd w:val="clear" w:color="auto" w:fill="auto"/>
            <w:vAlign w:val="center"/>
          </w:tcPr>
          <w:p>
            <w:pPr>
              <w:widowControl/>
              <w:rPr>
                <w:rFonts w:hAnsi="宋体" w:cs="宋体"/>
                <w:bCs/>
                <w:sz w:val="20"/>
              </w:rPr>
            </w:pPr>
            <w:r>
              <w:rPr>
                <w:rFonts w:hAnsi="宋体" w:cs="宋体"/>
                <w:bCs/>
                <w:sz w:val="20"/>
              </w:rPr>
              <w:t>末端系统及输配系统性能优化</w:t>
            </w:r>
          </w:p>
        </w:tc>
        <w:tc>
          <w:tcPr>
            <w:tcW w:w="2088" w:type="pct"/>
            <w:gridSpan w:val="7"/>
            <w:shd w:val="clear" w:color="auto" w:fill="auto"/>
            <w:vAlign w:val="center"/>
          </w:tcPr>
          <w:p>
            <w:pPr>
              <w:widowControl/>
              <w:rPr>
                <w:rFonts w:hAnsi="宋体" w:cs="宋体"/>
                <w:bCs/>
                <w:sz w:val="20"/>
              </w:rPr>
            </w:pPr>
            <w:r>
              <w:rPr>
                <w:rFonts w:hAnsi="宋体" w:cs="宋体"/>
                <w:bCs/>
                <w:sz w:val="20"/>
              </w:rPr>
              <w:t>通风空调系统风机的单位风量耗功率比现行国家标准《公共建筑节能设计标准》GB 50189的规定低20%；</w:t>
            </w:r>
          </w:p>
          <w:p>
            <w:pPr>
              <w:widowControl/>
              <w:rPr>
                <w:rFonts w:hAnsi="宋体" w:cs="宋体"/>
                <w:bCs/>
                <w:sz w:val="20"/>
              </w:rPr>
            </w:pPr>
            <w:r>
              <w:rPr>
                <w:rFonts w:hAnsi="宋体" w:cs="宋体"/>
                <w:bCs/>
                <w:sz w:val="20"/>
              </w:rPr>
              <w:t>或采用分体空调和多联机空调（热泵）机组。</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58" w:type="pct"/>
            <w:gridSpan w:val="2"/>
            <w:vMerge w:val="continue"/>
            <w:vAlign w:val="center"/>
          </w:tcPr>
          <w:p>
            <w:pPr>
              <w:widowControl/>
              <w:rPr>
                <w:rFonts w:hAnsi="宋体" w:cs="宋体"/>
                <w:bCs/>
                <w:sz w:val="20"/>
              </w:rPr>
            </w:pPr>
          </w:p>
        </w:tc>
        <w:tc>
          <w:tcPr>
            <w:tcW w:w="2088" w:type="pct"/>
            <w:gridSpan w:val="7"/>
            <w:vAlign w:val="center"/>
          </w:tcPr>
          <w:p>
            <w:pPr>
              <w:widowControl/>
              <w:rPr>
                <w:rFonts w:hAnsi="宋体" w:cs="宋体"/>
                <w:bCs/>
                <w:sz w:val="20"/>
              </w:rPr>
            </w:pPr>
            <w:r>
              <w:rPr>
                <w:rFonts w:hAnsi="宋体" w:cs="宋体"/>
                <w:bCs/>
                <w:sz w:val="20"/>
              </w:rPr>
              <w:t>集中供暖系统热水循环泵的耗电输热比、空调冷热水系统循环水泵的耗电输冷（热）比比现行国家标准《民用建筑供暖通风与空气调节设计规范》GB 50736规定值低20%；</w:t>
            </w:r>
          </w:p>
          <w:p>
            <w:pPr>
              <w:widowControl/>
              <w:rPr>
                <w:rFonts w:hAnsi="宋体" w:cs="宋体"/>
                <w:bCs/>
                <w:sz w:val="20"/>
              </w:rPr>
            </w:pPr>
            <w:r>
              <w:rPr>
                <w:rFonts w:hAnsi="宋体" w:cs="宋体"/>
                <w:bCs/>
                <w:sz w:val="20"/>
              </w:rPr>
              <w:t>或非集中采暖空调系统项目。</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7.2.7</w:t>
            </w:r>
          </w:p>
        </w:tc>
        <w:tc>
          <w:tcPr>
            <w:tcW w:w="558" w:type="pct"/>
            <w:gridSpan w:val="2"/>
            <w:vMerge w:val="restart"/>
            <w:shd w:val="clear" w:color="auto" w:fill="auto"/>
            <w:vAlign w:val="center"/>
          </w:tcPr>
          <w:p>
            <w:pPr>
              <w:widowControl/>
              <w:rPr>
                <w:rFonts w:hAnsi="宋体" w:cs="宋体"/>
                <w:bCs/>
                <w:sz w:val="20"/>
              </w:rPr>
            </w:pPr>
            <w:r>
              <w:rPr>
                <w:rFonts w:hAnsi="宋体" w:cs="宋体"/>
                <w:bCs/>
                <w:sz w:val="20"/>
              </w:rPr>
              <w:t>节能型电气设备及节能控制措施</w:t>
            </w:r>
          </w:p>
        </w:tc>
        <w:tc>
          <w:tcPr>
            <w:tcW w:w="2088" w:type="pct"/>
            <w:gridSpan w:val="7"/>
            <w:shd w:val="clear" w:color="auto" w:fill="auto"/>
            <w:vAlign w:val="center"/>
          </w:tcPr>
          <w:p>
            <w:pPr>
              <w:widowControl/>
              <w:rPr>
                <w:rFonts w:hAnsi="宋体" w:cs="宋体"/>
                <w:bCs/>
                <w:sz w:val="20"/>
              </w:rPr>
            </w:pPr>
            <w:r>
              <w:rPr>
                <w:rFonts w:hAnsi="宋体" w:cs="宋体"/>
                <w:bCs/>
                <w:sz w:val="20"/>
              </w:rPr>
              <w:t>主要功能房间的照明功率密度值达到现行国家标准《建筑照明设计标准》GB 50034规定的目标值。</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58" w:type="pct"/>
            <w:gridSpan w:val="2"/>
            <w:vMerge w:val="continue"/>
            <w:vAlign w:val="center"/>
          </w:tcPr>
          <w:p>
            <w:pPr>
              <w:widowControl/>
              <w:rPr>
                <w:rFonts w:hAnsi="宋体" w:cs="宋体"/>
                <w:bCs/>
                <w:sz w:val="20"/>
              </w:rPr>
            </w:pPr>
          </w:p>
        </w:tc>
        <w:tc>
          <w:tcPr>
            <w:tcW w:w="2088" w:type="pct"/>
            <w:gridSpan w:val="7"/>
            <w:vAlign w:val="center"/>
          </w:tcPr>
          <w:p>
            <w:pPr>
              <w:widowControl/>
              <w:rPr>
                <w:rFonts w:hAnsi="宋体" w:cs="宋体"/>
                <w:bCs/>
                <w:sz w:val="20"/>
              </w:rPr>
            </w:pPr>
            <w:r>
              <w:rPr>
                <w:rFonts w:hAnsi="宋体" w:cs="宋体"/>
                <w:bCs/>
                <w:sz w:val="20"/>
              </w:rPr>
              <w:t>采光区域的人工照明随天然光照度变化自动调节。</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58" w:type="pct"/>
            <w:gridSpan w:val="2"/>
            <w:vMerge w:val="continue"/>
            <w:vAlign w:val="center"/>
          </w:tcPr>
          <w:p>
            <w:pPr>
              <w:widowControl/>
              <w:rPr>
                <w:rFonts w:hAnsi="宋体" w:cs="宋体"/>
                <w:bCs/>
                <w:sz w:val="20"/>
              </w:rPr>
            </w:pPr>
          </w:p>
        </w:tc>
        <w:tc>
          <w:tcPr>
            <w:tcW w:w="2088" w:type="pct"/>
            <w:gridSpan w:val="7"/>
            <w:vAlign w:val="center"/>
          </w:tcPr>
          <w:p>
            <w:pPr>
              <w:widowControl/>
              <w:rPr>
                <w:rFonts w:hAnsi="宋体" w:cs="宋体"/>
                <w:bCs/>
                <w:sz w:val="20"/>
              </w:rPr>
            </w:pPr>
            <w:r>
              <w:rPr>
                <w:rFonts w:hAnsi="宋体" w:cs="宋体"/>
                <w:bCs/>
                <w:sz w:val="20"/>
              </w:rPr>
              <w:t>照明产品、三相配电变压器、水泵、风机等设备满足国家现行有关标准的节能评价值的要求。</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7.2.8</w:t>
            </w:r>
          </w:p>
        </w:tc>
        <w:tc>
          <w:tcPr>
            <w:tcW w:w="558" w:type="pct"/>
            <w:gridSpan w:val="2"/>
            <w:shd w:val="clear" w:color="auto" w:fill="auto"/>
            <w:vAlign w:val="center"/>
          </w:tcPr>
          <w:p>
            <w:pPr>
              <w:widowControl/>
              <w:rPr>
                <w:rFonts w:hAnsi="宋体" w:cs="宋体"/>
                <w:bCs/>
                <w:sz w:val="20"/>
              </w:rPr>
            </w:pPr>
            <w:r>
              <w:rPr>
                <w:rFonts w:hAnsi="宋体" w:cs="宋体"/>
                <w:bCs/>
                <w:sz w:val="20"/>
              </w:rPr>
              <w:t>建筑能耗优化</w:t>
            </w:r>
          </w:p>
        </w:tc>
        <w:tc>
          <w:tcPr>
            <w:tcW w:w="2088" w:type="pct"/>
            <w:gridSpan w:val="7"/>
            <w:shd w:val="clear" w:color="auto" w:fill="auto"/>
            <w:vAlign w:val="center"/>
          </w:tcPr>
          <w:p>
            <w:pPr>
              <w:widowControl/>
              <w:rPr>
                <w:rFonts w:hAnsi="宋体" w:cs="宋体"/>
                <w:bCs/>
                <w:sz w:val="20"/>
              </w:rPr>
            </w:pPr>
            <w:r>
              <w:rPr>
                <w:rFonts w:hAnsi="宋体" w:cs="宋体"/>
                <w:bCs/>
                <w:sz w:val="20"/>
              </w:rPr>
              <w:t>建筑能耗相比国家现行有关建筑节能标准降低10%，得5分；</w:t>
            </w:r>
          </w:p>
          <w:p>
            <w:pPr>
              <w:widowControl/>
              <w:rPr>
                <w:rFonts w:hAnsi="宋体" w:cs="宋体"/>
                <w:bCs/>
                <w:sz w:val="20"/>
              </w:rPr>
            </w:pPr>
            <w:r>
              <w:rPr>
                <w:rFonts w:hAnsi="宋体" w:cs="宋体"/>
                <w:bCs/>
                <w:sz w:val="20"/>
              </w:rPr>
              <w:t>建筑能耗相比国家现行有关建筑节能标准降低20%，得10分。</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7.2.9</w:t>
            </w:r>
          </w:p>
        </w:tc>
        <w:tc>
          <w:tcPr>
            <w:tcW w:w="2646" w:type="pct"/>
            <w:gridSpan w:val="9"/>
            <w:shd w:val="clear" w:color="auto" w:fill="auto"/>
            <w:vAlign w:val="center"/>
          </w:tcPr>
          <w:p>
            <w:pPr>
              <w:widowControl/>
              <w:rPr>
                <w:rFonts w:hAnsi="宋体" w:cs="宋体"/>
                <w:b/>
                <w:bCs/>
                <w:sz w:val="20"/>
              </w:rPr>
            </w:pPr>
            <w:r>
              <w:rPr>
                <w:rFonts w:hAnsi="宋体" w:cs="宋体"/>
                <w:sz w:val="20"/>
              </w:rPr>
              <w:t>结合当地气候和自然资源条件合理利用可再生能源。</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7.2.10</w:t>
            </w:r>
          </w:p>
        </w:tc>
        <w:tc>
          <w:tcPr>
            <w:tcW w:w="512" w:type="pct"/>
            <w:shd w:val="clear" w:color="auto" w:fill="auto"/>
            <w:vAlign w:val="center"/>
          </w:tcPr>
          <w:p>
            <w:pPr>
              <w:widowControl/>
              <w:rPr>
                <w:rFonts w:hAnsi="宋体" w:cs="宋体"/>
                <w:bCs/>
                <w:sz w:val="20"/>
              </w:rPr>
            </w:pPr>
            <w:r>
              <w:rPr>
                <w:rFonts w:hAnsi="宋体" w:cs="宋体"/>
                <w:sz w:val="20"/>
              </w:rPr>
              <w:t>使用较高用水效率等级的卫生器具。</w:t>
            </w:r>
          </w:p>
        </w:tc>
        <w:tc>
          <w:tcPr>
            <w:tcW w:w="2134" w:type="pct"/>
            <w:gridSpan w:val="8"/>
            <w:shd w:val="clear" w:color="auto" w:fill="auto"/>
            <w:vAlign w:val="center"/>
          </w:tcPr>
          <w:p>
            <w:pPr>
              <w:widowControl/>
              <w:rPr>
                <w:rFonts w:hAnsi="宋体" w:cs="宋体"/>
                <w:bCs/>
                <w:sz w:val="20"/>
              </w:rPr>
            </w:pPr>
            <w:r>
              <w:rPr>
                <w:rFonts w:hAnsi="宋体" w:cs="宋体"/>
                <w:bCs/>
                <w:sz w:val="20"/>
              </w:rPr>
              <w:t>全部卫生器具的用水效率等级达到2级，得8分；</w:t>
            </w:r>
          </w:p>
          <w:p>
            <w:pPr>
              <w:widowControl/>
              <w:rPr>
                <w:rFonts w:hAnsi="宋体" w:cs="宋体"/>
                <w:bCs/>
                <w:sz w:val="20"/>
              </w:rPr>
            </w:pPr>
            <w:r>
              <w:rPr>
                <w:rFonts w:hAnsi="宋体" w:cs="宋体"/>
                <w:bCs/>
                <w:sz w:val="20"/>
              </w:rPr>
              <w:t>50%以上卫生器具的用水效率等级达到1级且其他达到2级，得12分；</w:t>
            </w:r>
          </w:p>
          <w:p>
            <w:pPr>
              <w:widowControl/>
              <w:rPr>
                <w:rFonts w:hAnsi="宋体" w:cs="宋体"/>
                <w:bCs/>
                <w:sz w:val="20"/>
              </w:rPr>
            </w:pPr>
            <w:r>
              <w:rPr>
                <w:rFonts w:hAnsi="宋体" w:cs="宋体"/>
                <w:bCs/>
                <w:sz w:val="20"/>
              </w:rPr>
              <w:t>全部卫生器具的用水效率等级达到1级，得15分。</w:t>
            </w:r>
          </w:p>
        </w:tc>
        <w:tc>
          <w:tcPr>
            <w:tcW w:w="391" w:type="pct"/>
            <w:vAlign w:val="center"/>
          </w:tcPr>
          <w:p>
            <w:pPr>
              <w:widowControl/>
              <w:jc w:val="center"/>
              <w:rPr>
                <w:rFonts w:hAnsi="宋体" w:cs="宋体"/>
                <w:b/>
                <w:bCs/>
                <w:sz w:val="20"/>
              </w:rPr>
            </w:pPr>
            <w:r>
              <w:rPr>
                <w:rFonts w:hAnsi="宋体" w:cs="宋体"/>
                <w:b/>
                <w:bCs/>
                <w:sz w:val="20"/>
              </w:rPr>
              <w:t>15</w:t>
            </w:r>
          </w:p>
        </w:tc>
        <w:tc>
          <w:tcPr>
            <w:tcW w:w="375" w:type="pct"/>
            <w:vAlign w:val="center"/>
          </w:tcPr>
          <w:p>
            <w:pPr>
              <w:widowControl/>
              <w:jc w:val="center"/>
              <w:rPr>
                <w:rFonts w:hAnsi="宋体" w:cs="宋体"/>
                <w:b/>
                <w:bCs/>
                <w:sz w:val="20"/>
              </w:rPr>
            </w:pPr>
            <w:r>
              <w:rPr>
                <w:rFonts w:hAnsi="宋体" w:cs="宋体"/>
                <w:b/>
                <w:bCs/>
                <w:sz w:val="20"/>
              </w:rPr>
              <w:t>15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7.2.11</w:t>
            </w:r>
          </w:p>
        </w:tc>
        <w:tc>
          <w:tcPr>
            <w:tcW w:w="512" w:type="pct"/>
            <w:vMerge w:val="restart"/>
            <w:shd w:val="clear" w:color="auto" w:fill="auto"/>
            <w:vAlign w:val="center"/>
          </w:tcPr>
          <w:p>
            <w:pPr>
              <w:widowControl/>
              <w:rPr>
                <w:rFonts w:hAnsi="宋体" w:cs="宋体"/>
                <w:bCs/>
                <w:sz w:val="20"/>
              </w:rPr>
            </w:pPr>
            <w:r>
              <w:rPr>
                <w:rFonts w:hAnsi="宋体" w:cs="宋体"/>
                <w:sz w:val="20"/>
              </w:rPr>
              <w:t>绿化灌溉及空调冷却水系统采用节水设备或技术。</w:t>
            </w:r>
          </w:p>
        </w:tc>
        <w:tc>
          <w:tcPr>
            <w:tcW w:w="2134" w:type="pct"/>
            <w:gridSpan w:val="8"/>
            <w:shd w:val="clear" w:color="auto" w:fill="auto"/>
            <w:vAlign w:val="center"/>
          </w:tcPr>
          <w:p>
            <w:pPr>
              <w:widowControl/>
              <w:rPr>
                <w:rFonts w:hAnsi="宋体" w:cs="宋体"/>
                <w:bCs/>
                <w:sz w:val="20"/>
              </w:rPr>
            </w:pPr>
            <w:r>
              <w:rPr>
                <w:rFonts w:hAnsi="宋体" w:cs="宋体"/>
                <w:bCs/>
                <w:sz w:val="20"/>
              </w:rPr>
              <w:t>采用节水灌溉系统，得4分；</w:t>
            </w:r>
          </w:p>
          <w:p>
            <w:pPr>
              <w:widowControl/>
              <w:rPr>
                <w:rFonts w:hAnsi="宋体" w:cs="宋体"/>
                <w:bCs/>
                <w:sz w:val="20"/>
              </w:rPr>
            </w:pPr>
            <w:r>
              <w:rPr>
                <w:rFonts w:hAnsi="宋体" w:cs="宋体"/>
                <w:bCs/>
                <w:sz w:val="20"/>
              </w:rPr>
              <w:t>在采用节水灌溉系统的基础上，设置土壤湿度感应器、雨天自动关闭装置等节水控制措施，种植无需永久灌溉植物，得6分。</w:t>
            </w:r>
          </w:p>
        </w:tc>
        <w:tc>
          <w:tcPr>
            <w:tcW w:w="391" w:type="pct"/>
            <w:vAlign w:val="center"/>
          </w:tcPr>
          <w:p>
            <w:pPr>
              <w:widowControl/>
              <w:jc w:val="center"/>
              <w:rPr>
                <w:rFonts w:hAnsi="宋体" w:cs="宋体"/>
                <w:b/>
                <w:bCs/>
                <w:sz w:val="20"/>
              </w:rPr>
            </w:pPr>
            <w:r>
              <w:rPr>
                <w:rFonts w:hAnsi="宋体" w:cs="宋体"/>
                <w:b/>
                <w:bCs/>
                <w:sz w:val="20"/>
              </w:rPr>
              <w:t>6</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12</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循环冷却水系统采取设置水处理措施、加大集水盘、设置平衡管或平衡水箱等方式，避免冷却水泵停泵时冷却水溢出，得3分；</w:t>
            </w:r>
          </w:p>
          <w:p>
            <w:pPr>
              <w:widowControl/>
              <w:rPr>
                <w:rFonts w:hAnsi="宋体" w:cs="宋体"/>
                <w:bCs/>
                <w:sz w:val="20"/>
              </w:rPr>
            </w:pPr>
            <w:r>
              <w:rPr>
                <w:rFonts w:hAnsi="宋体" w:cs="宋体"/>
                <w:bCs/>
                <w:sz w:val="20"/>
              </w:rPr>
              <w:t>采用无蒸发耗水量的冷却技术，得6分。</w:t>
            </w:r>
          </w:p>
        </w:tc>
        <w:tc>
          <w:tcPr>
            <w:tcW w:w="391" w:type="pct"/>
            <w:vAlign w:val="center"/>
          </w:tcPr>
          <w:p>
            <w:pPr>
              <w:widowControl/>
              <w:jc w:val="center"/>
              <w:rPr>
                <w:rFonts w:hAnsi="宋体" w:cs="宋体"/>
                <w:b/>
                <w:bCs/>
                <w:sz w:val="20"/>
              </w:rPr>
            </w:pPr>
            <w:r>
              <w:rPr>
                <w:rFonts w:hAnsi="宋体" w:cs="宋体"/>
                <w:b/>
                <w:bCs/>
                <w:sz w:val="20"/>
              </w:rPr>
              <w:t>6</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7.2.12</w:t>
            </w:r>
          </w:p>
        </w:tc>
        <w:tc>
          <w:tcPr>
            <w:tcW w:w="1146" w:type="pct"/>
            <w:gridSpan w:val="8"/>
            <w:vMerge w:val="restart"/>
            <w:shd w:val="clear" w:color="auto" w:fill="auto"/>
            <w:vAlign w:val="center"/>
          </w:tcPr>
          <w:p>
            <w:pPr>
              <w:widowControl/>
              <w:rPr>
                <w:rFonts w:hAnsi="宋体" w:cs="宋体"/>
                <w:bCs/>
                <w:sz w:val="20"/>
              </w:rPr>
            </w:pPr>
            <w:r>
              <w:rPr>
                <w:rFonts w:hAnsi="宋体" w:cs="宋体"/>
                <w:sz w:val="20"/>
              </w:rPr>
              <w:t>结合雨水综合利用设施营造室外景观水体，室外景观水体利用雨水的补水量大于水体蒸发量的60%，且采用保障水体水质的生态水处理技术。</w:t>
            </w:r>
          </w:p>
        </w:tc>
        <w:tc>
          <w:tcPr>
            <w:tcW w:w="1500" w:type="pct"/>
            <w:shd w:val="clear" w:color="auto" w:fill="auto"/>
            <w:vAlign w:val="center"/>
          </w:tcPr>
          <w:p>
            <w:pPr>
              <w:widowControl/>
              <w:rPr>
                <w:rFonts w:hAnsi="宋体" w:cs="宋体"/>
                <w:bCs/>
                <w:sz w:val="20"/>
              </w:rPr>
            </w:pPr>
            <w:r>
              <w:rPr>
                <w:rFonts w:hAnsi="宋体" w:cs="宋体"/>
                <w:bCs/>
                <w:sz w:val="20"/>
              </w:rPr>
              <w:t>对进入室外景观水体的雨水，利用生态设施削减径流污染。</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1146" w:type="pct"/>
            <w:gridSpan w:val="8"/>
            <w:vMerge w:val="continue"/>
            <w:vAlign w:val="center"/>
          </w:tcPr>
          <w:p>
            <w:pPr>
              <w:widowControl/>
              <w:rPr>
                <w:rFonts w:hAnsi="宋体" w:cs="宋体"/>
                <w:bCs/>
                <w:sz w:val="20"/>
              </w:rPr>
            </w:pPr>
          </w:p>
        </w:tc>
        <w:tc>
          <w:tcPr>
            <w:tcW w:w="1500" w:type="pct"/>
            <w:vAlign w:val="center"/>
          </w:tcPr>
          <w:p>
            <w:pPr>
              <w:widowControl/>
              <w:rPr>
                <w:rFonts w:hAnsi="宋体" w:cs="宋体"/>
                <w:bCs/>
                <w:sz w:val="20"/>
              </w:rPr>
            </w:pPr>
            <w:r>
              <w:rPr>
                <w:rFonts w:hAnsi="宋体" w:cs="宋体"/>
                <w:bCs/>
                <w:sz w:val="20"/>
              </w:rPr>
              <w:t>利用水生动、植物保障室外景观水体水质。</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2646" w:type="pct"/>
            <w:gridSpan w:val="9"/>
            <w:vAlign w:val="center"/>
          </w:tcPr>
          <w:p>
            <w:pPr>
              <w:widowControl/>
              <w:rPr>
                <w:rFonts w:hAnsi="宋体" w:cs="宋体"/>
                <w:bCs/>
                <w:sz w:val="20"/>
              </w:rPr>
            </w:pPr>
            <w:r>
              <w:rPr>
                <w:rFonts w:hAnsi="宋体" w:cs="宋体"/>
                <w:bCs/>
                <w:sz w:val="20"/>
              </w:rPr>
              <w:t>未设置景观水体。</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7.2.13</w:t>
            </w:r>
          </w:p>
        </w:tc>
        <w:tc>
          <w:tcPr>
            <w:tcW w:w="512" w:type="pct"/>
            <w:vMerge w:val="restart"/>
            <w:shd w:val="clear" w:color="auto" w:fill="auto"/>
            <w:vAlign w:val="center"/>
          </w:tcPr>
          <w:p>
            <w:pPr>
              <w:widowControl/>
              <w:rPr>
                <w:rFonts w:hAnsi="宋体" w:cs="宋体"/>
                <w:bCs/>
                <w:sz w:val="20"/>
              </w:rPr>
            </w:pPr>
            <w:r>
              <w:rPr>
                <w:rFonts w:hAnsi="宋体" w:cs="宋体"/>
                <w:sz w:val="20"/>
              </w:rPr>
              <w:t>使用非传统水源。</w:t>
            </w:r>
          </w:p>
        </w:tc>
        <w:tc>
          <w:tcPr>
            <w:tcW w:w="2134" w:type="pct"/>
            <w:gridSpan w:val="8"/>
            <w:shd w:val="clear" w:color="auto" w:fill="auto"/>
            <w:vAlign w:val="center"/>
          </w:tcPr>
          <w:p>
            <w:pPr>
              <w:widowControl/>
              <w:rPr>
                <w:rFonts w:hAnsi="宋体" w:cs="宋体"/>
                <w:bCs/>
                <w:sz w:val="20"/>
              </w:rPr>
            </w:pPr>
            <w:r>
              <w:rPr>
                <w:rFonts w:hAnsi="宋体" w:cs="宋体"/>
                <w:bCs/>
                <w:sz w:val="20"/>
              </w:rPr>
              <w:t>绿化灌溉、车库及道路冲洗、洗车用水采用非传统水源的用水量占其总用水量的比例不低于40%，得3分；</w:t>
            </w:r>
          </w:p>
          <w:p>
            <w:pPr>
              <w:widowControl/>
              <w:rPr>
                <w:rFonts w:hAnsi="宋体" w:cs="宋体"/>
                <w:bCs/>
                <w:sz w:val="20"/>
              </w:rPr>
            </w:pPr>
            <w:r>
              <w:rPr>
                <w:rFonts w:hAnsi="宋体" w:cs="宋体"/>
                <w:bCs/>
                <w:sz w:val="20"/>
              </w:rPr>
              <w:t>绿化灌溉、车库及道路冲洗、洗车用水采用非传统水源的用水量占其总用水量的比例不低于60%，得5分。</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冲厕采用非传统水源的用水量占其总用水量的比例不低于30%，得3分；</w:t>
            </w:r>
          </w:p>
          <w:p>
            <w:pPr>
              <w:widowControl/>
              <w:rPr>
                <w:rFonts w:hAnsi="宋体" w:cs="宋体"/>
                <w:bCs/>
                <w:sz w:val="20"/>
              </w:rPr>
            </w:pPr>
            <w:r>
              <w:rPr>
                <w:rFonts w:hAnsi="宋体" w:cs="宋体"/>
                <w:bCs/>
                <w:sz w:val="20"/>
              </w:rPr>
              <w:t>冲厕采用非传统水源的用水量占其总用水量的比例不低于50%，得5分。</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冷却水补水采用非传统水源的用水量占其总用水量的比例不低于20%，得3分；</w:t>
            </w:r>
          </w:p>
          <w:p>
            <w:pPr>
              <w:widowControl/>
              <w:rPr>
                <w:rFonts w:hAnsi="宋体" w:cs="宋体"/>
                <w:bCs/>
                <w:sz w:val="20"/>
              </w:rPr>
            </w:pPr>
            <w:r>
              <w:rPr>
                <w:rFonts w:hAnsi="宋体" w:cs="宋体"/>
                <w:bCs/>
                <w:sz w:val="20"/>
              </w:rPr>
              <w:t>冷却水补水采用非传统水源的用水量占其总用水量的比例不低于40%，得5分。</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7.2.14</w:t>
            </w:r>
          </w:p>
        </w:tc>
        <w:tc>
          <w:tcPr>
            <w:tcW w:w="2646" w:type="pct"/>
            <w:gridSpan w:val="9"/>
            <w:shd w:val="clear" w:color="auto" w:fill="auto"/>
            <w:vAlign w:val="center"/>
          </w:tcPr>
          <w:p>
            <w:pPr>
              <w:widowControl/>
              <w:rPr>
                <w:rFonts w:hAnsi="宋体" w:cs="宋体"/>
                <w:bCs/>
                <w:sz w:val="20"/>
              </w:rPr>
            </w:pPr>
            <w:r>
              <w:rPr>
                <w:rFonts w:hAnsi="宋体" w:cs="宋体"/>
                <w:sz w:val="20"/>
              </w:rPr>
              <w:t>建筑所有区域实施土建工程与装修工程一体化设计及施工。</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shd w:val="clear" w:color="auto" w:fill="auto"/>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7.2.15</w:t>
            </w:r>
          </w:p>
        </w:tc>
        <w:tc>
          <w:tcPr>
            <w:tcW w:w="512" w:type="pct"/>
            <w:vMerge w:val="restart"/>
            <w:shd w:val="clear" w:color="auto" w:fill="auto"/>
            <w:vAlign w:val="center"/>
          </w:tcPr>
          <w:p>
            <w:pPr>
              <w:widowControl/>
              <w:rPr>
                <w:rFonts w:hAnsi="宋体" w:cs="宋体"/>
                <w:bCs/>
                <w:sz w:val="20"/>
              </w:rPr>
            </w:pPr>
            <w:r>
              <w:rPr>
                <w:rFonts w:hAnsi="宋体" w:cs="宋体"/>
                <w:bCs/>
                <w:sz w:val="20"/>
              </w:rPr>
              <w:t>合理选用建筑结构材料与构建</w:t>
            </w:r>
          </w:p>
          <w:p>
            <w:pPr>
              <w:widowControl/>
              <w:rPr>
                <w:rFonts w:hAnsi="宋体" w:cs="宋体"/>
                <w:bCs/>
                <w:sz w:val="20"/>
              </w:rPr>
            </w:pPr>
            <w:r>
              <w:rPr>
                <w:rFonts w:hAnsi="宋体" w:cs="宋体"/>
                <w:bCs/>
                <w:sz w:val="20"/>
              </w:rPr>
              <w:t>。</w:t>
            </w:r>
          </w:p>
        </w:tc>
        <w:tc>
          <w:tcPr>
            <w:tcW w:w="503" w:type="pct"/>
            <w:gridSpan w:val="6"/>
            <w:vMerge w:val="restart"/>
            <w:shd w:val="clear" w:color="auto" w:fill="auto"/>
            <w:vAlign w:val="center"/>
          </w:tcPr>
          <w:p>
            <w:pPr>
              <w:widowControl/>
              <w:rPr>
                <w:rFonts w:hAnsi="宋体" w:cs="宋体"/>
                <w:bCs/>
                <w:sz w:val="20"/>
              </w:rPr>
            </w:pPr>
            <w:r>
              <w:rPr>
                <w:rFonts w:hAnsi="宋体" w:cs="宋体"/>
                <w:bCs/>
                <w:sz w:val="20"/>
              </w:rPr>
              <w:t>高强钢筋(□混凝土结构)</w:t>
            </w:r>
          </w:p>
        </w:tc>
        <w:tc>
          <w:tcPr>
            <w:tcW w:w="1631" w:type="pct"/>
            <w:gridSpan w:val="2"/>
            <w:shd w:val="clear" w:color="auto" w:fill="auto"/>
            <w:vAlign w:val="center"/>
          </w:tcPr>
          <w:p>
            <w:pPr>
              <w:rPr>
                <w:rFonts w:hAnsi="宋体" w:cs="宋体"/>
                <w:sz w:val="20"/>
              </w:rPr>
            </w:pPr>
            <w:r>
              <w:rPr>
                <w:rFonts w:hAnsi="宋体" w:cs="宋体"/>
                <w:sz w:val="20"/>
              </w:rPr>
              <w:t>400MPa级及以上强度等级钢筋应用比例达到85%。</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503" w:type="pct"/>
            <w:gridSpan w:val="6"/>
            <w:vMerge w:val="continue"/>
            <w:vAlign w:val="center"/>
          </w:tcPr>
          <w:p>
            <w:pPr>
              <w:widowControl/>
              <w:rPr>
                <w:rFonts w:hAnsi="宋体" w:cs="宋体"/>
                <w:bCs/>
                <w:sz w:val="20"/>
              </w:rPr>
            </w:pPr>
          </w:p>
        </w:tc>
        <w:tc>
          <w:tcPr>
            <w:tcW w:w="1631" w:type="pct"/>
            <w:gridSpan w:val="2"/>
            <w:vAlign w:val="center"/>
          </w:tcPr>
          <w:p>
            <w:pPr>
              <w:rPr>
                <w:rFonts w:hAnsi="宋体" w:cs="宋体"/>
                <w:sz w:val="20"/>
              </w:rPr>
            </w:pPr>
            <w:r>
              <w:rPr>
                <w:rFonts w:hAnsi="宋体" w:cs="宋体"/>
                <w:sz w:val="20"/>
              </w:rPr>
              <w:t>混凝土竖向承重结构采用强度等级不小于C50混凝土用量占竖向承重结构中混凝土总量的比例达到50%。</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Cs/>
                <w:sz w:val="20"/>
              </w:rPr>
            </w:pPr>
          </w:p>
        </w:tc>
        <w:tc>
          <w:tcPr>
            <w:tcW w:w="503" w:type="pct"/>
            <w:gridSpan w:val="6"/>
            <w:vMerge w:val="restart"/>
            <w:shd w:val="clear" w:color="auto" w:fill="auto"/>
            <w:vAlign w:val="center"/>
          </w:tcPr>
          <w:p>
            <w:pPr>
              <w:rPr>
                <w:rFonts w:hAnsi="宋体" w:cs="宋体"/>
                <w:bCs/>
                <w:sz w:val="20"/>
              </w:rPr>
            </w:pPr>
            <w:r>
              <w:rPr>
                <w:rFonts w:hAnsi="宋体" w:cs="宋体"/>
                <w:bCs/>
                <w:sz w:val="20"/>
              </w:rPr>
              <w:t>高强钢筋(□钢结构)</w:t>
            </w:r>
          </w:p>
        </w:tc>
        <w:tc>
          <w:tcPr>
            <w:tcW w:w="1631" w:type="pct"/>
            <w:gridSpan w:val="2"/>
            <w:shd w:val="clear" w:color="auto" w:fill="auto"/>
            <w:vAlign w:val="center"/>
          </w:tcPr>
          <w:p>
            <w:pPr>
              <w:rPr>
                <w:rFonts w:hAnsi="宋体" w:cs="宋体"/>
                <w:sz w:val="20"/>
              </w:rPr>
            </w:pPr>
            <w:r>
              <w:rPr>
                <w:rFonts w:hAnsi="宋体" w:cs="宋体"/>
                <w:sz w:val="20"/>
              </w:rPr>
              <w:t>Q345及以上高强钢材用量占钢材总量的比例达到50%,得3分；</w:t>
            </w:r>
          </w:p>
          <w:p>
            <w:pPr>
              <w:rPr>
                <w:rFonts w:hAnsi="宋体" w:cs="宋体"/>
                <w:sz w:val="20"/>
              </w:rPr>
            </w:pPr>
            <w:r>
              <w:rPr>
                <w:rFonts w:hAnsi="宋体" w:cs="宋体"/>
                <w:sz w:val="20"/>
              </w:rPr>
              <w:t>Q345及以上高强钢材用量占钢材总量的比例达到70%,得4分。</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503" w:type="pct"/>
            <w:gridSpan w:val="6"/>
            <w:vMerge w:val="continue"/>
            <w:vAlign w:val="center"/>
          </w:tcPr>
          <w:p>
            <w:pPr>
              <w:widowControl/>
              <w:rPr>
                <w:rFonts w:hAnsi="宋体" w:cs="宋体"/>
                <w:bCs/>
                <w:sz w:val="20"/>
              </w:rPr>
            </w:pPr>
          </w:p>
        </w:tc>
        <w:tc>
          <w:tcPr>
            <w:tcW w:w="1631" w:type="pct"/>
            <w:gridSpan w:val="2"/>
            <w:vAlign w:val="center"/>
          </w:tcPr>
          <w:p>
            <w:pPr>
              <w:rPr>
                <w:rFonts w:hAnsi="宋体" w:cs="宋体"/>
                <w:sz w:val="20"/>
              </w:rPr>
            </w:pPr>
            <w:r>
              <w:rPr>
                <w:rFonts w:hAnsi="宋体" w:cs="宋体"/>
                <w:sz w:val="20"/>
              </w:rPr>
              <w:t>螺栓连接等非现场焊接节点占现场全部连接、拼接节点的数量比例达到50%。</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503" w:type="pct"/>
            <w:gridSpan w:val="6"/>
            <w:vMerge w:val="continue"/>
            <w:vAlign w:val="center"/>
          </w:tcPr>
          <w:p>
            <w:pPr>
              <w:widowControl/>
              <w:rPr>
                <w:rFonts w:hAnsi="宋体" w:cs="宋体"/>
                <w:bCs/>
                <w:sz w:val="20"/>
              </w:rPr>
            </w:pPr>
          </w:p>
        </w:tc>
        <w:tc>
          <w:tcPr>
            <w:tcW w:w="1631" w:type="pct"/>
            <w:gridSpan w:val="2"/>
            <w:vAlign w:val="center"/>
          </w:tcPr>
          <w:p>
            <w:pPr>
              <w:rPr>
                <w:rFonts w:hAnsi="宋体" w:cs="宋体"/>
                <w:sz w:val="20"/>
              </w:rPr>
            </w:pPr>
            <w:r>
              <w:rPr>
                <w:rFonts w:hAnsi="宋体" w:cs="宋体"/>
                <w:sz w:val="20"/>
              </w:rPr>
              <w:t>采用施工时免支撑的楼层面板。</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Cs/>
                <w:sz w:val="20"/>
              </w:rPr>
            </w:pPr>
          </w:p>
        </w:tc>
        <w:tc>
          <w:tcPr>
            <w:tcW w:w="2134" w:type="pct"/>
            <w:gridSpan w:val="8"/>
            <w:shd w:val="clear" w:color="auto" w:fill="auto"/>
            <w:vAlign w:val="center"/>
          </w:tcPr>
          <w:p>
            <w:pPr>
              <w:widowControl/>
              <w:rPr>
                <w:rFonts w:hAnsi="宋体" w:cs="宋体"/>
                <w:sz w:val="20"/>
              </w:rPr>
            </w:pPr>
            <w:r>
              <w:rPr>
                <w:rFonts w:hAnsi="宋体" w:cs="宋体"/>
                <w:bCs/>
                <w:sz w:val="20"/>
              </w:rPr>
              <w:t>高强钢筋(□混合结构)</w:t>
            </w:r>
            <w:r>
              <w:rPr>
                <w:rFonts w:hAnsi="宋体" w:cs="宋体"/>
                <w:sz w:val="20"/>
              </w:rPr>
              <w:t xml:space="preserve"> </w:t>
            </w:r>
          </w:p>
          <w:p>
            <w:pPr>
              <w:widowControl/>
              <w:rPr>
                <w:rFonts w:hAnsi="宋体" w:cs="宋体"/>
                <w:bCs/>
                <w:sz w:val="20"/>
              </w:rPr>
            </w:pPr>
            <w:r>
              <w:rPr>
                <w:rFonts w:hAnsi="宋体" w:cs="宋体"/>
                <w:bCs/>
                <w:sz w:val="20"/>
              </w:rPr>
              <w:t>混凝土结构部分，10分</w:t>
            </w:r>
            <w:r>
              <w:rPr>
                <w:rFonts w:hint="eastAsia" w:hAnsi="宋体" w:cs="宋体"/>
                <w:bCs/>
                <w:sz w:val="20"/>
              </w:rPr>
              <w:t>；</w:t>
            </w:r>
          </w:p>
          <w:p>
            <w:pPr>
              <w:widowControl/>
              <w:rPr>
                <w:rFonts w:hAnsi="宋体" w:cs="宋体"/>
                <w:bCs/>
                <w:sz w:val="20"/>
              </w:rPr>
            </w:pPr>
            <w:r>
              <w:rPr>
                <w:rFonts w:hAnsi="宋体" w:cs="宋体"/>
                <w:bCs/>
                <w:sz w:val="20"/>
              </w:rPr>
              <w:t>钢结构部分，10分</w:t>
            </w:r>
            <w:r>
              <w:rPr>
                <w:rFonts w:hint="eastAsia" w:hAnsi="宋体" w:cs="宋体"/>
                <w:bCs/>
                <w:sz w:val="20"/>
              </w:rPr>
              <w:t>；</w:t>
            </w:r>
          </w:p>
          <w:p>
            <w:pPr>
              <w:widowControl/>
              <w:rPr>
                <w:rFonts w:hAnsi="宋体" w:cs="宋体"/>
                <w:bCs/>
                <w:sz w:val="20"/>
              </w:rPr>
            </w:pPr>
            <w:r>
              <w:rPr>
                <w:rFonts w:hAnsi="宋体" w:cs="宋体"/>
                <w:bCs/>
                <w:sz w:val="20"/>
              </w:rPr>
              <w:t>合计（取平均值），10分</w:t>
            </w:r>
            <w:r>
              <w:rPr>
                <w:rFonts w:hint="eastAsia" w:hAnsi="宋体" w:cs="宋体"/>
                <w:bCs/>
                <w:sz w:val="20"/>
              </w:rPr>
              <w:t>；</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7.2.16</w:t>
            </w:r>
          </w:p>
        </w:tc>
        <w:tc>
          <w:tcPr>
            <w:tcW w:w="2646" w:type="pct"/>
            <w:gridSpan w:val="9"/>
            <w:shd w:val="clear" w:color="auto" w:fill="auto"/>
            <w:vAlign w:val="center"/>
          </w:tcPr>
          <w:p>
            <w:pPr>
              <w:widowControl/>
              <w:rPr>
                <w:rFonts w:hAnsi="宋体" w:cs="宋体"/>
                <w:sz w:val="20"/>
              </w:rPr>
            </w:pPr>
            <w:r>
              <w:rPr>
                <w:rFonts w:hAnsi="宋体" w:cs="宋体"/>
                <w:sz w:val="20"/>
              </w:rPr>
              <w:t>建筑装修选用工业化内装部品：</w:t>
            </w:r>
          </w:p>
          <w:p>
            <w:pPr>
              <w:widowControl/>
              <w:rPr>
                <w:rFonts w:hAnsi="宋体" w:cs="宋体"/>
              </w:rPr>
            </w:pPr>
            <w:r>
              <w:rPr>
                <w:rFonts w:hAnsi="宋体" w:cs="宋体"/>
                <w:sz w:val="20"/>
              </w:rPr>
              <w:t>建筑装修选用工业化内装部品占同类部品用量比例达到50%以上的部品种类，达到1种，得3分；达到3种，得5分；达到3种以上，得8分。</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7.2.17</w:t>
            </w:r>
          </w:p>
        </w:tc>
        <w:tc>
          <w:tcPr>
            <w:tcW w:w="512" w:type="pct"/>
            <w:vMerge w:val="restart"/>
            <w:shd w:val="clear" w:color="auto" w:fill="auto"/>
            <w:vAlign w:val="center"/>
          </w:tcPr>
          <w:p>
            <w:pPr>
              <w:widowControl/>
              <w:rPr>
                <w:rFonts w:hAnsi="宋体" w:cs="宋体"/>
                <w:bCs/>
                <w:sz w:val="20"/>
              </w:rPr>
            </w:pPr>
            <w:r>
              <w:rPr>
                <w:rFonts w:hAnsi="宋体" w:cs="宋体"/>
                <w:bCs/>
                <w:sz w:val="20"/>
              </w:rPr>
              <w:t>可再循环材料、可再利用材料</w:t>
            </w:r>
          </w:p>
        </w:tc>
        <w:tc>
          <w:tcPr>
            <w:tcW w:w="2134" w:type="pct"/>
            <w:gridSpan w:val="8"/>
            <w:shd w:val="clear" w:color="auto" w:fill="auto"/>
            <w:vAlign w:val="center"/>
          </w:tcPr>
          <w:p>
            <w:pPr>
              <w:widowControl/>
              <w:rPr>
                <w:rFonts w:hAnsi="宋体" w:cs="宋体"/>
                <w:bCs/>
                <w:sz w:val="20"/>
              </w:rPr>
            </w:pPr>
            <w:r>
              <w:rPr>
                <w:rFonts w:hAnsi="宋体" w:cs="宋体"/>
                <w:bCs/>
                <w:sz w:val="20"/>
              </w:rPr>
              <w:t>住宅建筑6%,得3分；10%，得6分。</w:t>
            </w:r>
          </w:p>
        </w:tc>
        <w:tc>
          <w:tcPr>
            <w:tcW w:w="391" w:type="pct"/>
            <w:vMerge w:val="restart"/>
            <w:vAlign w:val="center"/>
          </w:tcPr>
          <w:p>
            <w:pPr>
              <w:widowControl/>
              <w:jc w:val="center"/>
              <w:rPr>
                <w:rFonts w:hAnsi="宋体" w:cs="宋体"/>
                <w:b/>
                <w:bCs/>
                <w:sz w:val="20"/>
              </w:rPr>
            </w:pPr>
            <w:r>
              <w:rPr>
                <w:rFonts w:hAnsi="宋体" w:cs="宋体"/>
                <w:b/>
                <w:bCs/>
                <w:sz w:val="20"/>
              </w:rPr>
              <w:t>6</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12</w:t>
            </w:r>
          </w:p>
        </w:tc>
        <w:tc>
          <w:tcPr>
            <w:tcW w:w="455" w:type="pct"/>
            <w:vMerge w:val="restar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trPr>
        <w:tc>
          <w:tcPr>
            <w:tcW w:w="255" w:type="pct"/>
            <w:vMerge w:val="continue"/>
            <w:vAlign w:val="center"/>
          </w:tcPr>
          <w:p>
            <w:pPr>
              <w:widowControl/>
              <w:rPr>
                <w:rFonts w:hAnsi="宋体" w:cs="宋体"/>
                <w:sz w:val="20"/>
              </w:rPr>
            </w:pPr>
          </w:p>
        </w:tc>
        <w:tc>
          <w:tcPr>
            <w:tcW w:w="492" w:type="pct"/>
            <w:vMerge w:val="continue"/>
            <w:shd w:val="clear" w:color="auto" w:fill="auto"/>
            <w:noWrap/>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Cs/>
                <w:sz w:val="20"/>
              </w:rPr>
            </w:pPr>
          </w:p>
        </w:tc>
        <w:tc>
          <w:tcPr>
            <w:tcW w:w="2134" w:type="pct"/>
            <w:gridSpan w:val="8"/>
            <w:shd w:val="clear" w:color="auto" w:fill="auto"/>
            <w:vAlign w:val="center"/>
          </w:tcPr>
          <w:p>
            <w:pPr>
              <w:widowControl/>
              <w:rPr>
                <w:rFonts w:hAnsi="宋体" w:cs="宋体"/>
                <w:bCs/>
                <w:sz w:val="20"/>
              </w:rPr>
            </w:pPr>
            <w:r>
              <w:rPr>
                <w:rFonts w:hAnsi="宋体" w:cs="宋体"/>
                <w:bCs/>
                <w:sz w:val="20"/>
              </w:rPr>
              <w:t>公共建筑10%,得3分；15%，得6分。</w:t>
            </w:r>
          </w:p>
        </w:tc>
        <w:tc>
          <w:tcPr>
            <w:tcW w:w="391" w:type="pct"/>
            <w:vMerge w:val="continue"/>
            <w:vAlign w:val="center"/>
          </w:tcPr>
          <w:p>
            <w:pPr>
              <w:widowControl/>
              <w:jc w:val="center"/>
              <w:rPr>
                <w:rFonts w:hAnsi="宋体" w:cs="宋体"/>
                <w:b/>
                <w:bCs/>
                <w:sz w:val="20"/>
              </w:rPr>
            </w:pPr>
          </w:p>
        </w:tc>
        <w:tc>
          <w:tcPr>
            <w:tcW w:w="375" w:type="pct"/>
            <w:vMerge w:val="continue"/>
            <w:shd w:val="clear" w:color="auto" w:fill="auto"/>
            <w:vAlign w:val="center"/>
          </w:tcPr>
          <w:p>
            <w:pPr>
              <w:widowControl/>
              <w:jc w:val="center"/>
              <w:rPr>
                <w:rFonts w:hAnsi="宋体" w:cs="宋体"/>
                <w:b/>
                <w:bCs/>
                <w:sz w:val="20"/>
              </w:rPr>
            </w:pPr>
          </w:p>
        </w:tc>
        <w:tc>
          <w:tcPr>
            <w:tcW w:w="455" w:type="pct"/>
            <w:vMerge w:val="continue"/>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shd w:val="clear" w:color="auto" w:fill="auto"/>
            <w:vAlign w:val="center"/>
          </w:tcPr>
          <w:p>
            <w:pPr>
              <w:widowControl/>
              <w:jc w:val="center"/>
              <w:rPr>
                <w:rFonts w:hAnsi="宋体" w:cs="宋体"/>
                <w:bCs/>
                <w:sz w:val="20"/>
              </w:rPr>
            </w:pPr>
            <w:r>
              <w:rPr>
                <w:rFonts w:hAnsi="宋体" w:cs="宋体"/>
                <w:bCs/>
                <w:sz w:val="20"/>
              </w:rPr>
              <w:t>利废</w:t>
            </w:r>
          </w:p>
          <w:p>
            <w:pPr>
              <w:widowControl/>
              <w:jc w:val="center"/>
              <w:rPr>
                <w:rFonts w:hAnsi="宋体" w:cs="宋体"/>
                <w:bCs/>
                <w:sz w:val="20"/>
              </w:rPr>
            </w:pPr>
            <w:r>
              <w:rPr>
                <w:rFonts w:hAnsi="宋体" w:cs="宋体"/>
                <w:bCs/>
                <w:sz w:val="20"/>
              </w:rPr>
              <w:t>建材</w:t>
            </w:r>
          </w:p>
        </w:tc>
        <w:tc>
          <w:tcPr>
            <w:tcW w:w="2134" w:type="pct"/>
            <w:gridSpan w:val="8"/>
            <w:shd w:val="clear" w:color="auto" w:fill="auto"/>
            <w:vAlign w:val="center"/>
          </w:tcPr>
          <w:p>
            <w:pPr>
              <w:widowControl/>
              <w:rPr>
                <w:rFonts w:hAnsi="宋体" w:cs="宋体"/>
                <w:bCs/>
                <w:sz w:val="20"/>
              </w:rPr>
            </w:pPr>
            <w:r>
              <w:rPr>
                <w:rFonts w:hAnsi="宋体" w:cs="宋体"/>
                <w:bCs/>
                <w:sz w:val="20"/>
              </w:rPr>
              <w:t>采用一种利废建材，其占同类建材的用量比例不低于50%，得3分；</w:t>
            </w:r>
          </w:p>
          <w:p>
            <w:pPr>
              <w:widowControl/>
              <w:rPr>
                <w:rFonts w:hAnsi="宋体" w:cs="宋体"/>
                <w:bCs/>
                <w:sz w:val="20"/>
              </w:rPr>
            </w:pPr>
            <w:r>
              <w:rPr>
                <w:rFonts w:hAnsi="宋体" w:cs="宋体"/>
                <w:bCs/>
                <w:sz w:val="20"/>
              </w:rPr>
              <w:t>采用二种及以上的利废建材，每一种占同类建材的用量比例均不低于30%，得6分。</w:t>
            </w:r>
          </w:p>
        </w:tc>
        <w:tc>
          <w:tcPr>
            <w:tcW w:w="391" w:type="pct"/>
            <w:vAlign w:val="center"/>
          </w:tcPr>
          <w:p>
            <w:pPr>
              <w:widowControl/>
              <w:jc w:val="center"/>
              <w:rPr>
                <w:rFonts w:hAnsi="宋体" w:cs="宋体"/>
                <w:b/>
                <w:bCs/>
                <w:sz w:val="20"/>
              </w:rPr>
            </w:pPr>
            <w:r>
              <w:rPr>
                <w:rFonts w:hAnsi="宋体" w:cs="宋体"/>
                <w:b/>
                <w:bCs/>
                <w:sz w:val="20"/>
              </w:rPr>
              <w:t>6</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7.2.18</w:t>
            </w:r>
          </w:p>
        </w:tc>
        <w:tc>
          <w:tcPr>
            <w:tcW w:w="512" w:type="pct"/>
            <w:shd w:val="clear" w:color="auto" w:fill="auto"/>
            <w:vAlign w:val="center"/>
          </w:tcPr>
          <w:p>
            <w:pPr>
              <w:widowControl/>
              <w:jc w:val="center"/>
              <w:rPr>
                <w:rFonts w:hAnsi="宋体" w:cs="宋体"/>
                <w:bCs/>
                <w:sz w:val="20"/>
              </w:rPr>
            </w:pPr>
            <w:r>
              <w:rPr>
                <w:rFonts w:hAnsi="宋体" w:cs="宋体"/>
                <w:bCs/>
                <w:sz w:val="20"/>
              </w:rPr>
              <w:t>绿色</w:t>
            </w:r>
          </w:p>
          <w:p>
            <w:pPr>
              <w:widowControl/>
              <w:jc w:val="center"/>
              <w:rPr>
                <w:rFonts w:hAnsi="宋体" w:cs="宋体"/>
                <w:bCs/>
                <w:sz w:val="20"/>
              </w:rPr>
            </w:pPr>
            <w:r>
              <w:rPr>
                <w:rFonts w:hAnsi="宋体" w:cs="宋体"/>
                <w:bCs/>
                <w:sz w:val="20"/>
              </w:rPr>
              <w:t>建材</w:t>
            </w:r>
          </w:p>
        </w:tc>
        <w:tc>
          <w:tcPr>
            <w:tcW w:w="2134" w:type="pct"/>
            <w:gridSpan w:val="8"/>
            <w:shd w:val="clear" w:color="auto" w:fill="auto"/>
            <w:vAlign w:val="center"/>
          </w:tcPr>
          <w:p>
            <w:pPr>
              <w:widowControl/>
              <w:rPr>
                <w:rFonts w:hAnsi="宋体" w:cs="宋体"/>
                <w:bCs/>
                <w:sz w:val="20"/>
              </w:rPr>
            </w:pPr>
            <w:r>
              <w:rPr>
                <w:rFonts w:hAnsi="宋体" w:cs="宋体"/>
                <w:bCs/>
                <w:sz w:val="20"/>
              </w:rPr>
              <w:t>绿色建材应用比例不低于30%，得4分；</w:t>
            </w:r>
          </w:p>
          <w:p>
            <w:pPr>
              <w:widowControl/>
              <w:rPr>
                <w:rFonts w:hAnsi="宋体" w:cs="宋体"/>
                <w:bCs/>
                <w:sz w:val="20"/>
              </w:rPr>
            </w:pPr>
            <w:r>
              <w:rPr>
                <w:rFonts w:hAnsi="宋体" w:cs="宋体"/>
                <w:bCs/>
                <w:sz w:val="20"/>
              </w:rPr>
              <w:t>绿色建材应用比例不低于50%，得8分；</w:t>
            </w:r>
          </w:p>
          <w:p>
            <w:pPr>
              <w:widowControl/>
              <w:rPr>
                <w:rFonts w:hAnsi="宋体" w:cs="宋体"/>
                <w:bCs/>
                <w:sz w:val="20"/>
              </w:rPr>
            </w:pPr>
            <w:r>
              <w:rPr>
                <w:rFonts w:hAnsi="宋体" w:cs="宋体"/>
                <w:bCs/>
                <w:sz w:val="20"/>
              </w:rPr>
              <w:t>绿色建材应用比例不低于70%，得12分。</w:t>
            </w:r>
          </w:p>
        </w:tc>
        <w:tc>
          <w:tcPr>
            <w:tcW w:w="391" w:type="pct"/>
            <w:vAlign w:val="center"/>
          </w:tcPr>
          <w:p>
            <w:pPr>
              <w:widowControl/>
              <w:jc w:val="center"/>
              <w:rPr>
                <w:rFonts w:hAnsi="宋体" w:cs="宋体"/>
                <w:b/>
                <w:bCs/>
                <w:sz w:val="20"/>
              </w:rPr>
            </w:pPr>
            <w:r>
              <w:rPr>
                <w:rFonts w:hAnsi="宋体" w:cs="宋体"/>
                <w:b/>
                <w:bCs/>
                <w:sz w:val="20"/>
              </w:rPr>
              <w:t>12</w:t>
            </w:r>
          </w:p>
        </w:tc>
        <w:tc>
          <w:tcPr>
            <w:tcW w:w="375" w:type="pct"/>
            <w:shd w:val="clear" w:color="auto" w:fill="auto"/>
            <w:vAlign w:val="center"/>
          </w:tcPr>
          <w:p>
            <w:pPr>
              <w:widowControl/>
              <w:jc w:val="center"/>
              <w:rPr>
                <w:rFonts w:hAnsi="宋体" w:cs="宋体"/>
                <w:b/>
                <w:bCs/>
                <w:sz w:val="20"/>
              </w:rPr>
            </w:pPr>
            <w:r>
              <w:rPr>
                <w:rFonts w:hAnsi="宋体" w:cs="宋体"/>
                <w:b/>
                <w:bCs/>
                <w:sz w:val="20"/>
              </w:rPr>
              <w:t>12</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restart"/>
            <w:vAlign w:val="center"/>
          </w:tcPr>
          <w:p>
            <w:pPr>
              <w:widowControl/>
              <w:rPr>
                <w:rFonts w:hAnsi="宋体" w:cs="宋体"/>
                <w:b/>
                <w:bCs/>
                <w:sz w:val="20"/>
              </w:rPr>
            </w:pPr>
            <w:r>
              <w:rPr>
                <w:rFonts w:hAnsi="宋体" w:cs="宋体"/>
                <w:b/>
                <w:bCs/>
                <w:sz w:val="20"/>
              </w:rPr>
              <w:t>环境宜居</w:t>
            </w:r>
          </w:p>
        </w:tc>
        <w:tc>
          <w:tcPr>
            <w:tcW w:w="492" w:type="pct"/>
            <w:shd w:val="clear" w:color="auto" w:fill="auto"/>
            <w:noWrap/>
            <w:vAlign w:val="center"/>
          </w:tcPr>
          <w:p>
            <w:pPr>
              <w:widowControl/>
              <w:rPr>
                <w:rFonts w:hAnsi="宋体" w:cs="宋体"/>
                <w:sz w:val="20"/>
              </w:rPr>
            </w:pPr>
            <w:r>
              <w:rPr>
                <w:rFonts w:hAnsi="宋体" w:cs="宋体"/>
                <w:sz w:val="20"/>
              </w:rPr>
              <w:t>8.1.1</w:t>
            </w:r>
          </w:p>
        </w:tc>
        <w:tc>
          <w:tcPr>
            <w:tcW w:w="2646" w:type="pct"/>
            <w:gridSpan w:val="9"/>
            <w:shd w:val="clear" w:color="auto" w:fill="auto"/>
            <w:vAlign w:val="center"/>
          </w:tcPr>
          <w:p>
            <w:pPr>
              <w:rPr>
                <w:rFonts w:hAnsi="宋体" w:cs="宋体"/>
                <w:sz w:val="20"/>
              </w:rPr>
            </w:pPr>
            <w:r>
              <w:rPr>
                <w:rFonts w:hAnsi="宋体" w:cs="宋体"/>
                <w:sz w:val="20"/>
              </w:rPr>
              <w:t>建筑规划布局应满足日照标准，且不得降低周边建筑的日照标准。</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8.1.2</w:t>
            </w:r>
          </w:p>
        </w:tc>
        <w:tc>
          <w:tcPr>
            <w:tcW w:w="2646" w:type="pct"/>
            <w:gridSpan w:val="9"/>
            <w:shd w:val="clear" w:color="auto" w:fill="auto"/>
            <w:vAlign w:val="center"/>
          </w:tcPr>
          <w:p>
            <w:pPr>
              <w:rPr>
                <w:rFonts w:hAnsi="宋体" w:cs="宋体"/>
                <w:sz w:val="20"/>
              </w:rPr>
            </w:pPr>
            <w:r>
              <w:rPr>
                <w:rFonts w:hAnsi="宋体" w:cs="宋体"/>
                <w:sz w:val="20"/>
              </w:rPr>
              <w:t>室外热环境应满足国家现行有关标准的要求。</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8.1.3</w:t>
            </w:r>
          </w:p>
        </w:tc>
        <w:tc>
          <w:tcPr>
            <w:tcW w:w="2646" w:type="pct"/>
            <w:gridSpan w:val="9"/>
            <w:shd w:val="clear" w:color="auto" w:fill="auto"/>
            <w:vAlign w:val="center"/>
          </w:tcPr>
          <w:p>
            <w:pPr>
              <w:rPr>
                <w:rFonts w:hAnsi="宋体" w:cs="宋体"/>
                <w:sz w:val="20"/>
              </w:rPr>
            </w:pPr>
            <w:r>
              <w:rPr>
                <w:rFonts w:hAnsi="宋体" w:cs="宋体"/>
                <w:sz w:val="20"/>
              </w:rPr>
              <w:t>配建的绿地应符合所在地城乡规划的要求，应合理选择绿化方式，植物种植应适应当地气候和土壤，且应无毒害、易维护，种植区域覆土深度和排水能力应满足植物生产需求，并应采用复层绿化方式。</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8.1.4</w:t>
            </w:r>
          </w:p>
        </w:tc>
        <w:tc>
          <w:tcPr>
            <w:tcW w:w="2646" w:type="pct"/>
            <w:gridSpan w:val="9"/>
            <w:shd w:val="clear" w:color="auto" w:fill="auto"/>
            <w:vAlign w:val="center"/>
          </w:tcPr>
          <w:p>
            <w:pPr>
              <w:rPr>
                <w:rFonts w:hAnsi="宋体" w:cs="宋体"/>
                <w:sz w:val="20"/>
              </w:rPr>
            </w:pPr>
            <w:r>
              <w:rPr>
                <w:rFonts w:hAnsi="宋体" w:cs="宋体"/>
                <w:sz w:val="20"/>
              </w:rPr>
              <w:t>场地的竖向设计应有利于雨水的收集或排放，应有效组织雨水的下渗、滞蓄或再利用；对大于10hm</w:t>
            </w:r>
            <w:r>
              <w:rPr>
                <w:rFonts w:hAnsi="宋体" w:cs="宋体"/>
                <w:sz w:val="20"/>
                <w:vertAlign w:val="superscript"/>
              </w:rPr>
              <w:t>2</w:t>
            </w:r>
            <w:r>
              <w:rPr>
                <w:rFonts w:hAnsi="宋体" w:cs="宋体"/>
                <w:sz w:val="20"/>
              </w:rPr>
              <w:t>的场地应进行雨水控制利用专项设计。</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8.1.5</w:t>
            </w:r>
          </w:p>
        </w:tc>
        <w:tc>
          <w:tcPr>
            <w:tcW w:w="2646" w:type="pct"/>
            <w:gridSpan w:val="9"/>
            <w:shd w:val="clear" w:color="auto" w:fill="auto"/>
            <w:vAlign w:val="center"/>
          </w:tcPr>
          <w:p>
            <w:pPr>
              <w:rPr>
                <w:rFonts w:hAnsi="宋体" w:cs="宋体"/>
                <w:sz w:val="20"/>
              </w:rPr>
            </w:pPr>
            <w:r>
              <w:rPr>
                <w:rFonts w:hAnsi="宋体" w:cs="宋体"/>
                <w:sz w:val="20"/>
              </w:rPr>
              <w:t>建筑内外均应设置便于识别和使用的标识系统。</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8.1.6</w:t>
            </w:r>
          </w:p>
        </w:tc>
        <w:tc>
          <w:tcPr>
            <w:tcW w:w="2646" w:type="pct"/>
            <w:gridSpan w:val="9"/>
            <w:shd w:val="clear" w:color="auto" w:fill="auto"/>
            <w:vAlign w:val="center"/>
          </w:tcPr>
          <w:p>
            <w:pPr>
              <w:rPr>
                <w:rFonts w:hAnsi="宋体" w:cs="宋体"/>
                <w:sz w:val="20"/>
              </w:rPr>
            </w:pPr>
            <w:r>
              <w:rPr>
                <w:rFonts w:hAnsi="宋体" w:cs="宋体"/>
                <w:sz w:val="20"/>
              </w:rPr>
              <w:t>场地内不应有排放超标的污染源。</w:t>
            </w:r>
          </w:p>
        </w:tc>
        <w:tc>
          <w:tcPr>
            <w:tcW w:w="766" w:type="pct"/>
            <w:gridSpan w:val="2"/>
            <w:vAlign w:val="center"/>
          </w:tcPr>
          <w:p>
            <w:pPr>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8.1.7</w:t>
            </w:r>
          </w:p>
        </w:tc>
        <w:tc>
          <w:tcPr>
            <w:tcW w:w="2646" w:type="pct"/>
            <w:gridSpan w:val="9"/>
            <w:shd w:val="clear" w:color="auto" w:fill="auto"/>
            <w:vAlign w:val="center"/>
          </w:tcPr>
          <w:p>
            <w:pPr>
              <w:rPr>
                <w:rFonts w:hAnsi="宋体" w:cs="宋体"/>
                <w:sz w:val="20"/>
              </w:rPr>
            </w:pPr>
            <w:r>
              <w:rPr>
                <w:rFonts w:hAnsi="宋体" w:cs="宋体"/>
                <w:sz w:val="20"/>
              </w:rPr>
              <w:t>生活垃圾应分类收集，垃圾容器和收集点的设置应合理并应与周围景观协调。</w:t>
            </w:r>
          </w:p>
        </w:tc>
        <w:tc>
          <w:tcPr>
            <w:tcW w:w="766" w:type="pct"/>
            <w:gridSpan w:val="2"/>
            <w:vAlign w:val="center"/>
          </w:tcPr>
          <w:p>
            <w:pPr>
              <w:widowControl/>
              <w:jc w:val="center"/>
              <w:rPr>
                <w:rFonts w:hAnsi="宋体" w:cs="宋体"/>
                <w:b/>
                <w:bCs/>
                <w:sz w:val="20"/>
              </w:rPr>
            </w:pPr>
            <w:r>
              <w:rPr>
                <w:rFonts w:hAnsi="宋体" w:cs="宋体"/>
                <w:b/>
                <w:bCs/>
                <w:sz w:val="20"/>
              </w:rPr>
              <w:t>控制项</w:t>
            </w:r>
          </w:p>
        </w:tc>
        <w:tc>
          <w:tcPr>
            <w:tcW w:w="455" w:type="pct"/>
            <w:vAlign w:val="center"/>
          </w:tcPr>
          <w:p>
            <w:pPr>
              <w:widowControl/>
              <w:ind w:left="-63" w:leftChars="-30" w:right="-105" w:rightChars="-50"/>
              <w:rPr>
                <w:rFonts w:hAnsi="宋体" w:cs="宋体"/>
                <w:szCs w:val="21"/>
              </w:rPr>
            </w:pPr>
            <w:r>
              <w:rPr>
                <w:rFonts w:hAnsi="宋体" w:cs="宋体"/>
                <w:szCs w:val="21"/>
              </w:rPr>
              <w:t>□</w:t>
            </w:r>
            <w:r>
              <w:rPr>
                <w:rFonts w:hint="eastAsia" w:hAnsi="宋体" w:cs="宋体"/>
                <w:szCs w:val="21"/>
              </w:rPr>
              <w:t>满足</w:t>
            </w: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8.2.1</w:t>
            </w:r>
          </w:p>
        </w:tc>
        <w:tc>
          <w:tcPr>
            <w:tcW w:w="512" w:type="pct"/>
            <w:vMerge w:val="restart"/>
            <w:shd w:val="clear" w:color="auto" w:fill="auto"/>
            <w:vAlign w:val="center"/>
          </w:tcPr>
          <w:p>
            <w:pPr>
              <w:widowControl/>
              <w:rPr>
                <w:rFonts w:hAnsi="宋体" w:cs="宋体"/>
                <w:bCs/>
                <w:sz w:val="20"/>
              </w:rPr>
            </w:pPr>
            <w:r>
              <w:rPr>
                <w:rFonts w:hAnsi="宋体" w:cs="宋体"/>
                <w:sz w:val="20"/>
              </w:rPr>
              <w:t>充分保护或修复场地生态环境，合理布局建筑及景观。</w:t>
            </w:r>
          </w:p>
        </w:tc>
        <w:tc>
          <w:tcPr>
            <w:tcW w:w="2134" w:type="pct"/>
            <w:gridSpan w:val="8"/>
            <w:shd w:val="clear" w:color="auto" w:fill="auto"/>
            <w:vAlign w:val="center"/>
          </w:tcPr>
          <w:p>
            <w:pPr>
              <w:rPr>
                <w:rFonts w:hAnsi="宋体" w:cs="宋体"/>
                <w:sz w:val="20"/>
              </w:rPr>
            </w:pPr>
            <w:r>
              <w:rPr>
                <w:rFonts w:hAnsi="宋体" w:cs="宋体"/>
                <w:sz w:val="20"/>
              </w:rPr>
              <w:t>保护场地内原有的自然水域、湿地、植被等，保持场地内的生态系统与场地外生态系统的连贯性。</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采取净地表层土回收利用等生态补偿措施。</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根据场地实际状况，采取其他生态恢复或补偿措施。</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8.2.2</w:t>
            </w:r>
          </w:p>
        </w:tc>
        <w:tc>
          <w:tcPr>
            <w:tcW w:w="2646" w:type="pct"/>
            <w:gridSpan w:val="9"/>
            <w:shd w:val="clear" w:color="auto" w:fill="auto"/>
            <w:vAlign w:val="center"/>
          </w:tcPr>
          <w:p>
            <w:pPr>
              <w:widowControl/>
              <w:rPr>
                <w:rFonts w:hAnsi="宋体" w:cs="宋体"/>
                <w:bCs/>
                <w:sz w:val="20"/>
              </w:rPr>
            </w:pPr>
            <w:r>
              <w:rPr>
                <w:rFonts w:hAnsi="宋体" w:cs="宋体"/>
                <w:sz w:val="20"/>
              </w:rPr>
              <w:t>规划场地地表和屋面雨水径流，对场地雨水实施外排总量控制。</w:t>
            </w:r>
          </w:p>
          <w:p>
            <w:pPr>
              <w:widowControl/>
              <w:rPr>
                <w:rFonts w:hAnsi="宋体" w:cs="宋体"/>
                <w:bCs/>
                <w:sz w:val="20"/>
              </w:rPr>
            </w:pPr>
            <w:r>
              <w:rPr>
                <w:rFonts w:hAnsi="宋体" w:cs="宋体"/>
                <w:bCs/>
                <w:sz w:val="20"/>
              </w:rPr>
              <w:t>场地年径流总量控制率达到55%，得5分；</w:t>
            </w:r>
          </w:p>
          <w:p>
            <w:pPr>
              <w:widowControl/>
              <w:rPr>
                <w:rFonts w:hAnsi="宋体" w:cs="宋体"/>
                <w:bCs/>
                <w:sz w:val="20"/>
              </w:rPr>
            </w:pPr>
            <w:r>
              <w:rPr>
                <w:rFonts w:hAnsi="宋体" w:cs="宋体"/>
                <w:bCs/>
                <w:sz w:val="20"/>
              </w:rPr>
              <w:t>场地年径流总量控制率达到70%，得10分。</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000000" w:fill="FFFFFF"/>
            <w:vAlign w:val="center"/>
          </w:tcPr>
          <w:p>
            <w:pPr>
              <w:widowControl/>
              <w:rPr>
                <w:rFonts w:hAnsi="宋体" w:cs="宋体"/>
                <w:sz w:val="20"/>
              </w:rPr>
            </w:pPr>
          </w:p>
        </w:tc>
        <w:tc>
          <w:tcPr>
            <w:tcW w:w="492" w:type="pct"/>
            <w:vMerge w:val="restart"/>
            <w:shd w:val="clear" w:color="000000" w:fill="FFFFFF"/>
            <w:noWrap/>
            <w:vAlign w:val="center"/>
          </w:tcPr>
          <w:p>
            <w:pPr>
              <w:widowControl/>
              <w:rPr>
                <w:rFonts w:hAnsi="宋体" w:cs="宋体"/>
                <w:sz w:val="20"/>
              </w:rPr>
            </w:pPr>
            <w:r>
              <w:rPr>
                <w:rFonts w:hAnsi="宋体" w:cs="宋体"/>
                <w:sz w:val="20"/>
              </w:rPr>
              <w:t>8.2.3</w:t>
            </w:r>
          </w:p>
        </w:tc>
        <w:tc>
          <w:tcPr>
            <w:tcW w:w="512" w:type="pct"/>
            <w:vMerge w:val="restart"/>
            <w:shd w:val="clear" w:color="000000" w:fill="FFFFFF"/>
            <w:vAlign w:val="center"/>
          </w:tcPr>
          <w:p>
            <w:pPr>
              <w:widowControl/>
              <w:rPr>
                <w:rFonts w:hAnsi="宋体" w:cs="宋体"/>
                <w:bCs/>
                <w:sz w:val="20"/>
              </w:rPr>
            </w:pPr>
            <w:r>
              <w:rPr>
                <w:rFonts w:hAnsi="宋体" w:cs="宋体"/>
                <w:sz w:val="20"/>
              </w:rPr>
              <w:t>充分利用场地空间设置绿化用地。</w:t>
            </w:r>
          </w:p>
        </w:tc>
        <w:tc>
          <w:tcPr>
            <w:tcW w:w="2134" w:type="pct"/>
            <w:gridSpan w:val="8"/>
            <w:shd w:val="clear" w:color="000000" w:fill="FFFFFF"/>
            <w:vAlign w:val="center"/>
          </w:tcPr>
          <w:p>
            <w:pPr>
              <w:widowControl/>
              <w:rPr>
                <w:rFonts w:hAnsi="宋体" w:cs="宋体"/>
                <w:bCs/>
                <w:sz w:val="20"/>
              </w:rPr>
            </w:pPr>
            <w:r>
              <w:rPr>
                <w:rFonts w:hAnsi="宋体" w:cs="宋体"/>
                <w:sz w:val="20"/>
              </w:rPr>
              <w:t>绿地率达到规划指标的105%及以上。</w:t>
            </w:r>
          </w:p>
        </w:tc>
        <w:tc>
          <w:tcPr>
            <w:tcW w:w="391" w:type="pct"/>
            <w:shd w:val="clear" w:color="000000" w:fill="FFFFFF"/>
            <w:vAlign w:val="center"/>
          </w:tcPr>
          <w:p>
            <w:pPr>
              <w:widowControl/>
              <w:jc w:val="center"/>
              <w:rPr>
                <w:rFonts w:hAnsi="宋体" w:cs="宋体"/>
                <w:b/>
                <w:bCs/>
                <w:sz w:val="20"/>
              </w:rPr>
            </w:pPr>
            <w:r>
              <w:rPr>
                <w:rFonts w:hAnsi="宋体" w:cs="宋体"/>
                <w:b/>
                <w:bCs/>
                <w:sz w:val="20"/>
              </w:rPr>
              <w:t>10</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16</w:t>
            </w: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350" w:type="pct"/>
            <w:gridSpan w:val="5"/>
            <w:vMerge w:val="restart"/>
            <w:vAlign w:val="center"/>
          </w:tcPr>
          <w:p>
            <w:pPr>
              <w:widowControl/>
              <w:rPr>
                <w:rFonts w:hAnsi="宋体" w:cs="宋体"/>
                <w:bCs/>
                <w:sz w:val="20"/>
              </w:rPr>
            </w:pPr>
            <w:r>
              <w:rPr>
                <w:rFonts w:hAnsi="宋体" w:cs="宋体"/>
                <w:bCs/>
                <w:sz w:val="20"/>
              </w:rPr>
              <w:t>住宅</w:t>
            </w:r>
          </w:p>
          <w:p>
            <w:pPr>
              <w:widowControl/>
              <w:rPr>
                <w:rFonts w:hAnsi="宋体" w:cs="宋体"/>
                <w:bCs/>
                <w:sz w:val="20"/>
              </w:rPr>
            </w:pPr>
            <w:r>
              <w:rPr>
                <w:rFonts w:hAnsi="宋体" w:cs="宋体"/>
                <w:bCs/>
                <w:sz w:val="20"/>
              </w:rPr>
              <w:t>项目</w:t>
            </w:r>
          </w:p>
        </w:tc>
        <w:tc>
          <w:tcPr>
            <w:tcW w:w="1784" w:type="pct"/>
            <w:gridSpan w:val="3"/>
            <w:vAlign w:val="center"/>
          </w:tcPr>
          <w:p>
            <w:pPr>
              <w:widowControl/>
              <w:rPr>
                <w:rFonts w:hAnsi="宋体" w:cs="宋体"/>
                <w:bCs/>
                <w:sz w:val="20"/>
              </w:rPr>
            </w:pPr>
            <w:r>
              <w:rPr>
                <w:rFonts w:hAnsi="宋体" w:cs="宋体"/>
                <w:bCs/>
                <w:sz w:val="20"/>
              </w:rPr>
              <w:t>□新区建设</w:t>
            </w:r>
          </w:p>
          <w:p>
            <w:pPr>
              <w:widowControl/>
              <w:rPr>
                <w:rFonts w:hAnsi="宋体" w:cs="宋体"/>
                <w:bCs/>
                <w:sz w:val="20"/>
              </w:rPr>
            </w:pPr>
            <w:r>
              <w:rPr>
                <w:rFonts w:hAnsi="宋体" w:cs="宋体"/>
                <w:bCs/>
                <w:sz w:val="20"/>
              </w:rPr>
              <w:t>所在居住街坊内人均集中绿地面积Ag（m</w:t>
            </w:r>
            <w:r>
              <w:rPr>
                <w:rFonts w:hAnsi="宋体" w:cs="宋体"/>
                <w:bCs/>
                <w:sz w:val="20"/>
                <w:vertAlign w:val="superscript"/>
              </w:rPr>
              <w:t>2</w:t>
            </w:r>
            <w:r>
              <w:rPr>
                <w:rFonts w:hAnsi="宋体" w:cs="宋体"/>
                <w:bCs/>
                <w:sz w:val="20"/>
              </w:rPr>
              <w:t xml:space="preserve">/人）：                               </w:t>
            </w:r>
          </w:p>
          <w:p>
            <w:pPr>
              <w:widowControl/>
              <w:rPr>
                <w:rFonts w:hAnsi="宋体" w:cs="宋体"/>
                <w:bCs/>
                <w:sz w:val="20"/>
              </w:rPr>
            </w:pPr>
            <w:r>
              <w:rPr>
                <w:rFonts w:hAnsi="宋体" w:cs="宋体"/>
                <w:bCs/>
                <w:sz w:val="20"/>
              </w:rPr>
              <w:t>Ag=0.50，得2分；</w:t>
            </w:r>
          </w:p>
          <w:p>
            <w:pPr>
              <w:widowControl/>
              <w:rPr>
                <w:rFonts w:hAnsi="宋体" w:cs="宋体"/>
                <w:bCs/>
                <w:sz w:val="20"/>
              </w:rPr>
            </w:pPr>
            <w:r>
              <w:rPr>
                <w:rFonts w:hAnsi="宋体" w:cs="宋体"/>
                <w:bCs/>
                <w:sz w:val="20"/>
              </w:rPr>
              <w:t>0.50＜Ag＜0.60 ，得4分；</w:t>
            </w:r>
          </w:p>
          <w:p>
            <w:pPr>
              <w:widowControl/>
              <w:rPr>
                <w:rFonts w:hAnsi="宋体" w:cs="宋体"/>
                <w:bCs/>
                <w:sz w:val="20"/>
              </w:rPr>
            </w:pPr>
            <w:r>
              <w:rPr>
                <w:rFonts w:hAnsi="宋体" w:cs="宋体"/>
                <w:bCs/>
                <w:sz w:val="20"/>
              </w:rPr>
              <w:t>Ag≥0.60，得6分。</w:t>
            </w:r>
          </w:p>
        </w:tc>
        <w:tc>
          <w:tcPr>
            <w:tcW w:w="391" w:type="pct"/>
            <w:vAlign w:val="center"/>
          </w:tcPr>
          <w:p>
            <w:pPr>
              <w:widowControl/>
              <w:jc w:val="center"/>
              <w:rPr>
                <w:rFonts w:hAnsi="宋体" w:cs="宋体"/>
                <w:b/>
                <w:bCs/>
                <w:sz w:val="20"/>
              </w:rPr>
            </w:pPr>
            <w:r>
              <w:rPr>
                <w:rFonts w:hAnsi="宋体" w:cs="宋体"/>
                <w:b/>
                <w:bCs/>
                <w:sz w:val="20"/>
              </w:rPr>
              <w:t>6</w:t>
            </w:r>
          </w:p>
        </w:tc>
        <w:tc>
          <w:tcPr>
            <w:tcW w:w="375" w:type="pct"/>
            <w:vMerge w:val="continue"/>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350" w:type="pct"/>
            <w:gridSpan w:val="5"/>
            <w:vMerge w:val="continue"/>
            <w:vAlign w:val="center"/>
          </w:tcPr>
          <w:p>
            <w:pPr>
              <w:widowControl/>
              <w:rPr>
                <w:rFonts w:hAnsi="宋体" w:cs="宋体"/>
                <w:bCs/>
                <w:sz w:val="20"/>
              </w:rPr>
            </w:pPr>
          </w:p>
        </w:tc>
        <w:tc>
          <w:tcPr>
            <w:tcW w:w="1784" w:type="pct"/>
            <w:gridSpan w:val="3"/>
            <w:vAlign w:val="center"/>
          </w:tcPr>
          <w:p>
            <w:pPr>
              <w:widowControl/>
              <w:rPr>
                <w:rFonts w:hAnsi="宋体" w:cs="宋体"/>
                <w:bCs/>
                <w:sz w:val="20"/>
              </w:rPr>
            </w:pPr>
            <w:r>
              <w:rPr>
                <w:rFonts w:hAnsi="宋体" w:cs="宋体"/>
                <w:bCs/>
                <w:sz w:val="20"/>
              </w:rPr>
              <w:t>□旧区改造</w:t>
            </w:r>
          </w:p>
          <w:p>
            <w:pPr>
              <w:widowControl/>
              <w:rPr>
                <w:rFonts w:hAnsi="宋体" w:cs="宋体"/>
                <w:bCs/>
                <w:sz w:val="20"/>
              </w:rPr>
            </w:pPr>
            <w:r>
              <w:rPr>
                <w:rFonts w:hAnsi="宋体" w:cs="宋体"/>
                <w:bCs/>
                <w:sz w:val="20"/>
              </w:rPr>
              <w:t>所在居住街坊内人均集中绿地面积Ag（m</w:t>
            </w:r>
            <w:r>
              <w:rPr>
                <w:rFonts w:hAnsi="宋体" w:cs="宋体"/>
                <w:bCs/>
                <w:sz w:val="20"/>
                <w:vertAlign w:val="superscript"/>
              </w:rPr>
              <w:t>2</w:t>
            </w:r>
            <w:r>
              <w:rPr>
                <w:rFonts w:hAnsi="宋体" w:cs="宋体"/>
                <w:bCs/>
                <w:sz w:val="20"/>
              </w:rPr>
              <w:t xml:space="preserve">/人）：                        </w:t>
            </w:r>
          </w:p>
          <w:p>
            <w:pPr>
              <w:widowControl/>
              <w:rPr>
                <w:rFonts w:hAnsi="宋体" w:cs="宋体"/>
                <w:bCs/>
                <w:sz w:val="20"/>
              </w:rPr>
            </w:pPr>
            <w:r>
              <w:rPr>
                <w:rFonts w:hAnsi="宋体" w:cs="宋体"/>
                <w:bCs/>
                <w:sz w:val="20"/>
              </w:rPr>
              <w:t>Ag=0.35，得2分；</w:t>
            </w:r>
          </w:p>
          <w:p>
            <w:pPr>
              <w:widowControl/>
              <w:rPr>
                <w:rFonts w:hAnsi="宋体" w:cs="宋体"/>
                <w:bCs/>
                <w:sz w:val="20"/>
              </w:rPr>
            </w:pPr>
            <w:r>
              <w:rPr>
                <w:rFonts w:hAnsi="宋体" w:cs="宋体"/>
                <w:bCs/>
                <w:sz w:val="20"/>
              </w:rPr>
              <w:t>0.35＜Ag＜0.45，得4分；</w:t>
            </w:r>
          </w:p>
          <w:p>
            <w:pPr>
              <w:widowControl/>
              <w:rPr>
                <w:rFonts w:hAnsi="宋体" w:cs="宋体"/>
                <w:bCs/>
                <w:sz w:val="20"/>
              </w:rPr>
            </w:pPr>
            <w:r>
              <w:rPr>
                <w:rFonts w:hAnsi="宋体" w:cs="宋体"/>
                <w:bCs/>
                <w:sz w:val="20"/>
              </w:rPr>
              <w:t>Ag≥0.45，得6分。</w:t>
            </w:r>
          </w:p>
        </w:tc>
        <w:tc>
          <w:tcPr>
            <w:tcW w:w="391" w:type="pct"/>
            <w:vAlign w:val="center"/>
          </w:tcPr>
          <w:p>
            <w:pPr>
              <w:widowControl/>
              <w:jc w:val="center"/>
              <w:rPr>
                <w:rFonts w:hAnsi="宋体" w:cs="宋体"/>
                <w:b/>
                <w:bCs/>
                <w:sz w:val="20"/>
              </w:rPr>
            </w:pPr>
            <w:r>
              <w:rPr>
                <w:rFonts w:hAnsi="宋体" w:cs="宋体"/>
                <w:b/>
                <w:bCs/>
                <w:sz w:val="20"/>
              </w:rPr>
              <w:t>6</w:t>
            </w:r>
          </w:p>
        </w:tc>
        <w:tc>
          <w:tcPr>
            <w:tcW w:w="375" w:type="pct"/>
            <w:vMerge w:val="continue"/>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350" w:type="pct"/>
            <w:gridSpan w:val="5"/>
            <w:vAlign w:val="center"/>
          </w:tcPr>
          <w:p>
            <w:pPr>
              <w:widowControl/>
              <w:rPr>
                <w:rFonts w:hAnsi="宋体" w:cs="宋体"/>
                <w:bCs/>
                <w:sz w:val="20"/>
              </w:rPr>
            </w:pPr>
            <w:r>
              <w:rPr>
                <w:rFonts w:hAnsi="宋体" w:cs="宋体"/>
                <w:bCs/>
                <w:sz w:val="20"/>
              </w:rPr>
              <w:t>公共</w:t>
            </w:r>
          </w:p>
          <w:p>
            <w:pPr>
              <w:widowControl/>
              <w:rPr>
                <w:rFonts w:hAnsi="宋体" w:cs="宋体"/>
                <w:bCs/>
                <w:sz w:val="20"/>
              </w:rPr>
            </w:pPr>
            <w:r>
              <w:rPr>
                <w:rFonts w:hAnsi="宋体" w:cs="宋体"/>
                <w:bCs/>
                <w:sz w:val="20"/>
              </w:rPr>
              <w:t>建筑</w:t>
            </w:r>
          </w:p>
        </w:tc>
        <w:tc>
          <w:tcPr>
            <w:tcW w:w="1784" w:type="pct"/>
            <w:gridSpan w:val="3"/>
            <w:vAlign w:val="center"/>
          </w:tcPr>
          <w:p>
            <w:pPr>
              <w:widowControl/>
              <w:rPr>
                <w:rFonts w:hAnsi="宋体" w:cs="宋体"/>
                <w:bCs/>
                <w:sz w:val="20"/>
              </w:rPr>
            </w:pPr>
            <w:r>
              <w:rPr>
                <w:rFonts w:hAnsi="宋体" w:cs="宋体"/>
                <w:bCs/>
                <w:sz w:val="20"/>
              </w:rPr>
              <w:t>绿地向公众开放。</w:t>
            </w:r>
          </w:p>
        </w:tc>
        <w:tc>
          <w:tcPr>
            <w:tcW w:w="391" w:type="pct"/>
            <w:vAlign w:val="center"/>
          </w:tcPr>
          <w:p>
            <w:pPr>
              <w:widowControl/>
              <w:jc w:val="center"/>
              <w:rPr>
                <w:rFonts w:hAnsi="宋体" w:cs="宋体"/>
                <w:b/>
                <w:bCs/>
                <w:sz w:val="20"/>
              </w:rPr>
            </w:pPr>
            <w:r>
              <w:rPr>
                <w:rFonts w:hAnsi="宋体" w:cs="宋体"/>
                <w:b/>
                <w:bCs/>
                <w:sz w:val="20"/>
              </w:rPr>
              <w:t>6</w:t>
            </w:r>
          </w:p>
        </w:tc>
        <w:tc>
          <w:tcPr>
            <w:tcW w:w="375" w:type="pct"/>
            <w:vMerge w:val="continue"/>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000000" w:fill="FFFFFF"/>
            <w:vAlign w:val="center"/>
          </w:tcPr>
          <w:p>
            <w:pPr>
              <w:widowControl/>
              <w:rPr>
                <w:rFonts w:hAnsi="宋体" w:cs="宋体"/>
                <w:sz w:val="20"/>
              </w:rPr>
            </w:pPr>
          </w:p>
        </w:tc>
        <w:tc>
          <w:tcPr>
            <w:tcW w:w="492" w:type="pct"/>
            <w:vMerge w:val="restart"/>
            <w:shd w:val="clear" w:color="000000" w:fill="FFFFFF"/>
            <w:noWrap/>
            <w:vAlign w:val="center"/>
          </w:tcPr>
          <w:p>
            <w:pPr>
              <w:widowControl/>
              <w:rPr>
                <w:rFonts w:hAnsi="宋体" w:cs="宋体"/>
                <w:sz w:val="20"/>
              </w:rPr>
            </w:pPr>
            <w:r>
              <w:rPr>
                <w:rFonts w:hAnsi="宋体" w:cs="宋体"/>
                <w:sz w:val="20"/>
              </w:rPr>
              <w:t>8.2.4</w:t>
            </w:r>
          </w:p>
        </w:tc>
        <w:tc>
          <w:tcPr>
            <w:tcW w:w="512" w:type="pct"/>
            <w:vMerge w:val="restart"/>
            <w:shd w:val="clear" w:color="000000" w:fill="FFFFFF"/>
            <w:vAlign w:val="center"/>
          </w:tcPr>
          <w:p>
            <w:pPr>
              <w:widowControl/>
              <w:rPr>
                <w:rFonts w:hAnsi="宋体" w:cs="宋体"/>
                <w:bCs/>
                <w:sz w:val="20"/>
              </w:rPr>
            </w:pPr>
            <w:r>
              <w:rPr>
                <w:rFonts w:hAnsi="宋体" w:cs="宋体"/>
                <w:bCs/>
                <w:sz w:val="20"/>
              </w:rPr>
              <w:t>室外吸烟区设置</w:t>
            </w:r>
          </w:p>
        </w:tc>
        <w:tc>
          <w:tcPr>
            <w:tcW w:w="2134" w:type="pct"/>
            <w:gridSpan w:val="8"/>
            <w:shd w:val="clear" w:color="000000" w:fill="FFFFFF"/>
            <w:vAlign w:val="center"/>
          </w:tcPr>
          <w:p>
            <w:pPr>
              <w:widowControl/>
              <w:rPr>
                <w:rFonts w:hAnsi="宋体" w:cs="宋体"/>
                <w:bCs/>
                <w:sz w:val="20"/>
              </w:rPr>
            </w:pPr>
            <w:r>
              <w:rPr>
                <w:rFonts w:hAnsi="宋体" w:cs="宋体"/>
                <w:bCs/>
                <w:sz w:val="20"/>
              </w:rPr>
              <w:t>室外吸烟区布置在建筑主出入口的主导风的下风向，与所有建筑出入口、新风进气口和可开启窗扇的距离不少于8m，且距离儿童和老人活动场地不少于8m。</w:t>
            </w:r>
          </w:p>
        </w:tc>
        <w:tc>
          <w:tcPr>
            <w:tcW w:w="391" w:type="pct"/>
            <w:shd w:val="clear" w:color="000000" w:fill="FFFFFF"/>
            <w:vAlign w:val="center"/>
          </w:tcPr>
          <w:p>
            <w:pPr>
              <w:widowControl/>
              <w:jc w:val="center"/>
              <w:rPr>
                <w:rFonts w:hAnsi="宋体" w:cs="宋体"/>
                <w:b/>
                <w:bCs/>
                <w:sz w:val="20"/>
              </w:rPr>
            </w:pPr>
            <w:r>
              <w:rPr>
                <w:rFonts w:hAnsi="宋体" w:cs="宋体"/>
                <w:b/>
                <w:bCs/>
                <w:sz w:val="20"/>
              </w:rPr>
              <w:t>5</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9</w:t>
            </w: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室外吸烟区与绿植结合布置，并合理配置座椅和带烟头收集的垃圾筒，从建筑主出入口至室外吸烟区的导向标识完整、定位标识醒目，吸烟区设置吸烟有害健康的警示标识。</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8.2.5</w:t>
            </w:r>
          </w:p>
        </w:tc>
        <w:tc>
          <w:tcPr>
            <w:tcW w:w="512" w:type="pct"/>
            <w:vMerge w:val="restart"/>
            <w:shd w:val="clear" w:color="auto" w:fill="auto"/>
            <w:vAlign w:val="center"/>
          </w:tcPr>
          <w:p>
            <w:pPr>
              <w:widowControl/>
              <w:rPr>
                <w:rFonts w:hAnsi="宋体" w:cs="宋体"/>
                <w:bCs/>
                <w:sz w:val="20"/>
              </w:rPr>
            </w:pPr>
            <w:r>
              <w:rPr>
                <w:rFonts w:hAnsi="宋体" w:cs="宋体"/>
                <w:bCs/>
                <w:sz w:val="20"/>
              </w:rPr>
              <w:t>雨水基础设施</w:t>
            </w:r>
          </w:p>
        </w:tc>
        <w:tc>
          <w:tcPr>
            <w:tcW w:w="2134" w:type="pct"/>
            <w:gridSpan w:val="8"/>
            <w:shd w:val="clear" w:color="auto" w:fill="auto"/>
            <w:vAlign w:val="center"/>
          </w:tcPr>
          <w:p>
            <w:pPr>
              <w:rPr>
                <w:rFonts w:hAnsi="宋体" w:cs="宋体"/>
                <w:sz w:val="20"/>
              </w:rPr>
            </w:pPr>
            <w:r>
              <w:rPr>
                <w:rFonts w:hAnsi="宋体" w:cs="宋体"/>
                <w:sz w:val="20"/>
              </w:rPr>
              <w:t>下凹式绿地、雨水花园等有调蓄雨水功能的绿地和水体的面积之和占绿地面积的比例达到40%，得3分；达到60%，得5分。</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15</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衔接和引导不少于80%的屋面雨水进入地面生态设施。</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衔接和引导不少于80%的道路雨水进入地面生态设施。</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硬质铺装地面中透水铺装面积的比例达到50%。</w:t>
            </w:r>
          </w:p>
        </w:tc>
        <w:tc>
          <w:tcPr>
            <w:tcW w:w="391" w:type="pct"/>
            <w:vAlign w:val="center"/>
          </w:tcPr>
          <w:p>
            <w:pPr>
              <w:widowControl/>
              <w:jc w:val="center"/>
              <w:rPr>
                <w:rFonts w:hAnsi="宋体" w:cs="宋体"/>
                <w:b/>
                <w:bCs/>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8.2.6</w:t>
            </w:r>
          </w:p>
        </w:tc>
        <w:tc>
          <w:tcPr>
            <w:tcW w:w="2646" w:type="pct"/>
            <w:gridSpan w:val="9"/>
            <w:shd w:val="clear" w:color="auto" w:fill="auto"/>
            <w:vAlign w:val="center"/>
          </w:tcPr>
          <w:p>
            <w:pPr>
              <w:widowControl/>
              <w:rPr>
                <w:rFonts w:hAnsi="宋体" w:cs="宋体"/>
                <w:sz w:val="20"/>
              </w:rPr>
            </w:pPr>
            <w:r>
              <w:rPr>
                <w:rFonts w:hAnsi="宋体" w:cs="宋体"/>
                <w:sz w:val="20"/>
              </w:rPr>
              <w:t>场地内的环境噪声优于现行国家标准《声环境质量标准》GB 3096的要求。</w:t>
            </w:r>
          </w:p>
          <w:p>
            <w:pPr>
              <w:widowControl/>
              <w:rPr>
                <w:rFonts w:hAnsi="宋体" w:cs="宋体"/>
                <w:sz w:val="20"/>
              </w:rPr>
            </w:pPr>
            <w:r>
              <w:rPr>
                <w:rFonts w:hAnsi="宋体" w:cs="宋体"/>
                <w:sz w:val="20"/>
              </w:rPr>
              <w:t>2类声环境功能区标准限值＜环境噪声值≤3类声环境功能区标准限值，得5分；</w:t>
            </w:r>
          </w:p>
          <w:p>
            <w:pPr>
              <w:widowControl/>
              <w:rPr>
                <w:rFonts w:hAnsi="宋体" w:cs="宋体"/>
                <w:bCs/>
                <w:sz w:val="20"/>
              </w:rPr>
            </w:pPr>
            <w:r>
              <w:rPr>
                <w:rFonts w:hAnsi="宋体" w:cs="宋体"/>
                <w:sz w:val="20"/>
              </w:rPr>
              <w:t>环境噪声值≤2类声环境功能区标准限值，得10分。</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shd w:val="clear" w:color="000000" w:fill="FFFFFF"/>
            <w:vAlign w:val="center"/>
          </w:tcPr>
          <w:p>
            <w:pPr>
              <w:widowControl/>
              <w:rPr>
                <w:rFonts w:hAnsi="宋体" w:cs="宋体"/>
                <w:sz w:val="20"/>
              </w:rPr>
            </w:pPr>
          </w:p>
        </w:tc>
        <w:tc>
          <w:tcPr>
            <w:tcW w:w="492" w:type="pct"/>
            <w:vMerge w:val="restart"/>
            <w:shd w:val="clear" w:color="000000" w:fill="FFFFFF"/>
            <w:noWrap/>
            <w:vAlign w:val="center"/>
          </w:tcPr>
          <w:p>
            <w:pPr>
              <w:widowControl/>
              <w:rPr>
                <w:rFonts w:hAnsi="宋体" w:cs="宋体"/>
                <w:sz w:val="20"/>
              </w:rPr>
            </w:pPr>
            <w:r>
              <w:rPr>
                <w:rFonts w:hAnsi="宋体" w:cs="宋体"/>
                <w:sz w:val="20"/>
              </w:rPr>
              <w:t>8.2.7</w:t>
            </w:r>
          </w:p>
        </w:tc>
        <w:tc>
          <w:tcPr>
            <w:tcW w:w="512" w:type="pct"/>
            <w:vMerge w:val="restart"/>
            <w:shd w:val="clear" w:color="000000" w:fill="FFFFFF"/>
            <w:vAlign w:val="center"/>
          </w:tcPr>
          <w:p>
            <w:pPr>
              <w:widowControl/>
              <w:rPr>
                <w:rFonts w:hAnsi="宋体" w:cs="宋体"/>
                <w:bCs/>
                <w:sz w:val="20"/>
              </w:rPr>
            </w:pPr>
            <w:r>
              <w:rPr>
                <w:rFonts w:hAnsi="宋体" w:cs="宋体"/>
                <w:bCs/>
                <w:sz w:val="20"/>
              </w:rPr>
              <w:t>光污染</w:t>
            </w:r>
          </w:p>
        </w:tc>
        <w:tc>
          <w:tcPr>
            <w:tcW w:w="2134" w:type="pct"/>
            <w:gridSpan w:val="8"/>
            <w:shd w:val="clear" w:color="000000" w:fill="FFFFFF"/>
            <w:vAlign w:val="center"/>
          </w:tcPr>
          <w:p>
            <w:pPr>
              <w:rPr>
                <w:rFonts w:hAnsi="宋体" w:cs="宋体"/>
                <w:sz w:val="20"/>
              </w:rPr>
            </w:pPr>
            <w:r>
              <w:rPr>
                <w:rFonts w:hAnsi="宋体" w:cs="宋体"/>
                <w:sz w:val="20"/>
              </w:rPr>
              <w:t>玻璃幕墙的可见光反射比及反射光对周边环境的影响符合《玻璃幕墙光热性能》GB/T 18091的规定。</w:t>
            </w:r>
          </w:p>
        </w:tc>
        <w:tc>
          <w:tcPr>
            <w:tcW w:w="391" w:type="pct"/>
            <w:shd w:val="clear" w:color="000000" w:fill="FFFFFF"/>
            <w:vAlign w:val="center"/>
          </w:tcPr>
          <w:p>
            <w:pPr>
              <w:widowControl/>
              <w:jc w:val="center"/>
              <w:rPr>
                <w:rFonts w:hAnsi="宋体" w:cs="宋体"/>
                <w:b/>
                <w:bCs/>
                <w:sz w:val="20"/>
              </w:rPr>
            </w:pPr>
            <w:r>
              <w:rPr>
                <w:rFonts w:hAnsi="宋体" w:cs="宋体"/>
                <w:b/>
                <w:bCs/>
                <w:sz w:val="20"/>
              </w:rPr>
              <w:t>5</w:t>
            </w:r>
          </w:p>
        </w:tc>
        <w:tc>
          <w:tcPr>
            <w:tcW w:w="375" w:type="pct"/>
            <w:vMerge w:val="restart"/>
            <w:shd w:val="clear" w:color="000000" w:fill="FFFFFF"/>
            <w:vAlign w:val="center"/>
          </w:tcPr>
          <w:p>
            <w:pPr>
              <w:widowControl/>
              <w:jc w:val="center"/>
              <w:rPr>
                <w:rFonts w:hAnsi="宋体" w:cs="宋体"/>
                <w:b/>
                <w:bCs/>
                <w:sz w:val="20"/>
              </w:rPr>
            </w:pPr>
            <w:r>
              <w:rPr>
                <w:rFonts w:hAnsi="宋体" w:cs="宋体"/>
                <w:b/>
                <w:bCs/>
                <w:sz w:val="20"/>
              </w:rPr>
              <w:t>10</w:t>
            </w: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室外夜景照明光污染的限制符合现行国家标准《室外照明干扰光限制规范》GB/T 35626和现行行业标准《城市夜景照明设计规范》JGJ 163的规定</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Merge w:val="continue"/>
            <w:vAlign w:val="center"/>
          </w:tcPr>
          <w:p>
            <w:pPr>
              <w:widowControl/>
              <w:jc w:val="center"/>
              <w:rPr>
                <w:rFonts w:hAnsi="宋体" w:cs="宋体"/>
                <w:b/>
                <w:bCs/>
                <w:sz w:val="20"/>
              </w:rPr>
            </w:pPr>
          </w:p>
        </w:tc>
        <w:tc>
          <w:tcPr>
            <w:tcW w:w="455" w:type="pct"/>
            <w:shd w:val="clear" w:color="000000" w:fill="FFFFFF"/>
            <w:vAlign w:val="center"/>
          </w:tcPr>
          <w:p>
            <w:pPr>
              <w:widowControl/>
              <w:rPr>
                <w:rFonts w:hAnsi="宋体" w:cs="宋体"/>
                <w:b/>
                <w:bCs/>
                <w:sz w:val="20"/>
              </w:rPr>
            </w:pPr>
          </w:p>
        </w:tc>
        <w:tc>
          <w:tcPr>
            <w:tcW w:w="386" w:type="pct"/>
            <w:shd w:val="clear" w:color="000000" w:fill="FFFFFF"/>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8.2.8</w:t>
            </w:r>
          </w:p>
        </w:tc>
        <w:tc>
          <w:tcPr>
            <w:tcW w:w="512" w:type="pct"/>
            <w:vMerge w:val="restart"/>
            <w:shd w:val="clear" w:color="auto" w:fill="auto"/>
            <w:vAlign w:val="center"/>
          </w:tcPr>
          <w:p>
            <w:pPr>
              <w:widowControl/>
              <w:rPr>
                <w:rFonts w:hAnsi="宋体" w:cs="宋体"/>
                <w:bCs/>
                <w:sz w:val="20"/>
              </w:rPr>
            </w:pPr>
            <w:r>
              <w:rPr>
                <w:rFonts w:hAnsi="宋体" w:cs="宋体"/>
                <w:bCs/>
                <w:sz w:val="20"/>
              </w:rPr>
              <w:t>场地风环境</w:t>
            </w:r>
          </w:p>
        </w:tc>
        <w:tc>
          <w:tcPr>
            <w:tcW w:w="2134" w:type="pct"/>
            <w:gridSpan w:val="8"/>
            <w:shd w:val="clear" w:color="auto" w:fill="auto"/>
            <w:vAlign w:val="center"/>
          </w:tcPr>
          <w:p>
            <w:pPr>
              <w:rPr>
                <w:rFonts w:hAnsi="宋体" w:cs="宋体"/>
                <w:sz w:val="20"/>
              </w:rPr>
            </w:pPr>
            <w:r>
              <w:rPr>
                <w:rFonts w:hAnsi="宋体" w:cs="宋体"/>
                <w:sz w:val="20"/>
              </w:rPr>
              <w:t>冬季典型风速和风向条件下，建筑物周围人行区距地高1.5m处风速小于5m/s，户外休息区、儿童娱乐区风速小于2m/s，且室外风速放大系数小于2。</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rPr>
                <w:rFonts w:hAnsi="宋体" w:cs="宋体"/>
                <w:bCs/>
                <w:sz w:val="20"/>
              </w:rPr>
            </w:pPr>
          </w:p>
        </w:tc>
        <w:tc>
          <w:tcPr>
            <w:tcW w:w="2134" w:type="pct"/>
            <w:gridSpan w:val="8"/>
            <w:vAlign w:val="center"/>
          </w:tcPr>
          <w:p>
            <w:pPr>
              <w:rPr>
                <w:rFonts w:hAnsi="宋体" w:cs="宋体"/>
                <w:sz w:val="20"/>
              </w:rPr>
            </w:pPr>
            <w:r>
              <w:rPr>
                <w:rFonts w:hAnsi="宋体" w:cs="宋体"/>
                <w:sz w:val="20"/>
              </w:rPr>
              <w:t>冬季典型风速和风向条件下，除迎风第一排建筑外，建筑迎风面与背风面表面风压差不大于5Pa；只有一排建筑，可直接得分</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过渡季、夏季典型风速和风向条件下，场地内人活动区不出现涡旋或无风区。</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过渡季、夏季典型风速和风向条件下，50%以上可开启外窗室内外表面的风压差大于0.5Pa。</w:t>
            </w:r>
          </w:p>
        </w:tc>
        <w:tc>
          <w:tcPr>
            <w:tcW w:w="391" w:type="pct"/>
            <w:vAlign w:val="center"/>
          </w:tcPr>
          <w:p>
            <w:pPr>
              <w:widowControl/>
              <w:jc w:val="center"/>
              <w:rPr>
                <w:rFonts w:hAnsi="宋体" w:cs="宋体"/>
                <w:b/>
                <w:bCs/>
                <w:sz w:val="20"/>
              </w:rPr>
            </w:pPr>
            <w:r>
              <w:rPr>
                <w:rFonts w:hAnsi="宋体" w:cs="宋体"/>
                <w:b/>
                <w:bCs/>
                <w:sz w:val="20"/>
              </w:rPr>
              <w:t>2</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8.2.9</w:t>
            </w:r>
          </w:p>
        </w:tc>
        <w:tc>
          <w:tcPr>
            <w:tcW w:w="512" w:type="pct"/>
            <w:vMerge w:val="restart"/>
            <w:shd w:val="clear" w:color="auto" w:fill="auto"/>
            <w:vAlign w:val="center"/>
          </w:tcPr>
          <w:p>
            <w:pPr>
              <w:widowControl/>
              <w:rPr>
                <w:rFonts w:hAnsi="宋体" w:cs="宋体"/>
                <w:bCs/>
                <w:sz w:val="20"/>
              </w:rPr>
            </w:pPr>
            <w:r>
              <w:rPr>
                <w:rFonts w:hAnsi="宋体" w:cs="宋体"/>
                <w:bCs/>
                <w:sz w:val="20"/>
              </w:rPr>
              <w:t>热岛强度</w:t>
            </w:r>
          </w:p>
        </w:tc>
        <w:tc>
          <w:tcPr>
            <w:tcW w:w="2134" w:type="pct"/>
            <w:gridSpan w:val="8"/>
            <w:shd w:val="clear" w:color="auto" w:fill="auto"/>
            <w:vAlign w:val="center"/>
          </w:tcPr>
          <w:p>
            <w:pPr>
              <w:rPr>
                <w:rFonts w:hAnsi="宋体" w:cs="宋体"/>
                <w:sz w:val="20"/>
              </w:rPr>
            </w:pPr>
            <w:r>
              <w:rPr>
                <w:rFonts w:hAnsi="宋体" w:cs="宋体"/>
                <w:sz w:val="20"/>
              </w:rPr>
              <w:t>场地中处于建筑阴影区外的步道、游憩场、庭院、广场等室外活动场地设有乔木、花架等遮阴措施的面积比例：</w:t>
            </w:r>
          </w:p>
          <w:p>
            <w:pPr>
              <w:rPr>
                <w:rFonts w:hAnsi="宋体" w:cs="宋体"/>
                <w:sz w:val="20"/>
              </w:rPr>
            </w:pPr>
            <w:r>
              <w:rPr>
                <w:rFonts w:hAnsi="宋体" w:cs="宋体"/>
                <w:sz w:val="20"/>
              </w:rPr>
              <w:t>□住宅建筑达30%，□公共建筑达10%，得2分；</w:t>
            </w:r>
          </w:p>
          <w:p>
            <w:pPr>
              <w:rPr>
                <w:rFonts w:hAnsi="宋体" w:cs="宋体"/>
                <w:sz w:val="20"/>
              </w:rPr>
            </w:pPr>
            <w:r>
              <w:rPr>
                <w:rFonts w:hAnsi="宋体" w:cs="宋体"/>
                <w:sz w:val="20"/>
              </w:rPr>
              <w:t>□住宅建筑达50%，□公共建筑达20%，得3分；</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场地中处于建筑阴影区外的机动车道，路面太阳辐射反射系数不小于0.4，或设有遮荫面积较大的行道树的路段长度超过70%。</w:t>
            </w:r>
          </w:p>
        </w:tc>
        <w:tc>
          <w:tcPr>
            <w:tcW w:w="391" w:type="pct"/>
            <w:vAlign w:val="center"/>
          </w:tcPr>
          <w:p>
            <w:pPr>
              <w:widowControl/>
              <w:jc w:val="center"/>
              <w:rPr>
                <w:rFonts w:hAnsi="宋体" w:cs="宋体"/>
                <w:b/>
                <w:bCs/>
                <w:sz w:val="20"/>
              </w:rPr>
            </w:pPr>
            <w:r>
              <w:rPr>
                <w:rFonts w:hAnsi="宋体" w:cs="宋体"/>
                <w:b/>
                <w:bCs/>
                <w:sz w:val="20"/>
              </w:rPr>
              <w:t>3</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rPr>
            </w:pPr>
            <w:r>
              <w:rPr>
                <w:rFonts w:hAnsi="宋体" w:cs="宋体"/>
                <w:sz w:val="20"/>
              </w:rPr>
              <w:t>屋顶的绿化面积、太阳能板水平投影面积以及太阳辐射反射系数不小于0.4的屋面面积合计达到75%。</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restart"/>
            <w:vAlign w:val="center"/>
          </w:tcPr>
          <w:p>
            <w:pPr>
              <w:widowControl/>
              <w:rPr>
                <w:rFonts w:hAnsi="宋体" w:cs="宋体"/>
                <w:b/>
                <w:bCs/>
                <w:sz w:val="20"/>
              </w:rPr>
            </w:pPr>
            <w:r>
              <w:rPr>
                <w:rFonts w:hAnsi="宋体" w:cs="宋体"/>
                <w:b/>
                <w:bCs/>
                <w:sz w:val="20"/>
              </w:rPr>
              <w:t>提高与创新</w:t>
            </w:r>
          </w:p>
        </w:tc>
        <w:tc>
          <w:tcPr>
            <w:tcW w:w="492" w:type="pct"/>
            <w:shd w:val="clear" w:color="auto" w:fill="auto"/>
            <w:noWrap/>
            <w:vAlign w:val="center"/>
          </w:tcPr>
          <w:p>
            <w:pPr>
              <w:widowControl/>
              <w:rPr>
                <w:rFonts w:hAnsi="宋体" w:cs="宋体"/>
                <w:sz w:val="20"/>
              </w:rPr>
            </w:pPr>
            <w:r>
              <w:rPr>
                <w:rFonts w:hAnsi="宋体" w:cs="宋体"/>
                <w:sz w:val="20"/>
              </w:rPr>
              <w:t>9.2.1</w:t>
            </w:r>
          </w:p>
        </w:tc>
        <w:tc>
          <w:tcPr>
            <w:tcW w:w="2646" w:type="pct"/>
            <w:gridSpan w:val="9"/>
            <w:shd w:val="clear" w:color="auto" w:fill="auto"/>
            <w:vAlign w:val="center"/>
          </w:tcPr>
          <w:p>
            <w:pPr>
              <w:widowControl/>
              <w:rPr>
                <w:rFonts w:hAnsi="宋体" w:cs="宋体"/>
                <w:bCs/>
                <w:sz w:val="20"/>
              </w:rPr>
            </w:pPr>
            <w:r>
              <w:rPr>
                <w:rFonts w:hAnsi="宋体" w:cs="宋体"/>
                <w:bCs/>
                <w:sz w:val="20"/>
              </w:rPr>
              <w:t>降低建筑供暖空调系统的能耗：</w:t>
            </w:r>
          </w:p>
          <w:p>
            <w:pPr>
              <w:widowControl/>
              <w:rPr>
                <w:rFonts w:hAnsi="宋体" w:cs="宋体"/>
                <w:bCs/>
                <w:sz w:val="20"/>
              </w:rPr>
            </w:pPr>
            <w:r>
              <w:rPr>
                <w:rFonts w:hAnsi="宋体" w:cs="宋体"/>
                <w:bCs/>
                <w:sz w:val="20"/>
              </w:rPr>
              <w:t>建筑供暖空调系统能耗比国家现行有关建筑节能标准降低40%，得10分；</w:t>
            </w:r>
          </w:p>
          <w:p>
            <w:pPr>
              <w:widowControl/>
              <w:rPr>
                <w:rFonts w:hAnsi="宋体" w:cs="宋体"/>
                <w:bCs/>
                <w:sz w:val="20"/>
              </w:rPr>
            </w:pPr>
            <w:r>
              <w:rPr>
                <w:rFonts w:hAnsi="宋体" w:cs="宋体"/>
                <w:bCs/>
                <w:sz w:val="20"/>
              </w:rPr>
              <w:t>建筑供暖空调系统能耗比国家现行有关建筑节能标准降低50%，得15分；</w:t>
            </w:r>
          </w:p>
          <w:p>
            <w:pPr>
              <w:widowControl/>
              <w:rPr>
                <w:rFonts w:hAnsi="宋体" w:cs="宋体"/>
                <w:bCs/>
                <w:sz w:val="20"/>
              </w:rPr>
            </w:pPr>
            <w:r>
              <w:rPr>
                <w:rFonts w:hAnsi="宋体" w:cs="宋体"/>
                <w:bCs/>
                <w:sz w:val="20"/>
              </w:rPr>
              <w:t>建筑供暖空调系统能耗比国家现行有关建筑节能标准降低60%，得20分；</w:t>
            </w:r>
          </w:p>
          <w:p>
            <w:pPr>
              <w:widowControl/>
              <w:rPr>
                <w:rFonts w:hAnsi="宋体" w:cs="宋体"/>
                <w:bCs/>
                <w:sz w:val="20"/>
              </w:rPr>
            </w:pPr>
            <w:r>
              <w:rPr>
                <w:rFonts w:hAnsi="宋体" w:cs="宋体"/>
                <w:bCs/>
                <w:sz w:val="20"/>
              </w:rPr>
              <w:t>建筑供暖空调系统能耗比国家现行有关建筑节能标准降低70%，得25分；</w:t>
            </w:r>
          </w:p>
          <w:p>
            <w:pPr>
              <w:widowControl/>
              <w:rPr>
                <w:rFonts w:hAnsi="宋体" w:cs="宋体"/>
                <w:bCs/>
                <w:sz w:val="20"/>
              </w:rPr>
            </w:pPr>
            <w:r>
              <w:rPr>
                <w:rFonts w:hAnsi="宋体" w:cs="宋体"/>
                <w:bCs/>
                <w:sz w:val="20"/>
              </w:rPr>
              <w:t>建筑供暖空调系统能耗比国家现行有关建筑节能标准降低80%，得30分。</w:t>
            </w:r>
          </w:p>
        </w:tc>
        <w:tc>
          <w:tcPr>
            <w:tcW w:w="391" w:type="pct"/>
            <w:vAlign w:val="center"/>
          </w:tcPr>
          <w:p>
            <w:pPr>
              <w:widowControl/>
              <w:jc w:val="center"/>
              <w:rPr>
                <w:rFonts w:hAnsi="宋体" w:cs="宋体"/>
                <w:b/>
                <w:bCs/>
                <w:sz w:val="20"/>
              </w:rPr>
            </w:pPr>
            <w:r>
              <w:rPr>
                <w:rFonts w:hAnsi="宋体" w:cs="宋体"/>
                <w:b/>
                <w:bCs/>
                <w:sz w:val="20"/>
              </w:rPr>
              <w:t>30</w:t>
            </w:r>
          </w:p>
        </w:tc>
        <w:tc>
          <w:tcPr>
            <w:tcW w:w="375" w:type="pct"/>
            <w:vAlign w:val="center"/>
          </w:tcPr>
          <w:p>
            <w:pPr>
              <w:widowControl/>
              <w:jc w:val="center"/>
              <w:rPr>
                <w:rFonts w:hAnsi="宋体" w:cs="宋体"/>
                <w:b/>
                <w:bCs/>
                <w:sz w:val="20"/>
              </w:rPr>
            </w:pPr>
            <w:r>
              <w:rPr>
                <w:rFonts w:hAnsi="宋体" w:cs="宋体"/>
                <w:b/>
                <w:bCs/>
                <w:sz w:val="20"/>
              </w:rPr>
              <w:t>30</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9.2.2</w:t>
            </w:r>
          </w:p>
        </w:tc>
        <w:tc>
          <w:tcPr>
            <w:tcW w:w="2646" w:type="pct"/>
            <w:gridSpan w:val="9"/>
            <w:shd w:val="clear" w:color="auto" w:fill="auto"/>
            <w:vAlign w:val="center"/>
          </w:tcPr>
          <w:p>
            <w:pPr>
              <w:widowControl/>
              <w:rPr>
                <w:rFonts w:hAnsi="宋体" w:cs="宋体"/>
                <w:bCs/>
                <w:sz w:val="20"/>
              </w:rPr>
            </w:pPr>
            <w:r>
              <w:rPr>
                <w:rFonts w:hAnsi="宋体" w:cs="宋体"/>
                <w:bCs/>
                <w:sz w:val="20"/>
              </w:rPr>
              <w:t>采用适宜地区特色的建筑风貌设计，因地制宜传承地域建筑文化。</w:t>
            </w:r>
          </w:p>
        </w:tc>
        <w:tc>
          <w:tcPr>
            <w:tcW w:w="391" w:type="pct"/>
            <w:vAlign w:val="center"/>
          </w:tcPr>
          <w:p>
            <w:pPr>
              <w:widowControl/>
              <w:jc w:val="center"/>
              <w:rPr>
                <w:rFonts w:hAnsi="宋体" w:cs="宋体"/>
                <w:b/>
                <w:bCs/>
                <w:sz w:val="20"/>
              </w:rPr>
            </w:pPr>
            <w:r>
              <w:rPr>
                <w:rFonts w:hAnsi="宋体" w:cs="宋体"/>
                <w:b/>
                <w:bCs/>
                <w:sz w:val="20"/>
              </w:rPr>
              <w:t>20</w:t>
            </w:r>
          </w:p>
        </w:tc>
        <w:tc>
          <w:tcPr>
            <w:tcW w:w="375" w:type="pct"/>
            <w:vAlign w:val="center"/>
          </w:tcPr>
          <w:p>
            <w:pPr>
              <w:widowControl/>
              <w:jc w:val="center"/>
              <w:rPr>
                <w:rFonts w:hAnsi="宋体" w:cs="宋体"/>
                <w:b/>
                <w:bCs/>
                <w:sz w:val="20"/>
              </w:rPr>
            </w:pPr>
            <w:r>
              <w:rPr>
                <w:rFonts w:hAnsi="宋体" w:cs="宋体"/>
                <w:b/>
                <w:bCs/>
                <w:sz w:val="20"/>
              </w:rPr>
              <w:t>20</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9.2.3</w:t>
            </w:r>
          </w:p>
        </w:tc>
        <w:tc>
          <w:tcPr>
            <w:tcW w:w="2646" w:type="pct"/>
            <w:gridSpan w:val="9"/>
            <w:shd w:val="clear" w:color="auto" w:fill="auto"/>
            <w:vAlign w:val="center"/>
          </w:tcPr>
          <w:p>
            <w:pPr>
              <w:widowControl/>
              <w:rPr>
                <w:rFonts w:hAnsi="宋体" w:cs="宋体"/>
                <w:bCs/>
                <w:sz w:val="20"/>
              </w:rPr>
            </w:pPr>
            <w:r>
              <w:rPr>
                <w:rFonts w:hAnsi="宋体" w:cs="宋体"/>
                <w:bCs/>
                <w:sz w:val="20"/>
              </w:rPr>
              <w:t>合理选用废弃场地进行建设，或充分利尚可使用的旧建筑。</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Align w:val="center"/>
          </w:tcPr>
          <w:p>
            <w:pPr>
              <w:widowControl/>
              <w:jc w:val="center"/>
              <w:rPr>
                <w:rFonts w:hAnsi="宋体" w:cs="宋体"/>
                <w:b/>
                <w:bCs/>
                <w:sz w:val="20"/>
              </w:rPr>
            </w:pPr>
            <w:r>
              <w:rPr>
                <w:rFonts w:hAnsi="宋体" w:cs="宋体"/>
                <w:b/>
                <w:bCs/>
                <w:sz w:val="20"/>
              </w:rPr>
              <w:t>8</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9.2.4</w:t>
            </w:r>
          </w:p>
        </w:tc>
        <w:tc>
          <w:tcPr>
            <w:tcW w:w="2646" w:type="pct"/>
            <w:gridSpan w:val="9"/>
            <w:shd w:val="clear" w:color="auto" w:fill="auto"/>
            <w:vAlign w:val="center"/>
          </w:tcPr>
          <w:p>
            <w:pPr>
              <w:widowControl/>
              <w:rPr>
                <w:rFonts w:hAnsi="宋体" w:cs="宋体"/>
                <w:bCs/>
                <w:sz w:val="20"/>
              </w:rPr>
            </w:pPr>
            <w:r>
              <w:rPr>
                <w:rFonts w:hAnsi="宋体" w:cs="宋体"/>
                <w:bCs/>
                <w:sz w:val="20"/>
              </w:rPr>
              <w:t>场地绿容率计算值不低于3.0，得3分；</w:t>
            </w:r>
          </w:p>
          <w:p>
            <w:pPr>
              <w:widowControl/>
              <w:rPr>
                <w:rFonts w:hAnsi="宋体" w:cs="宋体"/>
                <w:bCs/>
                <w:sz w:val="20"/>
              </w:rPr>
            </w:pPr>
            <w:r>
              <w:rPr>
                <w:rFonts w:hAnsi="宋体" w:cs="宋体"/>
                <w:bCs/>
                <w:sz w:val="20"/>
              </w:rPr>
              <w:t>场地绿容率实测值不低于3.0，得5分。</w:t>
            </w:r>
          </w:p>
        </w:tc>
        <w:tc>
          <w:tcPr>
            <w:tcW w:w="391" w:type="pct"/>
            <w:vAlign w:val="center"/>
          </w:tcPr>
          <w:p>
            <w:pPr>
              <w:widowControl/>
              <w:jc w:val="center"/>
              <w:rPr>
                <w:rFonts w:hAnsi="宋体" w:cs="宋体"/>
                <w:b/>
                <w:bCs/>
                <w:sz w:val="20"/>
              </w:rPr>
            </w:pPr>
            <w:r>
              <w:rPr>
                <w:rFonts w:hAnsi="宋体" w:cs="宋体"/>
                <w:b/>
                <w:bCs/>
                <w:sz w:val="20"/>
              </w:rPr>
              <w:t>5</w:t>
            </w:r>
          </w:p>
        </w:tc>
        <w:tc>
          <w:tcPr>
            <w:tcW w:w="375" w:type="pct"/>
            <w:vAlign w:val="center"/>
          </w:tcPr>
          <w:p>
            <w:pPr>
              <w:widowControl/>
              <w:jc w:val="center"/>
              <w:rPr>
                <w:rFonts w:hAnsi="宋体" w:cs="宋体"/>
                <w:b/>
                <w:bCs/>
                <w:sz w:val="20"/>
              </w:rPr>
            </w:pPr>
            <w:r>
              <w:rPr>
                <w:rFonts w:hAnsi="宋体" w:cs="宋体"/>
                <w:b/>
                <w:bCs/>
                <w:sz w:val="20"/>
              </w:rPr>
              <w:t>5</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9.2.5</w:t>
            </w:r>
          </w:p>
        </w:tc>
        <w:tc>
          <w:tcPr>
            <w:tcW w:w="512" w:type="pct"/>
            <w:vMerge w:val="restart"/>
            <w:shd w:val="clear" w:color="auto" w:fill="auto"/>
            <w:vAlign w:val="center"/>
          </w:tcPr>
          <w:p>
            <w:pPr>
              <w:widowControl/>
              <w:rPr>
                <w:rFonts w:hAnsi="宋体" w:cs="宋体"/>
                <w:bCs/>
                <w:sz w:val="20"/>
              </w:rPr>
            </w:pPr>
            <w:r>
              <w:rPr>
                <w:rFonts w:hAnsi="宋体" w:cs="宋体"/>
                <w:bCs/>
                <w:sz w:val="20"/>
              </w:rPr>
              <w:t>特殊结构体系</w:t>
            </w:r>
          </w:p>
        </w:tc>
        <w:tc>
          <w:tcPr>
            <w:tcW w:w="2134" w:type="pct"/>
            <w:gridSpan w:val="8"/>
            <w:shd w:val="clear" w:color="auto" w:fill="auto"/>
            <w:vAlign w:val="center"/>
          </w:tcPr>
          <w:p>
            <w:pPr>
              <w:widowControl/>
              <w:rPr>
                <w:rFonts w:hAnsi="宋体" w:cs="宋体"/>
                <w:bCs/>
                <w:sz w:val="20"/>
              </w:rPr>
            </w:pPr>
            <w:r>
              <w:rPr>
                <w:rFonts w:hAnsi="宋体" w:cs="宋体"/>
                <w:bCs/>
                <w:sz w:val="20"/>
              </w:rPr>
              <w:t>主体结构采用钢结构、木结构。</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10</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widowControl/>
              <w:rPr>
                <w:rFonts w:hAnsi="宋体" w:cs="宋体"/>
                <w:bCs/>
                <w:sz w:val="20"/>
              </w:rPr>
            </w:pPr>
            <w:r>
              <w:rPr>
                <w:rFonts w:hAnsi="宋体" w:cs="宋体"/>
                <w:bCs/>
                <w:sz w:val="20"/>
              </w:rPr>
              <w:t>主体结构采用装配式混凝土结构，地上部分预制构件应用混凝土体积占混凝土总体积的比例达到35%，得5分；</w:t>
            </w:r>
          </w:p>
          <w:p>
            <w:pPr>
              <w:widowControl/>
              <w:rPr>
                <w:rFonts w:hAnsi="宋体" w:cs="宋体"/>
                <w:bCs/>
                <w:sz w:val="20"/>
              </w:rPr>
            </w:pPr>
            <w:r>
              <w:rPr>
                <w:rFonts w:hAnsi="宋体" w:cs="宋体"/>
                <w:bCs/>
                <w:sz w:val="20"/>
              </w:rPr>
              <w:t>主体结构采用装配式混凝土结构，地上部分预制构件应用混凝土体积占混凝土总体积的比例达到50%，得10分。</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9.2.6</w:t>
            </w:r>
          </w:p>
        </w:tc>
        <w:tc>
          <w:tcPr>
            <w:tcW w:w="2646" w:type="pct"/>
            <w:gridSpan w:val="9"/>
            <w:shd w:val="clear" w:color="auto" w:fill="auto"/>
            <w:vAlign w:val="center"/>
          </w:tcPr>
          <w:p>
            <w:pPr>
              <w:widowControl/>
              <w:rPr>
                <w:rFonts w:hAnsi="宋体" w:cs="宋体"/>
                <w:bCs/>
                <w:sz w:val="20"/>
              </w:rPr>
            </w:pPr>
            <w:r>
              <w:rPr>
                <w:rFonts w:hAnsi="宋体" w:cs="宋体"/>
                <w:bCs/>
                <w:sz w:val="20"/>
              </w:rPr>
              <w:t>BIM技术在建筑的规划设计、施工建造和运行维护阶段中应用情况与得分：在其中一个阶段应用，得5分；在其中两个阶段应用，得10分；在其中三个阶段应用，得15分。</w:t>
            </w:r>
          </w:p>
          <w:p>
            <w:pPr>
              <w:pStyle w:val="13"/>
              <w:ind w:firstLine="0" w:firstLineChars="0"/>
              <w:jc w:val="both"/>
              <w:rPr>
                <w:rFonts w:hAnsi="宋体" w:eastAsia="宋体"/>
                <w:lang w:eastAsia="zh-CN"/>
              </w:rPr>
            </w:pPr>
            <w:r>
              <w:rPr>
                <w:rFonts w:hAnsi="宋体" w:eastAsia="宋体" w:cs="宋体"/>
                <w:bCs/>
                <w:lang w:eastAsia="zh-CN"/>
              </w:rPr>
              <w:t>□规划设计阶段；□施工建造；□运行维护阶段；</w:t>
            </w:r>
          </w:p>
        </w:tc>
        <w:tc>
          <w:tcPr>
            <w:tcW w:w="391" w:type="pct"/>
            <w:vAlign w:val="center"/>
          </w:tcPr>
          <w:p>
            <w:pPr>
              <w:widowControl/>
              <w:jc w:val="center"/>
              <w:rPr>
                <w:rFonts w:hAnsi="宋体" w:cs="宋体"/>
                <w:b/>
                <w:bCs/>
                <w:sz w:val="20"/>
              </w:rPr>
            </w:pPr>
            <w:r>
              <w:rPr>
                <w:rFonts w:hAnsi="宋体" w:cs="宋体"/>
                <w:b/>
                <w:bCs/>
                <w:sz w:val="20"/>
              </w:rPr>
              <w:t>15</w:t>
            </w:r>
          </w:p>
        </w:tc>
        <w:tc>
          <w:tcPr>
            <w:tcW w:w="375" w:type="pct"/>
            <w:vAlign w:val="center"/>
          </w:tcPr>
          <w:p>
            <w:pPr>
              <w:widowControl/>
              <w:jc w:val="center"/>
              <w:rPr>
                <w:rFonts w:hAnsi="宋体" w:cs="宋体"/>
                <w:b/>
                <w:bCs/>
                <w:sz w:val="20"/>
              </w:rPr>
            </w:pPr>
            <w:r>
              <w:rPr>
                <w:rFonts w:hAnsi="宋体" w:cs="宋体"/>
                <w:b/>
                <w:bCs/>
                <w:sz w:val="20"/>
              </w:rPr>
              <w:t>15</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shd w:val="clear" w:color="auto" w:fill="auto"/>
            <w:noWrap/>
            <w:vAlign w:val="center"/>
          </w:tcPr>
          <w:p>
            <w:pPr>
              <w:widowControl/>
              <w:rPr>
                <w:rFonts w:hAnsi="宋体" w:cs="宋体"/>
                <w:sz w:val="20"/>
              </w:rPr>
            </w:pPr>
            <w:r>
              <w:rPr>
                <w:rFonts w:hAnsi="宋体" w:cs="宋体"/>
                <w:sz w:val="20"/>
              </w:rPr>
              <w:t>9.2.7</w:t>
            </w:r>
          </w:p>
        </w:tc>
        <w:tc>
          <w:tcPr>
            <w:tcW w:w="2646" w:type="pct"/>
            <w:gridSpan w:val="9"/>
            <w:shd w:val="clear" w:color="auto" w:fill="auto"/>
            <w:vAlign w:val="center"/>
          </w:tcPr>
          <w:p>
            <w:pPr>
              <w:widowControl/>
              <w:rPr>
                <w:rFonts w:hAnsi="宋体" w:cs="宋体"/>
                <w:bCs/>
                <w:sz w:val="20"/>
              </w:rPr>
            </w:pPr>
            <w:r>
              <w:rPr>
                <w:rFonts w:hAnsi="宋体" w:cs="宋体"/>
                <w:bCs/>
                <w:sz w:val="20"/>
              </w:rPr>
              <w:t>进行建筑碳排放计算分析，采取措施降低单位面积碳排放强度。</w:t>
            </w:r>
          </w:p>
        </w:tc>
        <w:tc>
          <w:tcPr>
            <w:tcW w:w="391" w:type="pct"/>
            <w:vAlign w:val="center"/>
          </w:tcPr>
          <w:p>
            <w:pPr>
              <w:widowControl/>
              <w:jc w:val="center"/>
              <w:rPr>
                <w:rFonts w:hAnsi="宋体" w:cs="宋体"/>
                <w:b/>
                <w:bCs/>
                <w:sz w:val="20"/>
              </w:rPr>
            </w:pPr>
            <w:r>
              <w:rPr>
                <w:rFonts w:hAnsi="宋体" w:cs="宋体"/>
                <w:b/>
                <w:bCs/>
                <w:sz w:val="20"/>
              </w:rPr>
              <w:t>12</w:t>
            </w:r>
          </w:p>
        </w:tc>
        <w:tc>
          <w:tcPr>
            <w:tcW w:w="375" w:type="pct"/>
            <w:vAlign w:val="center"/>
          </w:tcPr>
          <w:p>
            <w:pPr>
              <w:widowControl/>
              <w:jc w:val="center"/>
              <w:rPr>
                <w:rFonts w:hAnsi="宋体" w:cs="宋体"/>
                <w:b/>
                <w:bCs/>
                <w:sz w:val="20"/>
              </w:rPr>
            </w:pPr>
            <w:r>
              <w:rPr>
                <w:rFonts w:hAnsi="宋体" w:cs="宋体"/>
                <w:b/>
                <w:bCs/>
                <w:sz w:val="20"/>
              </w:rPr>
              <w:t>12</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9.2.8</w:t>
            </w:r>
          </w:p>
        </w:tc>
        <w:tc>
          <w:tcPr>
            <w:tcW w:w="512" w:type="pct"/>
            <w:vMerge w:val="restart"/>
            <w:shd w:val="clear" w:color="auto" w:fill="auto"/>
            <w:vAlign w:val="center"/>
          </w:tcPr>
          <w:p>
            <w:pPr>
              <w:widowControl/>
              <w:rPr>
                <w:rFonts w:hAnsi="宋体" w:cs="宋体"/>
                <w:bCs/>
                <w:sz w:val="20"/>
              </w:rPr>
            </w:pPr>
            <w:r>
              <w:rPr>
                <w:rFonts w:hAnsi="宋体" w:cs="宋体"/>
                <w:bCs/>
                <w:sz w:val="20"/>
              </w:rPr>
              <w:t>绿色施工和管理</w:t>
            </w:r>
          </w:p>
        </w:tc>
        <w:tc>
          <w:tcPr>
            <w:tcW w:w="2134" w:type="pct"/>
            <w:gridSpan w:val="8"/>
            <w:shd w:val="clear" w:color="auto" w:fill="auto"/>
            <w:vAlign w:val="center"/>
          </w:tcPr>
          <w:p>
            <w:pPr>
              <w:rPr>
                <w:rFonts w:hAnsi="宋体" w:cs="宋体"/>
                <w:sz w:val="20"/>
              </w:rPr>
            </w:pPr>
            <w:r>
              <w:rPr>
                <w:rFonts w:hAnsi="宋体" w:cs="宋体"/>
                <w:sz w:val="20"/>
              </w:rPr>
              <w:t>获得绿色施工优良等级或绿色施工示范工程认定。</w:t>
            </w:r>
          </w:p>
        </w:tc>
        <w:tc>
          <w:tcPr>
            <w:tcW w:w="391" w:type="pct"/>
            <w:vAlign w:val="center"/>
          </w:tcPr>
          <w:p>
            <w:pPr>
              <w:widowControl/>
              <w:jc w:val="center"/>
              <w:rPr>
                <w:rFonts w:hAnsi="宋体" w:cs="宋体"/>
                <w:b/>
                <w:bCs/>
                <w:sz w:val="20"/>
              </w:rPr>
            </w:pPr>
            <w:r>
              <w:rPr>
                <w:rFonts w:hAnsi="宋体" w:cs="宋体"/>
                <w:b/>
                <w:bCs/>
                <w:sz w:val="20"/>
              </w:rPr>
              <w:t>8</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20</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采取措施减少预拌混凝土损耗，损耗率降低至1.0%。</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采取措施减少现场加工钢筋损耗，损耗率降低至1.5%。</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现浇混凝土构件采用铝模等免墙面粉刷的模板体系。</w:t>
            </w:r>
          </w:p>
        </w:tc>
        <w:tc>
          <w:tcPr>
            <w:tcW w:w="391" w:type="pct"/>
            <w:vAlign w:val="center"/>
          </w:tcPr>
          <w:p>
            <w:pPr>
              <w:widowControl/>
              <w:jc w:val="center"/>
              <w:rPr>
                <w:rFonts w:hAnsi="宋体" w:cs="宋体"/>
                <w:b/>
                <w:bCs/>
                <w:sz w:val="20"/>
              </w:rPr>
            </w:pPr>
            <w:r>
              <w:rPr>
                <w:rFonts w:hAnsi="宋体" w:cs="宋体"/>
                <w:b/>
                <w:bCs/>
                <w:sz w:val="20"/>
              </w:rPr>
              <w:t>4</w:t>
            </w:r>
          </w:p>
        </w:tc>
        <w:tc>
          <w:tcPr>
            <w:tcW w:w="375" w:type="pct"/>
            <w:vMerge w:val="continue"/>
            <w:vAlign w:val="center"/>
          </w:tcPr>
          <w:p>
            <w:pPr>
              <w:widowControl/>
              <w:jc w:val="center"/>
              <w:rPr>
                <w:rFonts w:hAnsi="宋体" w:cs="宋体"/>
                <w:b/>
                <w:bCs/>
                <w:sz w:val="20"/>
              </w:rPr>
            </w:pP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9.2.9</w:t>
            </w:r>
          </w:p>
        </w:tc>
        <w:tc>
          <w:tcPr>
            <w:tcW w:w="512" w:type="pct"/>
            <w:vMerge w:val="restart"/>
            <w:shd w:val="clear" w:color="auto" w:fill="auto"/>
            <w:vAlign w:val="center"/>
          </w:tcPr>
          <w:p>
            <w:pPr>
              <w:widowControl/>
              <w:rPr>
                <w:rFonts w:hAnsi="宋体" w:cs="宋体"/>
                <w:bCs/>
                <w:sz w:val="20"/>
              </w:rPr>
            </w:pPr>
            <w:r>
              <w:rPr>
                <w:rFonts w:hAnsi="宋体" w:cs="宋体"/>
                <w:bCs/>
                <w:sz w:val="20"/>
              </w:rPr>
              <w:t>保险承保范围包括地基基础工程、主体结构工程、屋面防水工程和其他土建工程的质量问题</w:t>
            </w:r>
          </w:p>
        </w:tc>
        <w:tc>
          <w:tcPr>
            <w:tcW w:w="2134" w:type="pct"/>
            <w:gridSpan w:val="8"/>
            <w:shd w:val="clear" w:color="auto" w:fill="auto"/>
            <w:vAlign w:val="center"/>
          </w:tcPr>
          <w:p>
            <w:pPr>
              <w:rPr>
                <w:rFonts w:hAnsi="宋体" w:cs="宋体"/>
                <w:sz w:val="20"/>
              </w:rPr>
            </w:pPr>
            <w:r>
              <w:rPr>
                <w:rFonts w:hAnsi="宋体" w:cs="宋体"/>
                <w:sz w:val="20"/>
              </w:rPr>
              <w:t>保险承保范围包括地基基础工程、主体结构工程、屋面防水工程和其他土建工程的质量问题。</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20</w:t>
            </w:r>
          </w:p>
        </w:tc>
        <w:tc>
          <w:tcPr>
            <w:tcW w:w="455" w:type="pct"/>
            <w:vAlign w:val="center"/>
          </w:tcPr>
          <w:p>
            <w:pPr>
              <w:widowControl/>
              <w:rPr>
                <w:rFonts w:hAnsi="宋体" w:cs="宋体"/>
                <w:sz w:val="20"/>
              </w:rPr>
            </w:pPr>
          </w:p>
        </w:tc>
        <w:tc>
          <w:tcPr>
            <w:tcW w:w="386" w:type="pct"/>
          </w:tcPr>
          <w:p>
            <w:pPr>
              <w:widowControl/>
              <w:rPr>
                <w:rFonts w:hAnsi="宋体" w:cs="宋体"/>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shd w:val="clear" w:color="auto" w:fill="auto"/>
            <w:vAlign w:val="center"/>
          </w:tcPr>
          <w:p>
            <w:pPr>
              <w:widowControl/>
              <w:rPr>
                <w:rFonts w:hAnsi="宋体" w:cs="宋体"/>
                <w:bCs/>
                <w:sz w:val="20"/>
              </w:rPr>
            </w:pPr>
          </w:p>
        </w:tc>
        <w:tc>
          <w:tcPr>
            <w:tcW w:w="2134" w:type="pct"/>
            <w:gridSpan w:val="8"/>
            <w:shd w:val="clear" w:color="auto" w:fill="auto"/>
            <w:vAlign w:val="center"/>
          </w:tcPr>
          <w:p>
            <w:pPr>
              <w:rPr>
                <w:rFonts w:hAnsi="宋体" w:cs="宋体"/>
                <w:sz w:val="20"/>
              </w:rPr>
            </w:pPr>
            <w:r>
              <w:rPr>
                <w:rFonts w:hAnsi="宋体" w:cs="宋体"/>
                <w:sz w:val="20"/>
              </w:rPr>
              <w:t>保险承保范围包括装修工程、电气管线、上下水管线的安装工程,供热、供冷系统工程的质量问题。</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shd w:val="clear" w:color="auto" w:fill="auto"/>
            <w:vAlign w:val="center"/>
          </w:tcPr>
          <w:p>
            <w:pPr>
              <w:widowControl/>
              <w:jc w:val="center"/>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55" w:type="pct"/>
            <w:vMerge w:val="continue"/>
            <w:vAlign w:val="center"/>
          </w:tcPr>
          <w:p>
            <w:pPr>
              <w:widowControl/>
              <w:rPr>
                <w:rFonts w:hAnsi="宋体" w:cs="宋体"/>
                <w:sz w:val="20"/>
              </w:rPr>
            </w:pPr>
          </w:p>
        </w:tc>
        <w:tc>
          <w:tcPr>
            <w:tcW w:w="492" w:type="pct"/>
            <w:vMerge w:val="restart"/>
            <w:shd w:val="clear" w:color="auto" w:fill="auto"/>
            <w:noWrap/>
            <w:vAlign w:val="center"/>
          </w:tcPr>
          <w:p>
            <w:pPr>
              <w:widowControl/>
              <w:rPr>
                <w:rFonts w:hAnsi="宋体" w:cs="宋体"/>
                <w:sz w:val="20"/>
              </w:rPr>
            </w:pPr>
            <w:r>
              <w:rPr>
                <w:rFonts w:hAnsi="宋体" w:cs="宋体"/>
                <w:sz w:val="20"/>
              </w:rPr>
              <w:t>9.2.10</w:t>
            </w:r>
          </w:p>
        </w:tc>
        <w:tc>
          <w:tcPr>
            <w:tcW w:w="512" w:type="pct"/>
            <w:vMerge w:val="restart"/>
            <w:shd w:val="clear" w:color="auto" w:fill="auto"/>
            <w:vAlign w:val="center"/>
          </w:tcPr>
          <w:p>
            <w:pPr>
              <w:widowControl/>
              <w:rPr>
                <w:rFonts w:hAnsi="宋体" w:cs="宋体"/>
                <w:bCs/>
                <w:sz w:val="20"/>
              </w:rPr>
            </w:pPr>
            <w:r>
              <w:rPr>
                <w:rFonts w:hAnsi="宋体" w:cs="宋体"/>
                <w:bCs/>
                <w:sz w:val="20"/>
              </w:rPr>
              <w:t>其他创新策略</w:t>
            </w:r>
          </w:p>
        </w:tc>
        <w:tc>
          <w:tcPr>
            <w:tcW w:w="2134" w:type="pct"/>
            <w:gridSpan w:val="8"/>
            <w:shd w:val="clear" w:color="auto" w:fill="auto"/>
            <w:vAlign w:val="center"/>
          </w:tcPr>
          <w:p>
            <w:pPr>
              <w:rPr>
                <w:rFonts w:hAnsi="宋体" w:cs="宋体"/>
                <w:sz w:val="20"/>
              </w:rPr>
            </w:pPr>
            <w:r>
              <w:rPr>
                <w:rFonts w:hAnsi="宋体" w:cs="宋体"/>
                <w:sz w:val="20"/>
              </w:rPr>
              <w:t>采取节约资源的其他创新。</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restart"/>
            <w:shd w:val="clear" w:color="auto" w:fill="auto"/>
            <w:vAlign w:val="center"/>
          </w:tcPr>
          <w:p>
            <w:pPr>
              <w:widowControl/>
              <w:jc w:val="center"/>
              <w:rPr>
                <w:rFonts w:hAnsi="宋体" w:cs="宋体"/>
                <w:b/>
                <w:bCs/>
                <w:sz w:val="20"/>
              </w:rPr>
            </w:pPr>
            <w:r>
              <w:rPr>
                <w:rFonts w:hAnsi="宋体" w:cs="宋体"/>
                <w:b/>
                <w:bCs/>
                <w:sz w:val="20"/>
              </w:rPr>
              <w:t>40</w:t>
            </w: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采取保护生态环境的其他创新。</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采取保障安全健康的其他创新。</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采取智慧友好运行的其他创新。</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255" w:type="pct"/>
            <w:vMerge w:val="continue"/>
            <w:vAlign w:val="center"/>
          </w:tcPr>
          <w:p>
            <w:pPr>
              <w:widowControl/>
              <w:rPr>
                <w:rFonts w:hAnsi="宋体" w:cs="宋体"/>
                <w:sz w:val="20"/>
              </w:rPr>
            </w:pPr>
          </w:p>
        </w:tc>
        <w:tc>
          <w:tcPr>
            <w:tcW w:w="492" w:type="pct"/>
            <w:vMerge w:val="continue"/>
            <w:vAlign w:val="center"/>
          </w:tcPr>
          <w:p>
            <w:pPr>
              <w:widowControl/>
              <w:rPr>
                <w:rFonts w:hAnsi="宋体" w:cs="宋体"/>
                <w:sz w:val="20"/>
              </w:rPr>
            </w:pPr>
          </w:p>
        </w:tc>
        <w:tc>
          <w:tcPr>
            <w:tcW w:w="512" w:type="pct"/>
            <w:vMerge w:val="continue"/>
            <w:vAlign w:val="center"/>
          </w:tcPr>
          <w:p>
            <w:pPr>
              <w:widowControl/>
              <w:rPr>
                <w:rFonts w:hAnsi="宋体" w:cs="宋体"/>
                <w:bCs/>
                <w:sz w:val="20"/>
              </w:rPr>
            </w:pPr>
          </w:p>
        </w:tc>
        <w:tc>
          <w:tcPr>
            <w:tcW w:w="2134" w:type="pct"/>
            <w:gridSpan w:val="8"/>
            <w:vAlign w:val="center"/>
          </w:tcPr>
          <w:p>
            <w:pPr>
              <w:rPr>
                <w:rFonts w:hAnsi="宋体" w:cs="宋体"/>
                <w:sz w:val="20"/>
              </w:rPr>
            </w:pPr>
            <w:r>
              <w:rPr>
                <w:rFonts w:hAnsi="宋体" w:cs="宋体"/>
                <w:sz w:val="20"/>
              </w:rPr>
              <w:t>采取传承历史文化的其他创新。</w:t>
            </w:r>
          </w:p>
        </w:tc>
        <w:tc>
          <w:tcPr>
            <w:tcW w:w="391" w:type="pct"/>
            <w:vAlign w:val="center"/>
          </w:tcPr>
          <w:p>
            <w:pPr>
              <w:widowControl/>
              <w:jc w:val="center"/>
              <w:rPr>
                <w:rFonts w:hAnsi="宋体" w:cs="宋体"/>
                <w:b/>
                <w:bCs/>
                <w:sz w:val="20"/>
              </w:rPr>
            </w:pPr>
            <w:r>
              <w:rPr>
                <w:rFonts w:hAnsi="宋体" w:cs="宋体"/>
                <w:b/>
                <w:bCs/>
                <w:sz w:val="20"/>
              </w:rPr>
              <w:t>10</w:t>
            </w:r>
          </w:p>
        </w:tc>
        <w:tc>
          <w:tcPr>
            <w:tcW w:w="375" w:type="pct"/>
            <w:vMerge w:val="continue"/>
            <w:vAlign w:val="center"/>
          </w:tcPr>
          <w:p>
            <w:pPr>
              <w:widowControl/>
              <w:rPr>
                <w:rFonts w:hAnsi="宋体" w:cs="宋体"/>
                <w:b/>
                <w:bCs/>
                <w:sz w:val="20"/>
              </w:rPr>
            </w:pPr>
          </w:p>
        </w:tc>
        <w:tc>
          <w:tcPr>
            <w:tcW w:w="455" w:type="pct"/>
            <w:vAlign w:val="center"/>
          </w:tcPr>
          <w:p>
            <w:pPr>
              <w:widowControl/>
              <w:rPr>
                <w:rFonts w:hAnsi="宋体" w:cs="宋体"/>
                <w:b/>
                <w:bCs/>
                <w:sz w:val="20"/>
              </w:rPr>
            </w:pPr>
          </w:p>
        </w:tc>
        <w:tc>
          <w:tcPr>
            <w:tcW w:w="386" w:type="pct"/>
          </w:tcPr>
          <w:p>
            <w:pPr>
              <w:widowControl/>
              <w:rPr>
                <w:rFonts w:hAnsi="宋体" w:cs="宋体"/>
                <w:b/>
                <w:bCs/>
                <w:sz w:val="20"/>
              </w:rPr>
            </w:pPr>
          </w:p>
        </w:tc>
      </w:tr>
    </w:tbl>
    <w:p>
      <w:pPr>
        <w:snapToGrid w:val="0"/>
        <w:spacing w:line="360" w:lineRule="auto"/>
        <w:jc w:val="left"/>
        <w:rPr>
          <w:rFonts w:ascii="Times New Roman" w:cs="宋体"/>
          <w:color w:val="000000"/>
          <w:kern w:val="0"/>
          <w:sz w:val="24"/>
        </w:rPr>
      </w:pPr>
    </w:p>
    <w:p>
      <w:pPr>
        <w:pStyle w:val="63"/>
        <w:ind w:firstLine="0"/>
        <w:rPr>
          <w:u w:val="single"/>
          <w:lang w:val="en-GB"/>
        </w:rPr>
      </w:pPr>
    </w:p>
    <w:p>
      <w:pPr>
        <w:pStyle w:val="2"/>
        <w:rPr>
          <w:rFonts w:hAnsi="宋体"/>
          <w:sz w:val="52"/>
          <w:szCs w:val="52"/>
        </w:rPr>
        <w:sectPr>
          <w:headerReference r:id="rId12" w:type="default"/>
          <w:footerReference r:id="rId13" w:type="default"/>
          <w:pgSz w:w="11906" w:h="16838"/>
          <w:pgMar w:top="1440" w:right="1800" w:bottom="1440" w:left="1800" w:header="851" w:footer="992" w:gutter="0"/>
          <w:cols w:space="425" w:num="1"/>
          <w:docGrid w:type="lines" w:linePitch="312" w:charSpace="0"/>
        </w:sectPr>
      </w:pPr>
      <w:bookmarkStart w:id="32" w:name="_Toc113029276"/>
      <w:r>
        <w:rPr>
          <w:rFonts w:hint="eastAsia" w:hAnsi="宋体"/>
          <w:sz w:val="52"/>
          <w:szCs w:val="52"/>
        </w:rPr>
        <w:t>第三部分：杭州市民用建筑绿色与节能设计施工图专篇填写说明</w:t>
      </w:r>
      <w:bookmarkEnd w:id="32"/>
    </w:p>
    <w:bookmarkEnd w:id="27"/>
    <w:p>
      <w:pPr>
        <w:pStyle w:val="4"/>
        <w:jc w:val="center"/>
      </w:pPr>
      <w:bookmarkStart w:id="33" w:name="_Toc113029277"/>
      <w:bookmarkStart w:id="34" w:name="_Toc109325912"/>
      <w:r>
        <w:rPr>
          <w:rFonts w:hint="eastAsia"/>
        </w:rPr>
        <w:t>3.1 总表填写说明</w:t>
      </w:r>
      <w:bookmarkEnd w:id="33"/>
      <w:bookmarkEnd w:id="34"/>
    </w:p>
    <w:p>
      <w:pPr>
        <w:widowControl/>
        <w:spacing w:line="240" w:lineRule="atLeast"/>
        <w:jc w:val="left"/>
        <w:rPr>
          <w:rFonts w:hAnsi="宋体"/>
          <w:b/>
          <w:bCs/>
          <w:kern w:val="0"/>
          <w:szCs w:val="21"/>
        </w:rPr>
      </w:pPr>
    </w:p>
    <w:p>
      <w:pPr>
        <w:snapToGrid w:val="0"/>
        <w:spacing w:line="360" w:lineRule="auto"/>
        <w:jc w:val="left"/>
        <w:rPr>
          <w:rFonts w:ascii="Times New Roman" w:cs="宋体"/>
          <w:color w:val="000000"/>
          <w:kern w:val="0"/>
          <w:sz w:val="24"/>
        </w:rPr>
      </w:pPr>
      <w:r>
        <w:rPr>
          <w:rFonts w:ascii="Times New Roman" w:cs="宋体"/>
          <w:color w:val="000000"/>
          <w:kern w:val="0"/>
          <w:sz w:val="24"/>
        </w:rPr>
        <w:t>1工程基本情况</w:t>
      </w:r>
      <w:r>
        <w:rPr>
          <w:rFonts w:hint="eastAsia" w:ascii="Times New Roman" w:cs="宋体"/>
          <w:color w:val="000000"/>
          <w:kern w:val="0"/>
          <w:sz w:val="24"/>
        </w:rPr>
        <w:t>:</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 xml:space="preserve">   此</w:t>
      </w:r>
      <w:r>
        <w:rPr>
          <w:rFonts w:ascii="Times New Roman" w:cs="宋体"/>
          <w:color w:val="000000"/>
          <w:kern w:val="0"/>
          <w:sz w:val="24"/>
        </w:rPr>
        <w:t>项</w:t>
      </w:r>
      <w:r>
        <w:rPr>
          <w:rFonts w:hint="eastAsia" w:ascii="Times New Roman" w:cs="宋体"/>
          <w:color w:val="000000"/>
          <w:kern w:val="0"/>
          <w:sz w:val="24"/>
        </w:rPr>
        <w:t>应表述</w:t>
      </w:r>
      <w:r>
        <w:rPr>
          <w:rFonts w:ascii="Times New Roman" w:cs="宋体"/>
          <w:color w:val="000000"/>
          <w:kern w:val="0"/>
          <w:sz w:val="24"/>
        </w:rPr>
        <w:t>项目</w:t>
      </w:r>
      <w:r>
        <w:rPr>
          <w:rFonts w:hint="eastAsia" w:ascii="Times New Roman" w:cs="宋体"/>
          <w:color w:val="000000"/>
          <w:kern w:val="0"/>
          <w:sz w:val="24"/>
        </w:rPr>
        <w:t>的主要经济技术</w:t>
      </w:r>
      <w:r>
        <w:rPr>
          <w:rFonts w:ascii="Times New Roman" w:cs="宋体"/>
          <w:color w:val="000000"/>
          <w:kern w:val="0"/>
          <w:sz w:val="24"/>
        </w:rPr>
        <w:t>指标</w:t>
      </w:r>
      <w:r>
        <w:rPr>
          <w:rFonts w:hint="eastAsia" w:ascii="Times New Roman" w:cs="宋体"/>
          <w:color w:val="000000"/>
          <w:kern w:val="0"/>
          <w:sz w:val="24"/>
        </w:rPr>
        <w:t>、</w:t>
      </w:r>
      <w:r>
        <w:rPr>
          <w:rFonts w:ascii="Times New Roman" w:cs="宋体"/>
          <w:color w:val="000000"/>
          <w:kern w:val="0"/>
          <w:sz w:val="24"/>
        </w:rPr>
        <w:t>结构形式</w:t>
      </w:r>
      <w:r>
        <w:rPr>
          <w:rFonts w:hint="eastAsia" w:ascii="Times New Roman" w:cs="宋体"/>
          <w:color w:val="000000"/>
          <w:kern w:val="0"/>
          <w:sz w:val="24"/>
        </w:rPr>
        <w:t>和</w:t>
      </w:r>
      <w:r>
        <w:rPr>
          <w:rFonts w:ascii="Times New Roman" w:cs="宋体"/>
          <w:color w:val="000000"/>
          <w:kern w:val="0"/>
          <w:sz w:val="24"/>
        </w:rPr>
        <w:t>项目</w:t>
      </w:r>
      <w:r>
        <w:rPr>
          <w:rFonts w:hint="eastAsia" w:ascii="Times New Roman" w:cs="宋体"/>
          <w:color w:val="000000"/>
          <w:kern w:val="0"/>
          <w:sz w:val="24"/>
        </w:rPr>
        <w:t>投资主体</w:t>
      </w:r>
      <w:r>
        <w:rPr>
          <w:rFonts w:ascii="Times New Roman" w:cs="宋体"/>
          <w:color w:val="000000"/>
          <w:kern w:val="0"/>
          <w:sz w:val="24"/>
        </w:rPr>
        <w:t>等基本情况</w:t>
      </w:r>
      <w:r>
        <w:rPr>
          <w:rFonts w:hint="eastAsia" w:ascii="Times New Roman" w:cs="宋体"/>
          <w:color w:val="000000"/>
          <w:kern w:val="0"/>
          <w:sz w:val="24"/>
        </w:rPr>
        <w:t>；项目的</w:t>
      </w:r>
      <w:r>
        <w:rPr>
          <w:rFonts w:ascii="Times New Roman" w:cs="宋体"/>
          <w:color w:val="000000"/>
          <w:kern w:val="0"/>
          <w:sz w:val="24"/>
        </w:rPr>
        <w:t>绿色建筑设计</w:t>
      </w:r>
      <w:r>
        <w:rPr>
          <w:rFonts w:hint="eastAsia" w:ascii="Times New Roman" w:cs="宋体"/>
          <w:color w:val="000000"/>
          <w:kern w:val="0"/>
          <w:sz w:val="24"/>
        </w:rPr>
        <w:t>星级目标是指根据项目性质、投资主体及绿色专项规划对地块要求达到的星级要求。</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1.1 对于“用地内单体建筑数量”栏和“本次设计单体数量”栏：当项目分期建设或单体出图时间有先后批次时，应按实际情况进行填写；当居住建筑与配套公建共处一体时（例如，沿街商铺），“本次设计单体数量”可按出图时的子项目数量为准（但当一个子项涵盖多个相同单体楼栋时，填写的数量须叠加）。</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1.2 对于“项目用地面积”、“容积率”、“建筑密度”和“绿地率”等</w:t>
      </w:r>
      <w:r>
        <w:rPr>
          <w:rFonts w:ascii="Times New Roman" w:cs="宋体"/>
          <w:color w:val="000000"/>
          <w:kern w:val="0"/>
          <w:sz w:val="24"/>
        </w:rPr>
        <w:t>经济</w:t>
      </w:r>
      <w:r>
        <w:rPr>
          <w:rFonts w:hint="eastAsia" w:ascii="Times New Roman" w:cs="宋体"/>
          <w:color w:val="000000"/>
          <w:kern w:val="0"/>
          <w:sz w:val="24"/>
        </w:rPr>
        <w:t>指标：若无法按单体独立分开时，可按项目的总指标填写（但须备注说明）；分期建设的项目若无明确的分期规划要求指标时，可按总体指标填写；其中“容积率”和“建筑密度”栏均须增加备注说明：本指标为项目的总体综合平衡指标。</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1.3 对于“总建筑面积”、“地下建筑面积” 和“地上建筑面积”栏：分期建设项目注明本期指标，并在后面注明分期数；配套公建建筑面积栏(如有分期时)：应分别注明总体配套建筑面积和本次出图配套公建面积。依据DB</w:t>
      </w:r>
      <w:r>
        <w:rPr>
          <w:rFonts w:ascii="Times New Roman" w:cs="宋体"/>
          <w:color w:val="000000"/>
          <w:kern w:val="0"/>
          <w:sz w:val="24"/>
        </w:rPr>
        <w:t xml:space="preserve"> </w:t>
      </w:r>
      <w:r>
        <w:rPr>
          <w:rFonts w:hint="eastAsia" w:ascii="Times New Roman" w:cs="宋体"/>
          <w:color w:val="000000"/>
          <w:kern w:val="0"/>
          <w:sz w:val="24"/>
        </w:rPr>
        <w:t>33/1092-20</w:t>
      </w:r>
      <w:r>
        <w:rPr>
          <w:rFonts w:ascii="Times New Roman" w:cs="宋体"/>
          <w:color w:val="000000"/>
          <w:kern w:val="0"/>
          <w:sz w:val="24"/>
        </w:rPr>
        <w:t>21</w:t>
      </w:r>
      <w:r>
        <w:rPr>
          <w:rFonts w:hint="eastAsia" w:ascii="Times New Roman" w:cs="宋体"/>
          <w:color w:val="000000"/>
          <w:kern w:val="0"/>
          <w:sz w:val="24"/>
        </w:rPr>
        <w:t xml:space="preserve"> 4.1.</w:t>
      </w:r>
      <w:r>
        <w:rPr>
          <w:rFonts w:ascii="Times New Roman" w:cs="宋体"/>
          <w:color w:val="000000"/>
          <w:kern w:val="0"/>
          <w:sz w:val="24"/>
        </w:rPr>
        <w:t>8</w:t>
      </w:r>
      <w:r>
        <w:rPr>
          <w:rFonts w:hint="eastAsia" w:ascii="Times New Roman" w:cs="宋体"/>
          <w:color w:val="000000"/>
          <w:kern w:val="0"/>
          <w:sz w:val="24"/>
        </w:rPr>
        <w:t>条，</w:t>
      </w:r>
      <w:r>
        <w:rPr>
          <w:rFonts w:ascii="Times New Roman" w:cs="宋体"/>
          <w:color w:val="000000"/>
          <w:kern w:val="0"/>
          <w:sz w:val="24"/>
        </w:rPr>
        <w:t>当建设项目的红线范围内既有公共建筑又有居住建筑，</w:t>
      </w:r>
      <w:r>
        <w:rPr>
          <w:rFonts w:hint="eastAsia" w:ascii="Times New Roman" w:cs="宋体"/>
          <w:color w:val="000000"/>
          <w:kern w:val="0"/>
          <w:sz w:val="24"/>
        </w:rPr>
        <w:t>而居住建筑和公共建筑划分不清时，</w:t>
      </w:r>
      <w:r>
        <w:rPr>
          <w:rFonts w:ascii="Times New Roman" w:cs="宋体"/>
          <w:color w:val="000000"/>
          <w:kern w:val="0"/>
          <w:sz w:val="24"/>
        </w:rPr>
        <w:t>应按居住建筑及公共建筑面积</w:t>
      </w:r>
      <w:r>
        <w:rPr>
          <w:rFonts w:hint="eastAsia" w:ascii="Times New Roman" w:cs="宋体"/>
          <w:color w:val="000000"/>
          <w:kern w:val="0"/>
          <w:sz w:val="24"/>
        </w:rPr>
        <w:t>比</w:t>
      </w:r>
      <w:r>
        <w:rPr>
          <w:rFonts w:ascii="Times New Roman" w:cs="宋体"/>
          <w:color w:val="000000"/>
          <w:kern w:val="0"/>
          <w:sz w:val="24"/>
        </w:rPr>
        <w:t>分摊</w:t>
      </w:r>
      <w:r>
        <w:rPr>
          <w:rFonts w:hint="eastAsia" w:ascii="Times New Roman" w:cs="宋体"/>
          <w:color w:val="000000"/>
          <w:kern w:val="0"/>
          <w:sz w:val="24"/>
        </w:rPr>
        <w:t>，分摊结果应分别满足本标准相应指标要求</w:t>
      </w:r>
      <w:r>
        <w:rPr>
          <w:rFonts w:ascii="Times New Roman" w:cs="宋体"/>
          <w:color w:val="000000"/>
          <w:kern w:val="0"/>
          <w:sz w:val="24"/>
        </w:rPr>
        <w:t>。</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1.4 “总户数”指项目设计的总户数。当项目分期实施时，应注明本期设计的总户数；并在“总表-2</w:t>
      </w:r>
      <w:r>
        <w:rPr>
          <w:rFonts w:ascii="Times New Roman" w:cs="宋体"/>
          <w:color w:val="000000"/>
          <w:kern w:val="0"/>
          <w:sz w:val="24"/>
        </w:rPr>
        <w:t>关键设计指标汇总</w:t>
      </w:r>
      <w:r>
        <w:rPr>
          <w:rFonts w:hint="eastAsia" w:ascii="Times New Roman" w:cs="宋体"/>
          <w:color w:val="000000"/>
          <w:kern w:val="0"/>
          <w:sz w:val="24"/>
        </w:rPr>
        <w:t>”的相应栏及其备注中，填写本期的可再生能源设计量与应用范围。</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1.5 “建筑高度”、“建筑</w:t>
      </w:r>
      <w:r>
        <w:rPr>
          <w:rFonts w:ascii="Times New Roman" w:cs="宋体"/>
          <w:color w:val="000000"/>
          <w:kern w:val="0"/>
          <w:sz w:val="24"/>
        </w:rPr>
        <w:t>层数</w:t>
      </w:r>
      <w:r>
        <w:rPr>
          <w:rFonts w:hint="eastAsia" w:ascii="Times New Roman" w:cs="宋体"/>
          <w:color w:val="000000"/>
          <w:kern w:val="0"/>
          <w:sz w:val="24"/>
        </w:rPr>
        <w:t>”、“建筑主要朝向”、“地上、地下的层数”栏：当为多栋建筑群时（包括与居住建筑合填一起的配套公建）可按建筑的“最高~最低的高度区间”、“最多~最少的层数区间”的方式填写，也可按编号楼栋对应填写。分期建设项目在后面注明分期数。</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 xml:space="preserve">1.6 “建筑工业化技术”栏：填写项目是否符合标准采用的工业化结构形式等，装配式建筑注明装配率等有强制性要求的内容，填写时未能表述清楚的事宜可在本项的“其他”栏中补充。 </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“建筑进行土建和装修一体化”栏：根据政府相关文件及绿色专项规划要求必须进行全装修设计的项目应在此栏中明确。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1.7综合径流系数可根据《民用建筑雨水控制与利用设计规程》第3.2.1条要求计算，浙江省各地市年径流总量控制率对应的日降雨量可按《民用建筑雨水控制与利用设计规程》附录B取值。</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低影响开发控制性指标应满足当地海绵城市专项规划实施方案要求。</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年径流总量控制率、综合径流系数可以在初步设计海绵城市低影响开发专篇中查阅。</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1.8 多个建筑合并为一张表填写时</w:t>
      </w:r>
      <w:r>
        <w:rPr>
          <w:rFonts w:ascii="Times New Roman" w:cs="宋体"/>
          <w:color w:val="000000"/>
          <w:kern w:val="0"/>
          <w:sz w:val="24"/>
        </w:rPr>
        <w:t>，其中</w:t>
      </w:r>
      <w:r>
        <w:rPr>
          <w:rFonts w:hint="eastAsia" w:ascii="Times New Roman" w:cs="宋体"/>
          <w:color w:val="000000"/>
          <w:kern w:val="0"/>
          <w:sz w:val="24"/>
        </w:rPr>
        <w:t>的</w:t>
      </w:r>
      <w:r>
        <w:rPr>
          <w:rFonts w:ascii="Times New Roman" w:cs="宋体"/>
          <w:color w:val="000000"/>
          <w:kern w:val="0"/>
          <w:sz w:val="24"/>
        </w:rPr>
        <w:t>设计使用年限</w:t>
      </w:r>
      <w:r>
        <w:rPr>
          <w:rFonts w:hint="eastAsia" w:ascii="Times New Roman" w:cs="宋体"/>
          <w:color w:val="000000"/>
          <w:kern w:val="0"/>
          <w:sz w:val="24"/>
        </w:rPr>
        <w:t>、</w:t>
      </w:r>
      <w:r>
        <w:rPr>
          <w:rFonts w:ascii="Times New Roman" w:cs="宋体"/>
          <w:color w:val="000000"/>
          <w:kern w:val="0"/>
          <w:sz w:val="24"/>
        </w:rPr>
        <w:t>结构安全等级、抗震类别</w:t>
      </w:r>
      <w:r>
        <w:rPr>
          <w:rFonts w:hint="eastAsia" w:ascii="Times New Roman" w:cs="宋体"/>
          <w:color w:val="000000"/>
          <w:kern w:val="0"/>
          <w:sz w:val="24"/>
        </w:rPr>
        <w:t>和设防烈度</w:t>
      </w:r>
      <w:r>
        <w:rPr>
          <w:rFonts w:ascii="Times New Roman" w:cs="宋体"/>
          <w:color w:val="000000"/>
          <w:kern w:val="0"/>
          <w:sz w:val="24"/>
        </w:rPr>
        <w:t>、结构形式、空调形式</w:t>
      </w:r>
      <w:r>
        <w:rPr>
          <w:rFonts w:hint="eastAsia" w:ascii="Times New Roman" w:cs="宋体"/>
          <w:color w:val="000000"/>
          <w:kern w:val="0"/>
          <w:sz w:val="24"/>
        </w:rPr>
        <w:t>等不同时</w:t>
      </w:r>
      <w:r>
        <w:rPr>
          <w:rFonts w:ascii="Times New Roman" w:cs="宋体"/>
          <w:color w:val="000000"/>
          <w:kern w:val="0"/>
          <w:sz w:val="24"/>
        </w:rPr>
        <w:t>，</w:t>
      </w:r>
      <w:r>
        <w:rPr>
          <w:rFonts w:hint="eastAsia" w:ascii="Times New Roman" w:cs="宋体"/>
          <w:color w:val="000000"/>
          <w:kern w:val="0"/>
          <w:sz w:val="24"/>
        </w:rPr>
        <w:t>可对涉及的内容相应</w:t>
      </w:r>
      <w:r>
        <w:rPr>
          <w:rFonts w:ascii="Times New Roman" w:cs="宋体"/>
          <w:color w:val="000000"/>
          <w:kern w:val="0"/>
          <w:sz w:val="24"/>
        </w:rPr>
        <w:t>分栏</w:t>
      </w:r>
      <w:r>
        <w:rPr>
          <w:rFonts w:hint="eastAsia" w:ascii="Times New Roman" w:cs="宋体"/>
          <w:color w:val="000000"/>
          <w:kern w:val="0"/>
          <w:sz w:val="24"/>
        </w:rPr>
        <w:t>填写（</w:t>
      </w:r>
      <w:r>
        <w:rPr>
          <w:rFonts w:ascii="Times New Roman" w:cs="宋体"/>
          <w:color w:val="000000"/>
          <w:kern w:val="0"/>
          <w:sz w:val="24"/>
        </w:rPr>
        <w:t>按楼号</w:t>
      </w:r>
      <w:r>
        <w:rPr>
          <w:rFonts w:hint="eastAsia" w:ascii="Times New Roman" w:cs="宋体"/>
          <w:color w:val="000000"/>
          <w:kern w:val="0"/>
          <w:sz w:val="24"/>
        </w:rPr>
        <w:t>填写）。</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1.9 “项目基准规模”、“能耗规模”栏：</w:t>
      </w:r>
      <w:r>
        <w:rPr>
          <w:rFonts w:ascii="Times New Roman" w:cs="宋体"/>
          <w:color w:val="000000"/>
          <w:kern w:val="0"/>
          <w:sz w:val="24"/>
        </w:rPr>
        <w:t>如施工图</w:t>
      </w:r>
      <w:r>
        <w:rPr>
          <w:rFonts w:hint="eastAsia" w:ascii="Times New Roman" w:cs="宋体"/>
          <w:color w:val="000000"/>
          <w:kern w:val="0"/>
          <w:sz w:val="24"/>
        </w:rPr>
        <w:t>与节能</w:t>
      </w:r>
      <w:r>
        <w:rPr>
          <w:rFonts w:ascii="Times New Roman" w:cs="宋体"/>
          <w:color w:val="000000"/>
          <w:kern w:val="0"/>
          <w:sz w:val="24"/>
        </w:rPr>
        <w:t>评估时提供</w:t>
      </w:r>
      <w:r>
        <w:rPr>
          <w:rFonts w:hint="eastAsia" w:ascii="Times New Roman" w:cs="宋体"/>
          <w:color w:val="000000"/>
          <w:kern w:val="0"/>
          <w:sz w:val="24"/>
        </w:rPr>
        <w:t>的</w:t>
      </w:r>
      <w:r>
        <w:rPr>
          <w:rFonts w:ascii="Times New Roman" w:cs="宋体"/>
          <w:color w:val="000000"/>
          <w:kern w:val="0"/>
          <w:sz w:val="24"/>
        </w:rPr>
        <w:t>相关</w:t>
      </w:r>
      <w:r>
        <w:rPr>
          <w:rFonts w:hint="eastAsia" w:ascii="Times New Roman" w:cs="宋体"/>
          <w:color w:val="000000"/>
          <w:kern w:val="0"/>
          <w:sz w:val="24"/>
        </w:rPr>
        <w:t>面积</w:t>
      </w:r>
      <w:r>
        <w:rPr>
          <w:rFonts w:ascii="Times New Roman" w:cs="宋体"/>
          <w:color w:val="000000"/>
          <w:kern w:val="0"/>
          <w:sz w:val="24"/>
        </w:rPr>
        <w:t>、技术措施</w:t>
      </w:r>
      <w:r>
        <w:rPr>
          <w:rFonts w:hint="eastAsia" w:ascii="Times New Roman" w:cs="宋体"/>
          <w:color w:val="000000"/>
          <w:kern w:val="0"/>
          <w:sz w:val="24"/>
        </w:rPr>
        <w:t>未做变更时</w:t>
      </w:r>
      <w:r>
        <w:rPr>
          <w:rFonts w:ascii="Times New Roman" w:cs="宋体"/>
          <w:color w:val="000000"/>
          <w:kern w:val="0"/>
          <w:sz w:val="24"/>
        </w:rPr>
        <w:t>，可直接引用</w:t>
      </w:r>
      <w:r>
        <w:rPr>
          <w:rFonts w:hint="eastAsia" w:ascii="Times New Roman" w:cs="宋体"/>
          <w:color w:val="000000"/>
          <w:kern w:val="0"/>
          <w:sz w:val="24"/>
        </w:rPr>
        <w:t>节能评估报告书中的相应数据。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1.10 其他需要说明的内容：指设计项目为多种功能（如居住、公建），或分期实施、改扩建等无法在基本概况中体现的特殊情况或未注明的内容，可在此栏中进行补充说明。对一些</w:t>
      </w:r>
      <w:r>
        <w:rPr>
          <w:rFonts w:ascii="Times New Roman" w:cs="宋体"/>
          <w:color w:val="000000"/>
          <w:kern w:val="0"/>
          <w:sz w:val="24"/>
        </w:rPr>
        <w:t>特殊项目，例如：不同单位设计</w:t>
      </w:r>
      <w:r>
        <w:rPr>
          <w:rFonts w:hint="eastAsia" w:ascii="Times New Roman" w:cs="宋体"/>
          <w:color w:val="000000"/>
          <w:kern w:val="0"/>
          <w:sz w:val="24"/>
        </w:rPr>
        <w:t>、分包设计、联合设计等</w:t>
      </w:r>
      <w:r>
        <w:rPr>
          <w:rFonts w:ascii="Times New Roman" w:cs="宋体"/>
          <w:color w:val="000000"/>
          <w:kern w:val="0"/>
          <w:sz w:val="24"/>
        </w:rPr>
        <w:t>情况</w:t>
      </w:r>
      <w:r>
        <w:rPr>
          <w:rFonts w:hint="eastAsia" w:ascii="Times New Roman" w:cs="宋体"/>
          <w:color w:val="000000"/>
          <w:kern w:val="0"/>
          <w:sz w:val="24"/>
        </w:rPr>
        <w:t>，需在表中具体说明。</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2.</w:t>
      </w:r>
      <w:r>
        <w:rPr>
          <w:rFonts w:ascii="Times New Roman" w:cs="宋体"/>
          <w:color w:val="000000"/>
          <w:kern w:val="0"/>
          <w:sz w:val="24"/>
        </w:rPr>
        <w:t>关键设计指标汇总</w:t>
      </w:r>
      <w:r>
        <w:rPr>
          <w:rFonts w:hint="eastAsia" w:ascii="Times New Roman" w:cs="宋体"/>
          <w:color w:val="000000"/>
          <w:kern w:val="0"/>
          <w:sz w:val="24"/>
        </w:rPr>
        <w:t>:</w:t>
      </w:r>
    </w:p>
    <w:p>
      <w:pPr>
        <w:snapToGrid w:val="0"/>
        <w:spacing w:line="360" w:lineRule="auto"/>
        <w:jc w:val="left"/>
        <w:rPr>
          <w:rFonts w:ascii="Times New Roman" w:cs="宋体"/>
          <w:color w:val="auto"/>
          <w:kern w:val="0"/>
          <w:sz w:val="24"/>
        </w:rPr>
      </w:pPr>
      <w:r>
        <w:rPr>
          <w:rFonts w:hint="eastAsia" w:ascii="Times New Roman" w:cs="宋体"/>
          <w:color w:val="auto"/>
          <w:kern w:val="0"/>
          <w:sz w:val="24"/>
        </w:rPr>
        <w:t>2.1此项是按浙江省《绿色建筑设计标准》DB33/1092-20</w:t>
      </w:r>
      <w:r>
        <w:rPr>
          <w:rFonts w:ascii="Times New Roman" w:cs="宋体"/>
          <w:color w:val="auto"/>
          <w:kern w:val="0"/>
          <w:sz w:val="24"/>
        </w:rPr>
        <w:t>21</w:t>
      </w:r>
      <w:r>
        <w:rPr>
          <w:rFonts w:hint="eastAsia" w:ascii="Times New Roman" w:cs="宋体"/>
          <w:color w:val="auto"/>
          <w:kern w:val="0"/>
          <w:sz w:val="24"/>
        </w:rPr>
        <w:t>的要求，根据项目的节能评估报告书（表）中《民用建筑项目节能评估汇总表》相关内容，根据工程实践进行优化、整合后的关键指标表；其中各项与能耗等专项设计相关的内容及参数，需由相关专业配合，结合最终编制的节能评估文件（或节能登记表）内容填写。</w:t>
      </w:r>
    </w:p>
    <w:p>
      <w:pPr>
        <w:snapToGrid w:val="0"/>
        <w:spacing w:line="360" w:lineRule="auto"/>
        <w:jc w:val="left"/>
        <w:rPr>
          <w:rFonts w:ascii="Times New Roman" w:cs="宋体"/>
          <w:color w:val="auto"/>
          <w:kern w:val="0"/>
          <w:sz w:val="24"/>
        </w:rPr>
      </w:pPr>
      <w:r>
        <w:rPr>
          <w:rFonts w:hint="eastAsia" w:ascii="Times New Roman" w:cs="宋体"/>
          <w:color w:val="auto"/>
          <w:kern w:val="0"/>
          <w:sz w:val="24"/>
        </w:rPr>
        <w:t>2.2</w:t>
      </w:r>
      <w:r>
        <w:rPr>
          <w:rFonts w:ascii="Times New Roman" w:cs="宋体"/>
          <w:color w:val="auto"/>
          <w:kern w:val="0"/>
          <w:sz w:val="24"/>
        </w:rPr>
        <w:t>施工图</w:t>
      </w:r>
      <w:r>
        <w:rPr>
          <w:rFonts w:hint="eastAsia" w:ascii="Times New Roman" w:cs="宋体"/>
          <w:color w:val="auto"/>
          <w:kern w:val="0"/>
          <w:sz w:val="24"/>
        </w:rPr>
        <w:t>与节能</w:t>
      </w:r>
      <w:r>
        <w:rPr>
          <w:rFonts w:ascii="Times New Roman" w:cs="宋体"/>
          <w:color w:val="auto"/>
          <w:kern w:val="0"/>
          <w:sz w:val="24"/>
        </w:rPr>
        <w:t>评估</w:t>
      </w:r>
      <w:r>
        <w:rPr>
          <w:rFonts w:hint="eastAsia" w:ascii="Times New Roman" w:cs="宋体"/>
          <w:color w:val="auto"/>
          <w:kern w:val="0"/>
          <w:sz w:val="24"/>
        </w:rPr>
        <w:t>文件（或节能登记表）中</w:t>
      </w:r>
      <w:r>
        <w:rPr>
          <w:rFonts w:ascii="Times New Roman" w:cs="宋体"/>
          <w:color w:val="auto"/>
          <w:kern w:val="0"/>
          <w:sz w:val="24"/>
        </w:rPr>
        <w:t>提供</w:t>
      </w:r>
      <w:r>
        <w:rPr>
          <w:rFonts w:hint="eastAsia" w:ascii="Times New Roman" w:cs="宋体"/>
          <w:color w:val="auto"/>
          <w:kern w:val="0"/>
          <w:sz w:val="24"/>
        </w:rPr>
        <w:t>的</w:t>
      </w:r>
      <w:r>
        <w:rPr>
          <w:rFonts w:ascii="Times New Roman" w:cs="宋体"/>
          <w:color w:val="auto"/>
          <w:kern w:val="0"/>
          <w:sz w:val="24"/>
        </w:rPr>
        <w:t>相关</w:t>
      </w:r>
      <w:r>
        <w:rPr>
          <w:rFonts w:hint="eastAsia" w:ascii="Times New Roman" w:cs="宋体"/>
          <w:color w:val="auto"/>
          <w:kern w:val="0"/>
          <w:sz w:val="24"/>
        </w:rPr>
        <w:t>面积</w:t>
      </w:r>
      <w:r>
        <w:rPr>
          <w:rFonts w:ascii="Times New Roman" w:cs="宋体"/>
          <w:color w:val="auto"/>
          <w:kern w:val="0"/>
          <w:sz w:val="24"/>
        </w:rPr>
        <w:t>、技术措施（</w:t>
      </w:r>
      <w:r>
        <w:rPr>
          <w:rFonts w:hint="eastAsia" w:ascii="Times New Roman" w:cs="宋体"/>
          <w:color w:val="auto"/>
          <w:kern w:val="0"/>
          <w:sz w:val="24"/>
        </w:rPr>
        <w:t>节能</w:t>
      </w:r>
      <w:r>
        <w:rPr>
          <w:rFonts w:ascii="Times New Roman" w:cs="宋体"/>
          <w:color w:val="auto"/>
          <w:kern w:val="0"/>
          <w:sz w:val="24"/>
        </w:rPr>
        <w:t>、绿建等）</w:t>
      </w:r>
      <w:r>
        <w:rPr>
          <w:rFonts w:hint="eastAsia" w:ascii="Times New Roman" w:cs="宋体"/>
          <w:color w:val="auto"/>
          <w:kern w:val="0"/>
          <w:sz w:val="24"/>
        </w:rPr>
        <w:t>应保持一致。</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2.3 若项目存在分期建设，填写时可按整体评估报告书中的本次分期指标数据，并在备注栏中注明本次的分期数；若评估报告中没有分期指标数据，应要求评估单位按分期进行技术数据拆分，并修改相应的评估报告书的内容。</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 xml:space="preserve">2.4 </w:t>
      </w:r>
      <w:r>
        <w:rPr>
          <w:rFonts w:ascii="Times New Roman" w:cs="宋体"/>
          <w:color w:val="000000"/>
          <w:kern w:val="0"/>
          <w:sz w:val="24"/>
        </w:rPr>
        <w:t>地下空间开发利用指标等计算</w:t>
      </w:r>
      <w:r>
        <w:rPr>
          <w:rFonts w:hint="eastAsia" w:ascii="Times New Roman" w:cs="宋体"/>
          <w:color w:val="000000"/>
          <w:kern w:val="0"/>
          <w:sz w:val="24"/>
        </w:rPr>
        <w:t>：依据DB33/1092-20</w:t>
      </w:r>
      <w:r>
        <w:rPr>
          <w:rFonts w:ascii="Times New Roman" w:cs="宋体"/>
          <w:color w:val="000000"/>
          <w:kern w:val="0"/>
          <w:sz w:val="24"/>
        </w:rPr>
        <w:t>21</w:t>
      </w:r>
      <w:r>
        <w:rPr>
          <w:rFonts w:hint="eastAsia" w:ascii="Times New Roman" w:cs="宋体"/>
          <w:color w:val="000000"/>
          <w:kern w:val="0"/>
          <w:sz w:val="24"/>
        </w:rPr>
        <w:t xml:space="preserve"> 4.1.</w:t>
      </w:r>
      <w:r>
        <w:rPr>
          <w:rFonts w:ascii="Times New Roman" w:cs="宋体"/>
          <w:color w:val="000000"/>
          <w:kern w:val="0"/>
          <w:sz w:val="24"/>
        </w:rPr>
        <w:t>8</w:t>
      </w:r>
      <w:r>
        <w:rPr>
          <w:rFonts w:hint="eastAsia" w:ascii="Times New Roman" w:cs="宋体"/>
          <w:color w:val="000000"/>
          <w:kern w:val="0"/>
          <w:sz w:val="24"/>
        </w:rPr>
        <w:t>条，</w:t>
      </w:r>
      <w:r>
        <w:rPr>
          <w:rFonts w:ascii="Times New Roman" w:cs="宋体"/>
          <w:color w:val="000000"/>
          <w:kern w:val="0"/>
          <w:sz w:val="24"/>
        </w:rPr>
        <w:t>当建设项目的红线范围内既有公共建筑又有居住建筑，</w:t>
      </w:r>
      <w:r>
        <w:rPr>
          <w:rFonts w:hint="eastAsia" w:ascii="Times New Roman" w:cs="宋体"/>
          <w:color w:val="000000"/>
          <w:kern w:val="0"/>
          <w:sz w:val="24"/>
        </w:rPr>
        <w:t>而居住建筑和公共建筑划分不清时，</w:t>
      </w:r>
      <w:r>
        <w:rPr>
          <w:rFonts w:ascii="Times New Roman" w:cs="宋体"/>
          <w:color w:val="000000"/>
          <w:kern w:val="0"/>
          <w:sz w:val="24"/>
        </w:rPr>
        <w:t>应按居住建筑及公共建筑面积</w:t>
      </w:r>
      <w:r>
        <w:rPr>
          <w:rFonts w:hint="eastAsia" w:ascii="Times New Roman" w:cs="宋体"/>
          <w:color w:val="000000"/>
          <w:kern w:val="0"/>
          <w:sz w:val="24"/>
        </w:rPr>
        <w:t>比</w:t>
      </w:r>
      <w:r>
        <w:rPr>
          <w:rFonts w:ascii="Times New Roman" w:cs="宋体"/>
          <w:color w:val="000000"/>
          <w:kern w:val="0"/>
          <w:sz w:val="24"/>
        </w:rPr>
        <w:t>分摊</w:t>
      </w:r>
      <w:r>
        <w:rPr>
          <w:rFonts w:hint="eastAsia" w:ascii="Times New Roman" w:cs="宋体"/>
          <w:color w:val="000000"/>
          <w:kern w:val="0"/>
          <w:sz w:val="24"/>
        </w:rPr>
        <w:t>，分摊结果应分别满足本标准相应指标要求</w:t>
      </w:r>
      <w:r>
        <w:rPr>
          <w:rFonts w:ascii="Times New Roman" w:cs="宋体"/>
          <w:color w:val="000000"/>
          <w:kern w:val="0"/>
          <w:sz w:val="24"/>
        </w:rPr>
        <w:t>。</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3. 绿色建筑设计技术措施</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详见不同专业的民用建筑施工图绿色建筑和节能设计专篇(居住建筑)。</w:t>
      </w:r>
    </w:p>
    <w:p>
      <w:pPr>
        <w:pStyle w:val="4"/>
        <w:jc w:val="center"/>
      </w:pPr>
      <w:bookmarkStart w:id="35" w:name="_Toc113029278"/>
      <w:bookmarkStart w:id="36" w:name="_Toc109325913"/>
      <w:r>
        <w:rPr>
          <w:rFonts w:hint="eastAsia"/>
        </w:rPr>
        <w:t>3.2 建筑专业填写说明</w:t>
      </w:r>
      <w:bookmarkEnd w:id="35"/>
      <w:bookmarkEnd w:id="36"/>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一、建筑主要设计依据:</w:t>
      </w:r>
    </w:p>
    <w:p>
      <w:pPr>
        <w:snapToGrid w:val="0"/>
        <w:spacing w:line="360" w:lineRule="auto"/>
        <w:ind w:firstLine="480" w:firstLineChars="200"/>
        <w:jc w:val="left"/>
        <w:rPr>
          <w:rFonts w:ascii="Times New Roman" w:cs="宋体"/>
          <w:color w:val="auto"/>
          <w:kern w:val="0"/>
          <w:sz w:val="24"/>
        </w:rPr>
      </w:pPr>
      <w:r>
        <w:rPr>
          <w:rFonts w:hint="eastAsia" w:ascii="Times New Roman" w:cs="宋体"/>
          <w:color w:val="auto"/>
          <w:kern w:val="0"/>
          <w:sz w:val="24"/>
        </w:rPr>
        <w:t>此项应包括项目进行建筑绿色与节能设计时所遵循的主要设计依据。包括法律法规、政策文件及现行国家与地方的标准、规范；还包括项目已取得的节能审查意见书及其附件、节能</w:t>
      </w:r>
      <w:r>
        <w:rPr>
          <w:rFonts w:ascii="Times New Roman" w:cs="宋体"/>
          <w:color w:val="auto"/>
          <w:kern w:val="0"/>
          <w:sz w:val="24"/>
        </w:rPr>
        <w:t>评估</w:t>
      </w:r>
      <w:r>
        <w:rPr>
          <w:rFonts w:hint="eastAsia" w:ascii="Times New Roman" w:cs="宋体"/>
          <w:color w:val="auto"/>
          <w:kern w:val="0"/>
          <w:sz w:val="24"/>
        </w:rPr>
        <w:t>文件（或节能登记表）等；</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1.1 由设计人员复核各设计标准的现行版本号。</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1.2 设计人员应按项目选用的相关技术与措施，增补有关标准、规范依据（如：设置幕墙时应补充《建筑幕墙》GB/T 21086标准为设计依据）。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1.3 设计人员应根据项目所在地特性，增加相应的相关政府性文件为依据。</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特别说明：当本专篇依据的标准、规范修订或有新标准、新规范实施时，应按新版标准、规范对专篇相关内容进行复核、调整后选用。</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二、建筑</w:t>
      </w:r>
      <w:r>
        <w:rPr>
          <w:rFonts w:ascii="Times New Roman" w:cs="宋体"/>
          <w:color w:val="000000"/>
          <w:kern w:val="0"/>
          <w:sz w:val="24"/>
        </w:rPr>
        <w:t>设计技术措施</w:t>
      </w:r>
      <w:r>
        <w:rPr>
          <w:rFonts w:hint="eastAsia" w:ascii="Times New Roman" w:cs="宋体"/>
          <w:color w:val="000000"/>
          <w:kern w:val="0"/>
          <w:sz w:val="24"/>
        </w:rPr>
        <w:t>：</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◇一般说明:</w:t>
      </w:r>
    </w:p>
    <w:p>
      <w:pPr>
        <w:snapToGrid w:val="0"/>
        <w:spacing w:line="360" w:lineRule="auto"/>
        <w:jc w:val="left"/>
        <w:rPr>
          <w:rFonts w:ascii="Times New Roman" w:cs="宋体"/>
          <w:color w:val="000000"/>
          <w:kern w:val="0"/>
          <w:sz w:val="24"/>
        </w:rPr>
      </w:pPr>
      <w:r>
        <w:rPr>
          <w:rFonts w:ascii="Times New Roman" w:cs="宋体"/>
          <w:color w:val="000000"/>
          <w:kern w:val="0"/>
          <w:sz w:val="24"/>
        </w:rPr>
        <w:t>为方便设计人员</w:t>
      </w:r>
      <w:r>
        <w:rPr>
          <w:rFonts w:hint="eastAsia" w:ascii="Times New Roman" w:cs="宋体"/>
          <w:color w:val="000000"/>
          <w:kern w:val="0"/>
          <w:sz w:val="24"/>
        </w:rPr>
        <w:t>更精准</w:t>
      </w:r>
      <w:r>
        <w:rPr>
          <w:rFonts w:ascii="Times New Roman" w:cs="宋体"/>
          <w:color w:val="000000"/>
          <w:kern w:val="0"/>
          <w:sz w:val="24"/>
        </w:rPr>
        <w:t>理解</w:t>
      </w:r>
      <w:r>
        <w:rPr>
          <w:rFonts w:hint="eastAsia" w:ascii="Times New Roman" w:cs="宋体"/>
          <w:color w:val="000000"/>
          <w:kern w:val="0"/>
          <w:sz w:val="24"/>
        </w:rPr>
        <w:t>专篇的填写目的与要求，本说明对专篇中列入的每项条款均以表格形式进行了说明。填写说明主要包含三部分内容，分别为：条文来源、依据材料、备注。其中：“条文来源”主要注明条款依据浙江省《绿色建筑设计标准》DB33/1092-20</w:t>
      </w:r>
      <w:r>
        <w:rPr>
          <w:rFonts w:ascii="Times New Roman" w:cs="宋体"/>
          <w:color w:val="000000"/>
          <w:kern w:val="0"/>
          <w:sz w:val="24"/>
        </w:rPr>
        <w:t>21</w:t>
      </w:r>
      <w:r>
        <w:rPr>
          <w:rFonts w:hint="eastAsia" w:ascii="Times New Roman" w:cs="宋体"/>
          <w:color w:val="000000"/>
          <w:kern w:val="0"/>
          <w:sz w:val="24"/>
        </w:rPr>
        <w:t>（</w:t>
      </w:r>
      <w:r>
        <w:rPr>
          <w:rFonts w:ascii="Times New Roman" w:cs="宋体"/>
          <w:color w:val="000000"/>
          <w:kern w:val="0"/>
          <w:sz w:val="24"/>
        </w:rPr>
        <w:t>以</w:t>
      </w:r>
      <w:r>
        <w:rPr>
          <w:rFonts w:hint="eastAsia" w:ascii="Times New Roman" w:cs="宋体"/>
          <w:color w:val="000000"/>
          <w:kern w:val="0"/>
          <w:sz w:val="24"/>
        </w:rPr>
        <w:t>下</w:t>
      </w:r>
      <w:r>
        <w:rPr>
          <w:rFonts w:ascii="Times New Roman" w:cs="宋体"/>
          <w:color w:val="000000"/>
          <w:kern w:val="0"/>
          <w:sz w:val="24"/>
        </w:rPr>
        <w:t>简称</w:t>
      </w:r>
      <w:r>
        <w:rPr>
          <w:rFonts w:hint="eastAsia" w:ascii="Times New Roman" w:cs="宋体"/>
          <w:color w:val="000000"/>
          <w:kern w:val="0"/>
          <w:sz w:val="24"/>
        </w:rPr>
        <w:t>“DB33/1092-20</w:t>
      </w:r>
      <w:r>
        <w:rPr>
          <w:rFonts w:ascii="Times New Roman" w:cs="宋体"/>
          <w:color w:val="000000"/>
          <w:kern w:val="0"/>
          <w:sz w:val="24"/>
        </w:rPr>
        <w:t>21</w:t>
      </w:r>
      <w:r>
        <w:rPr>
          <w:rFonts w:hint="eastAsia" w:ascii="Times New Roman" w:cs="宋体"/>
          <w:color w:val="000000"/>
          <w:kern w:val="0"/>
          <w:sz w:val="24"/>
        </w:rPr>
        <w:t>”）和</w:t>
      </w:r>
      <w:r>
        <w:rPr>
          <w:rFonts w:ascii="Times New Roman" w:cs="宋体"/>
          <w:color w:val="000000"/>
          <w:kern w:val="0"/>
          <w:sz w:val="24"/>
        </w:rPr>
        <w:t>国家标准</w:t>
      </w:r>
      <w:r>
        <w:rPr>
          <w:rFonts w:hint="eastAsia" w:ascii="Times New Roman" w:cs="宋体"/>
          <w:color w:val="000000"/>
          <w:kern w:val="0"/>
          <w:sz w:val="24"/>
        </w:rPr>
        <w:t>《绿色建筑评价</w:t>
      </w:r>
      <w:r>
        <w:rPr>
          <w:rFonts w:ascii="Times New Roman" w:cs="宋体"/>
          <w:color w:val="000000"/>
          <w:kern w:val="0"/>
          <w:sz w:val="24"/>
        </w:rPr>
        <w:t>标准</w:t>
      </w:r>
      <w:r>
        <w:rPr>
          <w:rFonts w:hint="eastAsia" w:ascii="Times New Roman" w:cs="宋体"/>
          <w:color w:val="000000"/>
          <w:kern w:val="0"/>
          <w:sz w:val="24"/>
        </w:rPr>
        <w:t>》GB/T50378-201</w:t>
      </w:r>
      <w:r>
        <w:rPr>
          <w:rFonts w:ascii="Times New Roman" w:cs="宋体"/>
          <w:color w:val="000000"/>
          <w:kern w:val="0"/>
          <w:sz w:val="24"/>
        </w:rPr>
        <w:t>9</w:t>
      </w:r>
      <w:r>
        <w:rPr>
          <w:rFonts w:hint="eastAsia" w:ascii="Times New Roman" w:cs="宋体"/>
          <w:color w:val="000000"/>
          <w:kern w:val="0"/>
          <w:sz w:val="24"/>
        </w:rPr>
        <w:t>（</w:t>
      </w:r>
      <w:r>
        <w:rPr>
          <w:rFonts w:ascii="Times New Roman" w:cs="宋体"/>
          <w:color w:val="000000"/>
          <w:kern w:val="0"/>
          <w:sz w:val="24"/>
        </w:rPr>
        <w:t>以下简称“</w:t>
      </w:r>
      <w:r>
        <w:rPr>
          <w:rFonts w:hint="eastAsia" w:ascii="Times New Roman" w:cs="宋体"/>
          <w:color w:val="000000"/>
          <w:kern w:val="0"/>
          <w:sz w:val="24"/>
        </w:rPr>
        <w:t>GB/T50378-201</w:t>
      </w:r>
      <w:r>
        <w:rPr>
          <w:rFonts w:ascii="Times New Roman" w:cs="宋体"/>
          <w:color w:val="000000"/>
          <w:kern w:val="0"/>
          <w:sz w:val="24"/>
        </w:rPr>
        <w:t>9”</w:t>
      </w:r>
      <w:r>
        <w:rPr>
          <w:rFonts w:hint="eastAsia" w:ascii="Times New Roman" w:cs="宋体"/>
          <w:color w:val="000000"/>
          <w:kern w:val="0"/>
          <w:sz w:val="24"/>
        </w:rPr>
        <w:t>）的出处与条文编号；“依据材料”是明确</w:t>
      </w:r>
      <w:r>
        <w:rPr>
          <w:rFonts w:ascii="Times New Roman" w:cs="宋体"/>
          <w:color w:val="000000"/>
          <w:kern w:val="0"/>
          <w:sz w:val="24"/>
        </w:rPr>
        <w:t>设计人员</w:t>
      </w:r>
      <w:r>
        <w:rPr>
          <w:rFonts w:hint="eastAsia" w:ascii="Times New Roman" w:cs="宋体"/>
          <w:color w:val="000000"/>
          <w:kern w:val="0"/>
          <w:sz w:val="24"/>
        </w:rPr>
        <w:t>填写各条款时，所</w:t>
      </w:r>
      <w:r>
        <w:rPr>
          <w:rFonts w:ascii="Times New Roman" w:cs="宋体"/>
          <w:color w:val="000000"/>
          <w:kern w:val="0"/>
          <w:sz w:val="24"/>
        </w:rPr>
        <w:t>依据</w:t>
      </w:r>
      <w:r>
        <w:rPr>
          <w:rFonts w:hint="eastAsia" w:ascii="Times New Roman" w:cs="宋体"/>
          <w:color w:val="000000"/>
          <w:kern w:val="0"/>
          <w:sz w:val="24"/>
        </w:rPr>
        <w:t>的相应</w:t>
      </w:r>
      <w:r>
        <w:rPr>
          <w:rFonts w:ascii="Times New Roman" w:cs="宋体"/>
          <w:color w:val="000000"/>
          <w:kern w:val="0"/>
          <w:sz w:val="24"/>
        </w:rPr>
        <w:t>基础资料</w:t>
      </w:r>
      <w:r>
        <w:rPr>
          <w:rFonts w:hint="eastAsia" w:ascii="Times New Roman" w:cs="宋体"/>
          <w:color w:val="000000"/>
          <w:kern w:val="0"/>
          <w:sz w:val="24"/>
        </w:rPr>
        <w:t>、设计文件等相关内容；“备注”是指对条款需要注意与重点核查的内容进行详细说明，或对相关条文进行解释和补充。</w:t>
      </w:r>
    </w:p>
    <w:p>
      <w:pPr>
        <w:spacing w:line="240" w:lineRule="atLeast"/>
        <w:ind w:firstLine="525" w:firstLineChars="250"/>
        <w:rPr>
          <w:rFonts w:hAnsi="宋体"/>
          <w:szCs w:val="21"/>
        </w:rPr>
      </w:pPr>
    </w:p>
    <w:p>
      <w:pPr>
        <w:spacing w:line="240" w:lineRule="atLeast"/>
        <w:rPr>
          <w:rFonts w:hAnsi="宋体"/>
          <w:szCs w:val="21"/>
        </w:rPr>
      </w:pPr>
      <w:r>
        <w:rPr>
          <w:rFonts w:hint="eastAsia" w:hAnsi="宋体"/>
          <w:szCs w:val="21"/>
        </w:rPr>
        <w:t>◇条款说明：</w:t>
      </w:r>
    </w:p>
    <w:p>
      <w:pPr>
        <w:pStyle w:val="267"/>
        <w:numPr>
          <w:ilvl w:val="0"/>
          <w:numId w:val="42"/>
        </w:numPr>
        <w:ind w:firstLine="420"/>
      </w:pPr>
      <w:r>
        <w:rPr>
          <w:rFonts w:hint="eastAsia"/>
        </w:rPr>
        <w:t>总平面</w:t>
      </w:r>
      <w:r>
        <w:t>设计技术措施</w:t>
      </w:r>
      <w:r>
        <w:rPr>
          <w:rFonts w:hint="eastAsia"/>
        </w:rPr>
        <w:t>：</w:t>
      </w:r>
    </w:p>
    <w:p>
      <w:pPr>
        <w:pStyle w:val="17"/>
        <w:spacing w:line="360" w:lineRule="auto"/>
        <w:rPr>
          <w:rFonts w:hAnsi="宋体"/>
          <w:b/>
          <w:sz w:val="24"/>
        </w:rPr>
      </w:pPr>
      <w:r>
        <w:rPr>
          <w:rFonts w:hint="eastAsia" w:hAnsi="宋体"/>
          <w:b/>
          <w:sz w:val="24"/>
        </w:rPr>
        <w:t>控制项内容：</w:t>
      </w:r>
    </w:p>
    <w:p>
      <w:pPr>
        <w:pStyle w:val="17"/>
        <w:spacing w:line="360" w:lineRule="auto"/>
        <w:rPr>
          <w:rFonts w:asciiTheme="minorEastAsia" w:hAnsiTheme="minorEastAsia" w:eastAsiaTheme="minorEastAsia"/>
          <w:sz w:val="24"/>
        </w:rPr>
      </w:pPr>
      <w:r>
        <w:rPr>
          <w:rFonts w:asciiTheme="minorEastAsia" w:hAnsiTheme="minorEastAsia" w:eastAsiaTheme="minorEastAsia"/>
          <w:bCs/>
          <w:sz w:val="24"/>
        </w:rPr>
        <w:t>1.场地的规划设计符合项目所在地城乡规划的要求</w:t>
      </w:r>
      <w:r>
        <w:rPr>
          <w:rFonts w:hint="eastAsia" w:asciiTheme="minorEastAsia" w:hAnsiTheme="minorEastAsia" w:eastAsiaTheme="minorEastAsia"/>
          <w:bCs/>
          <w:sz w:val="24"/>
        </w:rPr>
        <w:t>，节约集约利用土地，合理控制场地开发强度，</w:t>
      </w:r>
      <w:r>
        <w:rPr>
          <w:rFonts w:hint="eastAsia" w:asciiTheme="minorEastAsia" w:hAnsiTheme="minorEastAsia" w:eastAsiaTheme="minorEastAsia"/>
          <w:sz w:val="24"/>
        </w:rPr>
        <w:t>建筑规划布局符合国家和地方现行日照标准的规定，且不降低周边建筑的日照标准。</w:t>
      </w:r>
    </w:p>
    <w:tbl>
      <w:tblPr>
        <w:tblStyle w:val="45"/>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447"/>
        <w:gridCol w:w="1984"/>
        <w:gridCol w:w="3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vMerge w:val="restart"/>
          </w:tcPr>
          <w:p>
            <w:pPr>
              <w:pStyle w:val="84"/>
              <w:spacing w:line="360" w:lineRule="auto"/>
              <w:rPr>
                <w:sz w:val="24"/>
              </w:rPr>
            </w:pPr>
            <w:r>
              <w:rPr>
                <w:rFonts w:hint="eastAsia"/>
                <w:sz w:val="24"/>
              </w:rPr>
              <w:t>条文来源</w:t>
            </w:r>
          </w:p>
        </w:tc>
        <w:tc>
          <w:tcPr>
            <w:tcW w:w="2447" w:type="dxa"/>
            <w:vAlign w:val="center"/>
          </w:tcPr>
          <w:p>
            <w:pPr>
              <w:pStyle w:val="84"/>
              <w:spacing w:line="360" w:lineRule="auto"/>
              <w:rPr>
                <w:sz w:val="24"/>
              </w:rPr>
            </w:pPr>
            <w:r>
              <w:rPr>
                <w:rFonts w:hint="eastAsia"/>
                <w:sz w:val="24"/>
              </w:rPr>
              <w:t>GB/T 50378-201</w:t>
            </w:r>
            <w:r>
              <w:rPr>
                <w:sz w:val="24"/>
              </w:rPr>
              <w:t>9</w:t>
            </w:r>
          </w:p>
        </w:tc>
        <w:tc>
          <w:tcPr>
            <w:tcW w:w="1984" w:type="dxa"/>
          </w:tcPr>
          <w:p>
            <w:pPr>
              <w:pStyle w:val="84"/>
              <w:spacing w:line="360" w:lineRule="auto"/>
              <w:rPr>
                <w:sz w:val="24"/>
              </w:rPr>
            </w:pPr>
            <w:r>
              <w:rPr>
                <w:sz w:val="24"/>
              </w:rPr>
              <w:t>8.1.1</w:t>
            </w:r>
            <w:r>
              <w:rPr>
                <w:rFonts w:hint="eastAsia"/>
                <w:sz w:val="24"/>
              </w:rPr>
              <w:t xml:space="preserve">条 </w:t>
            </w:r>
          </w:p>
        </w:tc>
        <w:tc>
          <w:tcPr>
            <w:tcW w:w="3544" w:type="dxa"/>
            <w:vAlign w:val="center"/>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347" w:type="dxa"/>
            <w:vMerge w:val="continue"/>
          </w:tcPr>
          <w:p>
            <w:pPr>
              <w:pStyle w:val="84"/>
              <w:spacing w:line="360" w:lineRule="auto"/>
              <w:rPr>
                <w:sz w:val="24"/>
              </w:rPr>
            </w:pPr>
          </w:p>
        </w:tc>
        <w:tc>
          <w:tcPr>
            <w:tcW w:w="2447" w:type="dxa"/>
            <w:vMerge w:val="restart"/>
            <w:vAlign w:val="center"/>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984" w:type="dxa"/>
          </w:tcPr>
          <w:p>
            <w:pPr>
              <w:pStyle w:val="84"/>
              <w:spacing w:line="360" w:lineRule="auto"/>
              <w:rPr>
                <w:sz w:val="24"/>
                <w:lang w:eastAsia="zh-Hans"/>
              </w:rPr>
            </w:pPr>
            <w:r>
              <w:rPr>
                <w:rFonts w:hint="eastAsia"/>
                <w:sz w:val="24"/>
              </w:rPr>
              <w:t>4.1.</w:t>
            </w:r>
            <w:r>
              <w:rPr>
                <w:sz w:val="24"/>
              </w:rPr>
              <w:t>1</w:t>
            </w:r>
            <w:r>
              <w:rPr>
                <w:rFonts w:hint="eastAsia"/>
                <w:sz w:val="24"/>
              </w:rPr>
              <w:t>条</w:t>
            </w:r>
          </w:p>
        </w:tc>
        <w:tc>
          <w:tcPr>
            <w:tcW w:w="3544" w:type="dxa"/>
            <w:vMerge w:val="restart"/>
            <w:vAlign w:val="center"/>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347" w:type="dxa"/>
            <w:vMerge w:val="continue"/>
          </w:tcPr>
          <w:p>
            <w:pPr>
              <w:pStyle w:val="84"/>
              <w:spacing w:line="360" w:lineRule="auto"/>
              <w:rPr>
                <w:sz w:val="24"/>
              </w:rPr>
            </w:pPr>
          </w:p>
        </w:tc>
        <w:tc>
          <w:tcPr>
            <w:tcW w:w="2447" w:type="dxa"/>
            <w:vMerge w:val="continue"/>
          </w:tcPr>
          <w:p>
            <w:pPr>
              <w:pStyle w:val="84"/>
              <w:spacing w:line="360" w:lineRule="auto"/>
              <w:rPr>
                <w:sz w:val="24"/>
              </w:rPr>
            </w:pPr>
          </w:p>
        </w:tc>
        <w:tc>
          <w:tcPr>
            <w:tcW w:w="1984" w:type="dxa"/>
          </w:tcPr>
          <w:p>
            <w:pPr>
              <w:pStyle w:val="84"/>
              <w:spacing w:line="360" w:lineRule="auto"/>
              <w:rPr>
                <w:sz w:val="24"/>
                <w:lang w:eastAsia="zh-Hans"/>
              </w:rPr>
            </w:pPr>
            <w:r>
              <w:rPr>
                <w:sz w:val="24"/>
              </w:rPr>
              <w:t>4.1.2</w:t>
            </w:r>
            <w:r>
              <w:rPr>
                <w:rFonts w:hint="eastAsia"/>
                <w:sz w:val="24"/>
                <w:lang w:eastAsia="zh-Hans"/>
              </w:rPr>
              <w:t>条</w:t>
            </w:r>
          </w:p>
        </w:tc>
        <w:tc>
          <w:tcPr>
            <w:tcW w:w="3544" w:type="dxa"/>
            <w:vMerge w:val="continue"/>
          </w:tcPr>
          <w:p>
            <w:pPr>
              <w:pStyle w:val="84"/>
              <w:spacing w:line="360" w:lineRule="auto"/>
              <w:rPr>
                <w:sz w:val="24"/>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jc w:val="center"/>
        </w:trPr>
        <w:tc>
          <w:tcPr>
            <w:tcW w:w="1347" w:type="dxa"/>
            <w:vMerge w:val="continue"/>
          </w:tcPr>
          <w:p>
            <w:pPr>
              <w:pStyle w:val="84"/>
              <w:spacing w:line="360" w:lineRule="auto"/>
              <w:rPr>
                <w:sz w:val="24"/>
              </w:rPr>
            </w:pPr>
          </w:p>
        </w:tc>
        <w:tc>
          <w:tcPr>
            <w:tcW w:w="2447" w:type="dxa"/>
            <w:vMerge w:val="continue"/>
          </w:tcPr>
          <w:p>
            <w:pPr>
              <w:pStyle w:val="84"/>
              <w:spacing w:line="360" w:lineRule="auto"/>
              <w:rPr>
                <w:sz w:val="24"/>
              </w:rPr>
            </w:pPr>
          </w:p>
        </w:tc>
        <w:tc>
          <w:tcPr>
            <w:tcW w:w="1984" w:type="dxa"/>
          </w:tcPr>
          <w:p>
            <w:pPr>
              <w:pStyle w:val="84"/>
              <w:spacing w:line="360" w:lineRule="auto"/>
              <w:rPr>
                <w:sz w:val="24"/>
                <w:lang w:eastAsia="zh-Hans"/>
              </w:rPr>
            </w:pPr>
            <w:r>
              <w:rPr>
                <w:sz w:val="24"/>
                <w:lang w:eastAsia="zh-Hans"/>
              </w:rPr>
              <w:t>4.1.6</w:t>
            </w:r>
            <w:r>
              <w:rPr>
                <w:rFonts w:hint="eastAsia"/>
                <w:sz w:val="24"/>
                <w:lang w:eastAsia="zh-Hans"/>
              </w:rPr>
              <w:t>条</w:t>
            </w:r>
          </w:p>
        </w:tc>
        <w:tc>
          <w:tcPr>
            <w:tcW w:w="3544" w:type="dxa"/>
            <w:vMerge w:val="continue"/>
          </w:tcPr>
          <w:p>
            <w:pPr>
              <w:pStyle w:val="84"/>
              <w:spacing w:line="360" w:lineRule="auto"/>
              <w:rPr>
                <w:sz w:val="24"/>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pStyle w:val="84"/>
              <w:spacing w:line="360" w:lineRule="auto"/>
              <w:rPr>
                <w:sz w:val="24"/>
              </w:rPr>
            </w:pPr>
            <w:r>
              <w:rPr>
                <w:rFonts w:hint="eastAsia"/>
                <w:sz w:val="24"/>
              </w:rPr>
              <w:t>依据材料</w:t>
            </w:r>
          </w:p>
        </w:tc>
        <w:tc>
          <w:tcPr>
            <w:tcW w:w="7975" w:type="dxa"/>
            <w:gridSpan w:val="3"/>
          </w:tcPr>
          <w:p>
            <w:pPr>
              <w:pStyle w:val="84"/>
              <w:spacing w:line="360" w:lineRule="auto"/>
              <w:ind w:firstLine="480" w:firstLineChars="200"/>
              <w:jc w:val="left"/>
              <w:rPr>
                <w:sz w:val="24"/>
              </w:rPr>
            </w:pPr>
            <w:r>
              <w:rPr>
                <w:rFonts w:hint="eastAsia"/>
                <w:sz w:val="24"/>
              </w:rPr>
              <w:t>设计人员根据项目的规划批复文件（建设工程规划许可证、建设用地规划许可证）、总平面设计图、</w:t>
            </w:r>
            <w:r>
              <w:rPr>
                <w:rFonts w:hint="eastAsia"/>
                <w:sz w:val="24"/>
                <w:lang w:eastAsia="zh-Hans"/>
              </w:rPr>
              <w:t>日照</w:t>
            </w:r>
            <w:r>
              <w:rPr>
                <w:rFonts w:hint="eastAsia"/>
                <w:sz w:val="24"/>
              </w:rPr>
              <w:t>模拟</w:t>
            </w:r>
            <w:r>
              <w:rPr>
                <w:rFonts w:hint="eastAsia"/>
                <w:sz w:val="24"/>
                <w:lang w:eastAsia="zh-Hans"/>
              </w:rPr>
              <w:t>分析报告</w:t>
            </w:r>
            <w:r>
              <w:rPr>
                <w:rFonts w:hint="eastAsia"/>
                <w:sz w:val="24"/>
              </w:rPr>
              <w:t>（注明遮挡建筑和被遮挡建筑），</w:t>
            </w:r>
            <w:r>
              <w:rPr>
                <w:rFonts w:hint="eastAsia"/>
                <w:sz w:val="24"/>
                <w:lang w:eastAsia="zh-Hans"/>
              </w:rPr>
              <w:t>依据项目实际情况分析是否满足规划要求和日照标准。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pStyle w:val="84"/>
              <w:spacing w:line="360" w:lineRule="auto"/>
              <w:rPr>
                <w:sz w:val="24"/>
              </w:rPr>
            </w:pPr>
            <w:r>
              <w:rPr>
                <w:rFonts w:hint="eastAsia"/>
                <w:sz w:val="24"/>
              </w:rPr>
              <w:t>备注</w:t>
            </w:r>
          </w:p>
        </w:tc>
        <w:tc>
          <w:tcPr>
            <w:tcW w:w="7975" w:type="dxa"/>
            <w:gridSpan w:val="3"/>
          </w:tcPr>
          <w:p>
            <w:pPr>
              <w:pStyle w:val="84"/>
              <w:spacing w:line="360" w:lineRule="auto"/>
              <w:ind w:firstLine="480" w:firstLineChars="200"/>
              <w:jc w:val="left"/>
              <w:rPr>
                <w:sz w:val="24"/>
                <w:lang w:eastAsia="zh-Hans"/>
              </w:rPr>
            </w:pPr>
            <w:r>
              <w:rPr>
                <w:rFonts w:hint="eastAsia"/>
                <w:sz w:val="24"/>
                <w:lang w:eastAsia="zh-Hans"/>
              </w:rPr>
              <w:t>《城乡规划法》第二条明确：“本法所称城乡规划，包括 城镇体系规划、城市规划、镇规划、乡规划和村庄规划”；第四十 二条规定：“城市规划主管部门不得在城乡规划确定的建设用地范 围以外作出规划许可”。因此，任何建设项目的规划设计必须符合所在地的城乡规划。</w:t>
            </w:r>
          </w:p>
          <w:p>
            <w:pPr>
              <w:pStyle w:val="84"/>
              <w:spacing w:line="360" w:lineRule="auto"/>
              <w:ind w:firstLine="480" w:firstLineChars="200"/>
              <w:jc w:val="left"/>
              <w:rPr>
                <w:sz w:val="24"/>
                <w:lang w:eastAsia="zh-Hans"/>
              </w:rPr>
            </w:pPr>
            <w:r>
              <w:rPr>
                <w:rFonts w:hint="eastAsia"/>
                <w:sz w:val="24"/>
                <w:lang w:eastAsia="zh-Hans"/>
              </w:rPr>
              <w:t>场地资源包括自然资源、生物资源、市政基础设施和公共 服务设施等。自然资源包括地形地貌、地表水体、表层土壤、雨水、地下水、地下空间等。环境承载力是指在某一时空条件下， 区域生态系统所能承受的人类活动的阈值。场地资源利用强度应小于或等于环境承载力。土地的不合理利用导致土地资源的浪费，为了促进土地资源的节约和集约利用，鼓励提高场地的空间利用效率，可采取适当开发地下空间、充分利用绿地等开放空间滞蓄、渗透和净化雨水等方式，提高土地空间利用效率。浙江省的可建设用地中，低丘缓坡占一定的比例，在此类用地的开发建设中，应对地形地貌的保护给予充分的重视。</w:t>
            </w:r>
          </w:p>
          <w:p>
            <w:pPr>
              <w:pStyle w:val="84"/>
              <w:spacing w:line="360" w:lineRule="auto"/>
              <w:ind w:firstLine="480" w:firstLineChars="200"/>
              <w:jc w:val="left"/>
              <w:rPr>
                <w:sz w:val="24"/>
                <w:lang w:eastAsia="zh-Hans"/>
              </w:rPr>
            </w:pPr>
            <w:r>
              <w:rPr>
                <w:rFonts w:hint="eastAsia"/>
                <w:sz w:val="24"/>
                <w:lang w:eastAsia="zh-Hans"/>
              </w:rPr>
              <w:t>建筑室内的空气质量与日照环境密切相关，日照环境直接影响居住者身心健康和居住生活质量。我国对居住建筑以及幼儿园、医院、疗养院等公共建筑都制定有相应的国家标准或行业标准，对其日照、消防、防灾、视觉卫生等提出了相应的技术要求，直接影响着建筑布局、间距和设计。 “建筑规划布局应符合国家和地方现行日照标准的规定”包括两个方面： 首先，要求本项目所有建筑都满足有关日照标准。其次，还应兼顾周边，如周边建筑在本项目建设前满足日照 标准的，应保证其在本项目建设后仍符合相关日照标准的要求；如周边建筑在本项目建设前未满足日照标准的，本项目建设后不可再降低其原有的日照水平。</w:t>
            </w:r>
          </w:p>
        </w:tc>
      </w:tr>
    </w:tbl>
    <w:p>
      <w:pPr>
        <w:pStyle w:val="17"/>
        <w:spacing w:line="360" w:lineRule="auto"/>
        <w:rPr>
          <w:rFonts w:asciiTheme="minorEastAsia" w:hAnsiTheme="minorEastAsia" w:eastAsiaTheme="minorEastAsia"/>
          <w:sz w:val="24"/>
        </w:rPr>
      </w:pPr>
      <w:r>
        <w:rPr>
          <w:rFonts w:hint="eastAsia" w:asciiTheme="minorEastAsia" w:hAnsiTheme="minorEastAsia" w:eastAsiaTheme="minorEastAsia"/>
          <w:sz w:val="24"/>
        </w:rPr>
        <w:t>2</w:t>
      </w:r>
      <w:r>
        <w:rPr>
          <w:rFonts w:asciiTheme="minorEastAsia" w:hAnsiTheme="minorEastAsia" w:eastAsiaTheme="minorEastAsia"/>
          <w:sz w:val="24"/>
        </w:rPr>
        <w:t>.场地避开滑坡、泥石流等地质危险地段、避开不利于建筑抗震和容易产生风切变的地段，易发生洪涝地区有可靠的防洪涝基础设施；场地无危险化学品、易燃易爆危险源的威胁，无电磁辐射、含氡土壤的危害；场地内无排放超标的污染源。</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447"/>
        <w:gridCol w:w="2268"/>
        <w:gridCol w:w="32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447" w:type="dxa"/>
            <w:vMerge w:val="restart"/>
            <w:vAlign w:val="center"/>
          </w:tcPr>
          <w:p>
            <w:pPr>
              <w:pStyle w:val="84"/>
              <w:spacing w:line="360" w:lineRule="auto"/>
              <w:rPr>
                <w:sz w:val="24"/>
              </w:rPr>
            </w:pPr>
            <w:r>
              <w:rPr>
                <w:rFonts w:hint="eastAsia"/>
                <w:sz w:val="24"/>
              </w:rPr>
              <w:t>GB/T 50378-201</w:t>
            </w:r>
            <w:r>
              <w:rPr>
                <w:sz w:val="24"/>
              </w:rPr>
              <w:t>9</w:t>
            </w:r>
          </w:p>
        </w:tc>
        <w:tc>
          <w:tcPr>
            <w:tcW w:w="2268" w:type="dxa"/>
          </w:tcPr>
          <w:p>
            <w:pPr>
              <w:pStyle w:val="84"/>
              <w:spacing w:line="360" w:lineRule="auto"/>
              <w:rPr>
                <w:sz w:val="24"/>
              </w:rPr>
            </w:pPr>
            <w:r>
              <w:rPr>
                <w:sz w:val="24"/>
              </w:rPr>
              <w:t>4.1.1</w:t>
            </w:r>
            <w:r>
              <w:rPr>
                <w:rFonts w:hint="eastAsia"/>
                <w:sz w:val="24"/>
              </w:rPr>
              <w:t xml:space="preserve">条 </w:t>
            </w:r>
          </w:p>
        </w:tc>
        <w:tc>
          <w:tcPr>
            <w:tcW w:w="3260" w:type="dxa"/>
            <w:vMerge w:val="restart"/>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pStyle w:val="84"/>
              <w:spacing w:line="360" w:lineRule="auto"/>
              <w:rPr>
                <w:sz w:val="24"/>
              </w:rPr>
            </w:pPr>
          </w:p>
        </w:tc>
        <w:tc>
          <w:tcPr>
            <w:tcW w:w="2447" w:type="dxa"/>
            <w:vMerge w:val="continue"/>
            <w:vAlign w:val="center"/>
          </w:tcPr>
          <w:p>
            <w:pPr>
              <w:pStyle w:val="84"/>
              <w:spacing w:line="360" w:lineRule="auto"/>
              <w:rPr>
                <w:sz w:val="24"/>
              </w:rPr>
            </w:pPr>
          </w:p>
        </w:tc>
        <w:tc>
          <w:tcPr>
            <w:tcW w:w="2268" w:type="dxa"/>
          </w:tcPr>
          <w:p>
            <w:pPr>
              <w:pStyle w:val="84"/>
              <w:spacing w:line="360" w:lineRule="auto"/>
              <w:rPr>
                <w:sz w:val="24"/>
              </w:rPr>
            </w:pPr>
            <w:r>
              <w:rPr>
                <w:sz w:val="24"/>
              </w:rPr>
              <w:t>8.1.6</w:t>
            </w:r>
            <w:r>
              <w:rPr>
                <w:rFonts w:hint="eastAsia"/>
                <w:sz w:val="24"/>
                <w:lang w:eastAsia="zh-Hans"/>
              </w:rPr>
              <w:t>条</w:t>
            </w:r>
          </w:p>
        </w:tc>
        <w:tc>
          <w:tcPr>
            <w:tcW w:w="3260" w:type="dxa"/>
            <w:vMerge w:val="continue"/>
          </w:tcPr>
          <w:p>
            <w:pPr>
              <w:pStyle w:val="84"/>
              <w:spacing w:line="360" w:lineRule="auto"/>
              <w:rPr>
                <w:sz w:val="24"/>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447" w:type="dxa"/>
            <w:vMerge w:val="restart"/>
            <w:vAlign w:val="center"/>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2268" w:type="dxa"/>
          </w:tcPr>
          <w:p>
            <w:pPr>
              <w:pStyle w:val="84"/>
              <w:spacing w:line="360" w:lineRule="auto"/>
              <w:rPr>
                <w:sz w:val="24"/>
              </w:rPr>
            </w:pPr>
            <w:r>
              <w:rPr>
                <w:rFonts w:hint="eastAsia"/>
                <w:sz w:val="24"/>
              </w:rPr>
              <w:t>4.1.</w:t>
            </w:r>
            <w:r>
              <w:rPr>
                <w:sz w:val="24"/>
              </w:rPr>
              <w:t>7</w:t>
            </w:r>
            <w:r>
              <w:rPr>
                <w:rFonts w:hint="eastAsia"/>
                <w:sz w:val="24"/>
              </w:rPr>
              <w:t>条</w:t>
            </w:r>
          </w:p>
        </w:tc>
        <w:tc>
          <w:tcPr>
            <w:tcW w:w="3260" w:type="dxa"/>
          </w:tcPr>
          <w:p>
            <w:pPr>
              <w:pStyle w:val="84"/>
              <w:spacing w:line="360" w:lineRule="auto"/>
              <w:rPr>
                <w:sz w:val="24"/>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447" w:type="dxa"/>
            <w:vMerge w:val="continue"/>
          </w:tcPr>
          <w:p>
            <w:pPr>
              <w:pStyle w:val="84"/>
              <w:spacing w:line="360" w:lineRule="auto"/>
              <w:rPr>
                <w:sz w:val="24"/>
              </w:rPr>
            </w:pPr>
          </w:p>
        </w:tc>
        <w:tc>
          <w:tcPr>
            <w:tcW w:w="2268" w:type="dxa"/>
          </w:tcPr>
          <w:p>
            <w:pPr>
              <w:pStyle w:val="84"/>
              <w:spacing w:line="360" w:lineRule="auto"/>
              <w:rPr>
                <w:sz w:val="24"/>
              </w:rPr>
            </w:pPr>
            <w:r>
              <w:rPr>
                <w:sz w:val="24"/>
              </w:rPr>
              <w:t>4.2.13</w:t>
            </w:r>
            <w:r>
              <w:rPr>
                <w:rFonts w:hint="eastAsia"/>
                <w:sz w:val="24"/>
                <w:lang w:eastAsia="zh-Hans"/>
              </w:rPr>
              <w:t>条</w:t>
            </w:r>
            <w:r>
              <w:rPr>
                <w:sz w:val="24"/>
              </w:rPr>
              <w:t>-1</w:t>
            </w:r>
          </w:p>
        </w:tc>
        <w:tc>
          <w:tcPr>
            <w:tcW w:w="3260" w:type="dxa"/>
          </w:tcPr>
          <w:p>
            <w:pPr>
              <w:pStyle w:val="84"/>
              <w:spacing w:line="360" w:lineRule="auto"/>
              <w:rPr>
                <w:sz w:val="24"/>
                <w:lang w:eastAsia="zh-Hans"/>
              </w:rPr>
            </w:pPr>
            <w:r>
              <w:rPr>
                <w:rFonts w:hint="eastAsia"/>
                <w:sz w:val="24"/>
                <w:lang w:eastAsia="zh-Hans"/>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7975" w:type="dxa"/>
            <w:gridSpan w:val="3"/>
          </w:tcPr>
          <w:p>
            <w:pPr>
              <w:pStyle w:val="84"/>
              <w:spacing w:line="360" w:lineRule="auto"/>
              <w:ind w:firstLine="480" w:firstLineChars="200"/>
              <w:jc w:val="left"/>
              <w:rPr>
                <w:sz w:val="24"/>
              </w:rPr>
            </w:pPr>
            <w:r>
              <w:rPr>
                <w:rFonts w:hint="eastAsia"/>
                <w:sz w:val="24"/>
              </w:rPr>
              <w:t>设计人员根据项目区位图、场地地形图、勘察报告、环评报告、相关检测报告或论证报告</w:t>
            </w:r>
            <w:r>
              <w:rPr>
                <w:rFonts w:hint="eastAsia"/>
                <w:sz w:val="24"/>
                <w:lang w:eastAsia="zh-Hans"/>
              </w:rPr>
              <w:t>，治理措施分析报告，确保场地符合各项安全标准。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7975" w:type="dxa"/>
            <w:gridSpan w:val="3"/>
          </w:tcPr>
          <w:p>
            <w:pPr>
              <w:pStyle w:val="84"/>
              <w:spacing w:line="360" w:lineRule="auto"/>
              <w:ind w:firstLine="480" w:firstLineChars="200"/>
              <w:jc w:val="left"/>
              <w:rPr>
                <w:sz w:val="24"/>
                <w:lang w:eastAsia="zh-Hans"/>
              </w:rPr>
            </w:pPr>
            <w:r>
              <w:rPr>
                <w:rFonts w:hint="eastAsia"/>
                <w:sz w:val="24"/>
                <w:lang w:eastAsia="zh-Hans"/>
              </w:rPr>
              <w:t>场地的防洪设计应符合现行国家标准《防洪标准》GB 50201及《城市防洪工程设计规范》GB/T 50805的规定；抗震防灾设计应符合现行国家标准《城市抗震防灾规划标准》GB 50413及《建 筑抗震设计规范》GB 50011的要求。风切变（Wind Shear）简单的定义是空间任意两点之间风向和风速的突然变化，属于气象学范畴的一种大气现象。除了大气运动本身的变化所造成的风切变外，地理、环境因素也容易造成 风切变，或由两者综合而成。这里的地理、环境因素主要是指山地地形、水陆界面、高大建筑物、成片树林以及其他自然的和人为的因素，这些因素也能引起风切变现象。风切变状况与当时的 盛行风状况（方向和大小）有关，也与山地地形的大小和复杂程度、场地迎风背风位置、水面的大小以及建筑场地离水面的距离、 建筑物的大小和外形等有关。一般当山地高差大、水域面积大、 建筑物高大时，不仅容易产生风切变，而且其强度也较大。</w:t>
            </w:r>
          </w:p>
          <w:p>
            <w:pPr>
              <w:pStyle w:val="84"/>
              <w:spacing w:line="360" w:lineRule="auto"/>
              <w:ind w:firstLine="480" w:firstLineChars="200"/>
              <w:jc w:val="left"/>
              <w:rPr>
                <w:sz w:val="24"/>
                <w:lang w:eastAsia="zh-Hans"/>
              </w:rPr>
            </w:pPr>
            <w:r>
              <w:rPr>
                <w:rFonts w:hint="eastAsia"/>
                <w:sz w:val="24"/>
                <w:lang w:eastAsia="zh-Hans"/>
              </w:rPr>
              <w:t>建筑场地内不应存在未达标排放或者超标排放的气态、 液态或固态的污染源，例如：易产生噪声的运动和营业场所，油烟未达标排放的厨房，煤气或工业废气超标排放的燃煤锅炉房， 污染物排放超标的垃圾堆等。若有污染源应积极采取相应的治理措施并达到无超标污染物排放的要求。</w:t>
            </w:r>
          </w:p>
        </w:tc>
      </w:tr>
    </w:tbl>
    <w:p>
      <w:pPr>
        <w:pStyle w:val="88"/>
        <w:numPr>
          <w:ilvl w:val="0"/>
          <w:numId w:val="0"/>
        </w:numPr>
        <w:spacing w:line="360" w:lineRule="auto"/>
        <w:rPr>
          <w:b/>
          <w:sz w:val="24"/>
          <w:szCs w:val="24"/>
        </w:rPr>
      </w:pPr>
      <w:r>
        <w:rPr>
          <w:rFonts w:hint="eastAsia"/>
          <w:b/>
          <w:sz w:val="24"/>
          <w:szCs w:val="24"/>
        </w:rPr>
        <w:t>一般项内容：</w:t>
      </w:r>
    </w:p>
    <w:p>
      <w:pPr>
        <w:pStyle w:val="88"/>
        <w:numPr>
          <w:ilvl w:val="0"/>
          <w:numId w:val="0"/>
        </w:numPr>
        <w:spacing w:line="360" w:lineRule="auto"/>
        <w:rPr>
          <w:sz w:val="24"/>
          <w:szCs w:val="24"/>
        </w:rPr>
      </w:pPr>
      <w:r>
        <w:rPr>
          <w:rFonts w:hint="eastAsia"/>
          <w:b/>
          <w:sz w:val="24"/>
          <w:szCs w:val="24"/>
        </w:rPr>
        <w:t>1</w:t>
      </w:r>
      <w:r>
        <w:rPr>
          <w:b/>
          <w:sz w:val="24"/>
          <w:szCs w:val="24"/>
        </w:rPr>
        <w:t>. 场地</w:t>
      </w:r>
      <w:r>
        <w:rPr>
          <w:rFonts w:hint="eastAsia"/>
          <w:b/>
          <w:sz w:val="24"/>
          <w:szCs w:val="24"/>
        </w:rPr>
        <w:t>规划与资源利用：</w:t>
      </w:r>
    </w:p>
    <w:p>
      <w:pPr>
        <w:pStyle w:val="88"/>
        <w:numPr>
          <w:ilvl w:val="0"/>
          <w:numId w:val="0"/>
        </w:numPr>
        <w:spacing w:line="360" w:lineRule="auto"/>
        <w:rPr>
          <w:rFonts w:asciiTheme="minorEastAsia" w:hAnsiTheme="minorEastAsia" w:eastAsiaTheme="minorEastAsia"/>
          <w:sz w:val="24"/>
          <w:szCs w:val="24"/>
        </w:rPr>
      </w:pPr>
      <w:r>
        <w:rPr>
          <w:rFonts w:hint="eastAsia"/>
          <w:sz w:val="24"/>
          <w:szCs w:val="24"/>
        </w:rPr>
        <w:t>1</w:t>
      </w:r>
      <w:r>
        <w:rPr>
          <w:sz w:val="24"/>
          <w:szCs w:val="24"/>
        </w:rPr>
        <w:t>.</w:t>
      </w:r>
      <w:r>
        <w:rPr>
          <w:rFonts w:hint="eastAsia"/>
          <w:sz w:val="24"/>
          <w:szCs w:val="24"/>
        </w:rPr>
        <w:t>1</w:t>
      </w:r>
      <w:r>
        <w:rPr>
          <w:sz w:val="24"/>
          <w:szCs w:val="24"/>
        </w:rPr>
        <w:t xml:space="preserve"> </w:t>
      </w:r>
      <w:r>
        <w:rPr>
          <w:rFonts w:hint="eastAsia"/>
          <w:sz w:val="24"/>
          <w:szCs w:val="24"/>
        </w:rPr>
        <w:t>建筑物的布局、形式、高度、体量、色调未对周边物理环境造成不良影响；</w:t>
      </w:r>
      <w:r>
        <w:rPr>
          <w:rFonts w:hint="eastAsia" w:asciiTheme="minorEastAsia" w:hAnsiTheme="minorEastAsia" w:eastAsiaTheme="minorEastAsia"/>
          <w:sz w:val="24"/>
          <w:szCs w:val="24"/>
        </w:rPr>
        <w:t>总平面设计考虑室外环境质量，优化建筑布局并进行场地环境生态补偿。</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447"/>
        <w:gridCol w:w="1417"/>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8"/>
              <w:widowControl w:val="0"/>
              <w:numPr>
                <w:ilvl w:val="0"/>
                <w:numId w:val="0"/>
              </w:numPr>
              <w:spacing w:line="360" w:lineRule="auto"/>
              <w:jc w:val="both"/>
              <w:rPr>
                <w:sz w:val="24"/>
                <w:szCs w:val="24"/>
              </w:rPr>
            </w:pPr>
            <w:r>
              <w:rPr>
                <w:rFonts w:hint="eastAsia"/>
                <w:sz w:val="24"/>
                <w:szCs w:val="24"/>
              </w:rPr>
              <w:t>条文来源</w:t>
            </w:r>
          </w:p>
        </w:tc>
        <w:tc>
          <w:tcPr>
            <w:tcW w:w="2447" w:type="dxa"/>
          </w:tcPr>
          <w:p>
            <w:pPr>
              <w:spacing w:line="360" w:lineRule="auto"/>
              <w:jc w:val="center"/>
              <w:rPr>
                <w:rFonts w:hAnsi="宋体"/>
                <w:sz w:val="24"/>
              </w:rPr>
            </w:pPr>
            <w:r>
              <w:rPr>
                <w:rFonts w:hint="eastAsia" w:hAnsi="宋体"/>
                <w:sz w:val="24"/>
              </w:rPr>
              <w:t>GB/T 50378-201</w:t>
            </w:r>
            <w:r>
              <w:rPr>
                <w:rFonts w:hAnsi="宋体"/>
                <w:sz w:val="24"/>
              </w:rPr>
              <w:t>9</w:t>
            </w:r>
          </w:p>
        </w:tc>
        <w:tc>
          <w:tcPr>
            <w:tcW w:w="1417" w:type="dxa"/>
          </w:tcPr>
          <w:p>
            <w:pPr>
              <w:spacing w:line="360" w:lineRule="auto"/>
              <w:jc w:val="center"/>
              <w:rPr>
                <w:rFonts w:hAnsi="宋体"/>
                <w:sz w:val="24"/>
              </w:rPr>
            </w:pPr>
            <w:r>
              <w:rPr>
                <w:rFonts w:hAnsi="宋体"/>
                <w:sz w:val="24"/>
              </w:rPr>
              <w:t>1.0.4</w:t>
            </w:r>
            <w:r>
              <w:rPr>
                <w:rFonts w:hint="eastAsia" w:hAnsi="宋体"/>
                <w:sz w:val="24"/>
              </w:rPr>
              <w:t>条</w:t>
            </w:r>
          </w:p>
        </w:tc>
        <w:tc>
          <w:tcPr>
            <w:tcW w:w="4111" w:type="dxa"/>
          </w:tcPr>
          <w:p>
            <w:pPr>
              <w:spacing w:line="360" w:lineRule="auto"/>
              <w:jc w:val="center"/>
              <w:rPr>
                <w:rFonts w:hAnsi="宋体"/>
                <w:sz w:val="24"/>
              </w:rPr>
            </w:pPr>
            <w:r>
              <w:rPr>
                <w:rFonts w:hint="eastAsia" w:hAnsi="宋体"/>
                <w:sz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447" w:type="dxa"/>
          </w:tcPr>
          <w:p>
            <w:pPr>
              <w:spacing w:line="360" w:lineRule="auto"/>
              <w:jc w:val="center"/>
              <w:rPr>
                <w:rFonts w:hAnsi="宋体"/>
                <w:sz w:val="24"/>
              </w:rPr>
            </w:pPr>
            <w:r>
              <w:rPr>
                <w:rFonts w:hint="eastAsia" w:hAnsi="宋体"/>
                <w:sz w:val="24"/>
              </w:rPr>
              <w:t>DB 33/1092-</w:t>
            </w:r>
            <w:r>
              <w:rPr>
                <w:rFonts w:hAnsi="宋体"/>
                <w:sz w:val="24"/>
              </w:rPr>
              <w:t>2021</w:t>
            </w:r>
          </w:p>
        </w:tc>
        <w:tc>
          <w:tcPr>
            <w:tcW w:w="1417" w:type="dxa"/>
          </w:tcPr>
          <w:p>
            <w:pPr>
              <w:spacing w:line="360" w:lineRule="auto"/>
              <w:jc w:val="center"/>
              <w:rPr>
                <w:rFonts w:hAnsi="宋体"/>
                <w:sz w:val="24"/>
              </w:rPr>
            </w:pPr>
            <w:r>
              <w:rPr>
                <w:rFonts w:hint="eastAsia" w:hAnsi="宋体"/>
                <w:sz w:val="24"/>
              </w:rPr>
              <w:t>4.1.</w:t>
            </w:r>
            <w:r>
              <w:rPr>
                <w:rFonts w:hAnsi="宋体"/>
                <w:sz w:val="24"/>
              </w:rPr>
              <w:t>4</w:t>
            </w:r>
            <w:r>
              <w:rPr>
                <w:rFonts w:hint="eastAsia" w:hAnsi="宋体"/>
                <w:sz w:val="24"/>
              </w:rPr>
              <w:t>条</w:t>
            </w:r>
          </w:p>
        </w:tc>
        <w:tc>
          <w:tcPr>
            <w:tcW w:w="4111" w:type="dxa"/>
          </w:tcPr>
          <w:p>
            <w:pPr>
              <w:spacing w:line="360" w:lineRule="auto"/>
              <w:jc w:val="center"/>
              <w:rPr>
                <w:rFonts w:hAnsi="宋体"/>
                <w:sz w:val="24"/>
              </w:rPr>
            </w:pPr>
            <w:r>
              <w:rPr>
                <w:rFonts w:hint="eastAsia" w:hAnsi="宋体"/>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依据材料</w:t>
            </w:r>
          </w:p>
        </w:tc>
        <w:tc>
          <w:tcPr>
            <w:tcW w:w="7975" w:type="dxa"/>
            <w:gridSpan w:val="3"/>
          </w:tcPr>
          <w:p>
            <w:pPr>
              <w:pStyle w:val="17"/>
              <w:spacing w:line="360" w:lineRule="auto"/>
              <w:ind w:firstLine="480" w:firstLineChars="200"/>
              <w:rPr>
                <w:rFonts w:hAnsi="宋体"/>
                <w:sz w:val="24"/>
              </w:rPr>
            </w:pPr>
            <w:r>
              <w:rPr>
                <w:rFonts w:hint="eastAsia" w:hAnsi="宋体"/>
                <w:sz w:val="24"/>
              </w:rPr>
              <w:t>设计人员根据项目的规划条件、周边用地现状图、建筑专业施工图、效果图，依据项目实际情况是否对周边物理环境有良影响，当有造成不良影响的情况时，应对采取的补偿措施进行阐述。如有幕墙设计的，则需根据幕墙专业设计图纸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975" w:type="dxa"/>
            <w:gridSpan w:val="3"/>
          </w:tcPr>
          <w:p>
            <w:pPr>
              <w:pStyle w:val="17"/>
              <w:spacing w:line="360" w:lineRule="auto"/>
              <w:ind w:firstLine="480" w:firstLineChars="200"/>
              <w:rPr>
                <w:rFonts w:hAnsi="宋体"/>
                <w:sz w:val="24"/>
              </w:rPr>
            </w:pPr>
            <w:r>
              <w:rPr>
                <w:rFonts w:hint="eastAsia" w:hAnsi="宋体"/>
                <w:sz w:val="24"/>
              </w:rPr>
              <w:t>当建筑施工图有幕墙设计而未同步出图时，应在建筑施工图总说明中对玻璃幕墙反射比、立面窗墙比等控制数据阐述。</w:t>
            </w:r>
          </w:p>
          <w:p>
            <w:pPr>
              <w:autoSpaceDE w:val="0"/>
              <w:autoSpaceDN w:val="0"/>
              <w:adjustRightInd w:val="0"/>
              <w:spacing w:line="360" w:lineRule="auto"/>
              <w:ind w:firstLine="480" w:firstLineChars="200"/>
              <w:jc w:val="left"/>
              <w:rPr>
                <w:rFonts w:hAnsi="宋体"/>
                <w:sz w:val="24"/>
              </w:rPr>
            </w:pPr>
            <w:r>
              <w:rPr>
                <w:rFonts w:hint="eastAsia" w:hAnsi="宋体"/>
                <w:sz w:val="24"/>
              </w:rPr>
              <w:t>建筑应当扎根于当地传统和文化。绿色建筑重视场地周边的文化传统与居民的生活模式，形态、尺度、色彩及空间层次方面充分考虑到周边文化传统与社交模式，并有利于社区文化的形成。建筑与场地元素形态上避免过于突兀，尺度适宜，注重质感与细部，空间层次上创造多样性与有效联系。同时，提倡项目规划纳入周围居民与社会团体的意见。</w:t>
            </w:r>
          </w:p>
          <w:p>
            <w:pPr>
              <w:pStyle w:val="17"/>
              <w:spacing w:line="360" w:lineRule="auto"/>
              <w:ind w:firstLine="480" w:firstLineChars="200"/>
              <w:rPr>
                <w:rFonts w:hAnsi="宋体"/>
                <w:sz w:val="24"/>
              </w:rPr>
            </w:pPr>
            <w:r>
              <w:rPr>
                <w:rFonts w:hint="eastAsia" w:hAnsi="宋体"/>
                <w:sz w:val="24"/>
              </w:rPr>
              <w:t>建筑物布局应与场地周围环境与城市空间肌理相协调，并创造积极的外部空间：当场地内有重要遗迹或自然景观时，应精心配置与之协调的建筑。建筑物的形态应与周边建筑群天际线相协调；从尺度、材料、色彩、组织结构及空间层次等方面人手，把外部空间当作无顶建筑来设计；采用对比手法时应审慎；建筑物的形态应与道路等公共空间相协调，面向主要街道的立面避免具有明显背立面特征；设计半室外空间或过渡空间使建筑与外部环境有效连接，有利于缓解环境对心理造成的冲击；优化建筑距离与高度的比值，创造具有适宜围合度和尺度感的外部空间；考虑从周边眺望点观看时的建筑视觉感；当屋顶设有突出建筑物的大型设备时，应考虑周围观看点处的建筑视觉感；公共空地、外部设施与临近空地之间应具有连续性，应考虑在不同季节、气候使用的方便和舒适性。</w:t>
            </w:r>
          </w:p>
        </w:tc>
      </w:tr>
    </w:tbl>
    <w:p>
      <w:pPr>
        <w:pStyle w:val="88"/>
        <w:numPr>
          <w:ilvl w:val="0"/>
          <w:numId w:val="0"/>
        </w:numPr>
        <w:spacing w:line="360" w:lineRule="auto"/>
        <w:rPr>
          <w:sz w:val="24"/>
          <w:szCs w:val="24"/>
        </w:rPr>
      </w:pPr>
      <w:r>
        <w:rPr>
          <w:rFonts w:hint="eastAsia"/>
          <w:sz w:val="24"/>
          <w:szCs w:val="24"/>
        </w:rPr>
        <w:t>1</w:t>
      </w:r>
      <w:r>
        <w:rPr>
          <w:sz w:val="24"/>
          <w:szCs w:val="24"/>
        </w:rPr>
        <w:t>.</w:t>
      </w:r>
      <w:r>
        <w:rPr>
          <w:rFonts w:hint="eastAsia"/>
          <w:sz w:val="24"/>
          <w:szCs w:val="24"/>
        </w:rPr>
        <w:t>2生活垃圾分类收集，垃圾容器和收集点的设置合理并与周围景观协调；</w:t>
      </w:r>
      <w:r>
        <w:rPr>
          <w:sz w:val="24"/>
          <w:szCs w:val="24"/>
        </w:rPr>
        <w:t xml:space="preserve"> </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1701"/>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spacing w:line="360" w:lineRule="auto"/>
              <w:rPr>
                <w:rFonts w:hAnsi="宋体"/>
                <w:sz w:val="24"/>
              </w:rPr>
            </w:pPr>
            <w:r>
              <w:rPr>
                <w:rFonts w:hint="eastAsia" w:hAnsi="宋体"/>
                <w:sz w:val="24"/>
              </w:rPr>
              <w:t>条文来源</w:t>
            </w:r>
          </w:p>
        </w:tc>
        <w:tc>
          <w:tcPr>
            <w:tcW w:w="2305" w:type="dxa"/>
          </w:tcPr>
          <w:p>
            <w:pPr>
              <w:spacing w:line="360" w:lineRule="auto"/>
              <w:jc w:val="center"/>
              <w:rPr>
                <w:rFonts w:hAnsi="宋体"/>
                <w:sz w:val="24"/>
              </w:rPr>
            </w:pPr>
            <w:r>
              <w:rPr>
                <w:rFonts w:hint="eastAsia" w:hAnsi="宋体"/>
                <w:sz w:val="24"/>
              </w:rPr>
              <w:t>GB/T 50378-201</w:t>
            </w:r>
            <w:r>
              <w:rPr>
                <w:rFonts w:hAnsi="宋体"/>
                <w:sz w:val="24"/>
              </w:rPr>
              <w:t>9</w:t>
            </w:r>
          </w:p>
        </w:tc>
        <w:tc>
          <w:tcPr>
            <w:tcW w:w="1701" w:type="dxa"/>
          </w:tcPr>
          <w:p>
            <w:pPr>
              <w:spacing w:line="360" w:lineRule="auto"/>
              <w:jc w:val="center"/>
              <w:rPr>
                <w:rFonts w:hAnsi="宋体"/>
                <w:sz w:val="24"/>
              </w:rPr>
            </w:pPr>
            <w:r>
              <w:rPr>
                <w:rFonts w:hint="eastAsia" w:hAnsi="宋体"/>
                <w:sz w:val="24"/>
              </w:rPr>
              <w:t>8</w:t>
            </w:r>
            <w:r>
              <w:rPr>
                <w:rFonts w:hAnsi="宋体"/>
                <w:sz w:val="24"/>
              </w:rPr>
              <w:t>.1.7</w:t>
            </w:r>
            <w:r>
              <w:rPr>
                <w:rFonts w:hint="eastAsia" w:hAnsi="宋体"/>
                <w:sz w:val="24"/>
              </w:rPr>
              <w:t>条</w:t>
            </w:r>
          </w:p>
        </w:tc>
        <w:tc>
          <w:tcPr>
            <w:tcW w:w="3969" w:type="dxa"/>
          </w:tcPr>
          <w:p>
            <w:pPr>
              <w:spacing w:line="360" w:lineRule="auto"/>
              <w:jc w:val="center"/>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305" w:type="dxa"/>
          </w:tcPr>
          <w:p>
            <w:pPr>
              <w:spacing w:line="360" w:lineRule="auto"/>
              <w:jc w:val="center"/>
              <w:rPr>
                <w:rFonts w:hAnsi="宋体"/>
                <w:sz w:val="24"/>
              </w:rPr>
            </w:pPr>
            <w:r>
              <w:rPr>
                <w:rFonts w:hint="eastAsia" w:hAnsi="宋体"/>
                <w:sz w:val="24"/>
              </w:rPr>
              <w:t>DB 33/1092-</w:t>
            </w:r>
            <w:r>
              <w:rPr>
                <w:rFonts w:hAnsi="宋体"/>
                <w:sz w:val="24"/>
              </w:rPr>
              <w:t>2021</w:t>
            </w:r>
          </w:p>
        </w:tc>
        <w:tc>
          <w:tcPr>
            <w:tcW w:w="1701" w:type="dxa"/>
          </w:tcPr>
          <w:p>
            <w:pPr>
              <w:spacing w:line="360" w:lineRule="auto"/>
              <w:jc w:val="center"/>
              <w:rPr>
                <w:rFonts w:hAnsi="宋体"/>
                <w:sz w:val="24"/>
              </w:rPr>
            </w:pPr>
            <w:r>
              <w:rPr>
                <w:rFonts w:hint="eastAsia" w:hAnsi="宋体"/>
                <w:sz w:val="24"/>
              </w:rPr>
              <w:t>4.</w:t>
            </w:r>
            <w:r>
              <w:rPr>
                <w:rFonts w:hAnsi="宋体"/>
                <w:sz w:val="24"/>
              </w:rPr>
              <w:t>2.14</w:t>
            </w:r>
            <w:r>
              <w:rPr>
                <w:rFonts w:hint="eastAsia" w:hAnsi="宋体"/>
                <w:sz w:val="24"/>
              </w:rPr>
              <w:t>条</w:t>
            </w:r>
          </w:p>
        </w:tc>
        <w:tc>
          <w:tcPr>
            <w:tcW w:w="3969" w:type="dxa"/>
          </w:tcPr>
          <w:p>
            <w:pPr>
              <w:spacing w:line="360" w:lineRule="auto"/>
              <w:jc w:val="center"/>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依据材料</w:t>
            </w:r>
          </w:p>
        </w:tc>
        <w:tc>
          <w:tcPr>
            <w:tcW w:w="7975" w:type="dxa"/>
            <w:gridSpan w:val="3"/>
          </w:tcPr>
          <w:p>
            <w:pPr>
              <w:pStyle w:val="17"/>
              <w:spacing w:line="360" w:lineRule="auto"/>
              <w:ind w:firstLine="480" w:firstLineChars="200"/>
              <w:rPr>
                <w:rFonts w:hAnsi="宋体"/>
                <w:sz w:val="24"/>
              </w:rPr>
            </w:pPr>
            <w:r>
              <w:rPr>
                <w:rFonts w:hint="eastAsia" w:hAnsi="宋体"/>
                <w:sz w:val="24"/>
              </w:rPr>
              <w:t>设计人员根据相关设计文件、垃圾收集设施布置图，以及根据实际情况，填写此项内容。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975" w:type="dxa"/>
            <w:gridSpan w:val="3"/>
          </w:tcPr>
          <w:p>
            <w:pPr>
              <w:pStyle w:val="17"/>
              <w:spacing w:line="360" w:lineRule="auto"/>
              <w:ind w:firstLine="480" w:firstLineChars="200"/>
              <w:rPr>
                <w:rFonts w:hAnsi="宋体"/>
                <w:sz w:val="24"/>
              </w:rPr>
            </w:pPr>
            <w:r>
              <w:rPr>
                <w:rFonts w:hAnsi="宋体"/>
                <w:sz w:val="24"/>
              </w:rPr>
              <w:t>场地设计时应根据垃圾产生量和种类合理设置垃圾分类收集设 施，其中有害垃圾必须单独收集、单独清运。垃圾收集设施规格和位 置应符合国家有关标准的规定，其数量、外观色彩及标志应符合垃圾 分类收集的要求，并置于隐蔽、避风处，与周围景观相协调。垃圾收集设施应坚固耐用，防止垃圾无序倾倒和露天堆放。 同时，在垃圾容器和收集点布置时，重视垃圾容器和收集点的环 境卫生与景观美化问题，做到密闭并相对位置固定，如果按规划需配 垃圾收集站，应能具备定期冲洗，消杀条件，并能及时做到密闭清运。</w:t>
            </w:r>
          </w:p>
        </w:tc>
      </w:tr>
    </w:tbl>
    <w:p>
      <w:pPr>
        <w:spacing w:before="109" w:beforeLines="35" w:after="109" w:afterLines="35" w:line="360" w:lineRule="auto"/>
        <w:rPr>
          <w:rFonts w:hAnsi="宋体"/>
          <w:sz w:val="24"/>
        </w:rPr>
      </w:pPr>
      <w:r>
        <w:rPr>
          <w:rFonts w:hint="eastAsia" w:hAnsi="宋体"/>
          <w:sz w:val="24"/>
        </w:rPr>
        <w:t>1</w:t>
      </w:r>
      <w:r>
        <w:rPr>
          <w:rFonts w:hAnsi="宋体"/>
          <w:sz w:val="24"/>
        </w:rPr>
        <w:t xml:space="preserve">.3 </w:t>
      </w:r>
      <w:r>
        <w:rPr>
          <w:rFonts w:hint="eastAsia" w:hAnsi="宋体"/>
          <w:sz w:val="24"/>
        </w:rPr>
        <w:t>利用场地内的可再生能源及类型；</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1843"/>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spacing w:line="360" w:lineRule="auto"/>
              <w:rPr>
                <w:rFonts w:hAnsi="宋体"/>
                <w:sz w:val="24"/>
              </w:rPr>
            </w:pPr>
            <w:r>
              <w:rPr>
                <w:rFonts w:hint="eastAsia" w:hAnsi="宋体"/>
                <w:sz w:val="24"/>
              </w:rPr>
              <w:t>条文来源</w:t>
            </w:r>
          </w:p>
        </w:tc>
        <w:tc>
          <w:tcPr>
            <w:tcW w:w="2305" w:type="dxa"/>
          </w:tcPr>
          <w:p>
            <w:pPr>
              <w:spacing w:line="360" w:lineRule="auto"/>
              <w:jc w:val="center"/>
              <w:rPr>
                <w:rFonts w:hAnsi="宋体"/>
                <w:sz w:val="24"/>
              </w:rPr>
            </w:pPr>
            <w:r>
              <w:rPr>
                <w:rFonts w:hint="eastAsia" w:hAnsi="宋体"/>
                <w:sz w:val="24"/>
              </w:rPr>
              <w:t>GB/T 50378-201</w:t>
            </w:r>
            <w:r>
              <w:rPr>
                <w:rFonts w:hAnsi="宋体"/>
                <w:sz w:val="24"/>
              </w:rPr>
              <w:t>9</w:t>
            </w:r>
          </w:p>
        </w:tc>
        <w:tc>
          <w:tcPr>
            <w:tcW w:w="1843" w:type="dxa"/>
          </w:tcPr>
          <w:p>
            <w:pPr>
              <w:spacing w:line="360" w:lineRule="auto"/>
              <w:jc w:val="center"/>
              <w:rPr>
                <w:rFonts w:hAnsi="宋体"/>
                <w:sz w:val="24"/>
              </w:rPr>
            </w:pPr>
            <w:r>
              <w:rPr>
                <w:rFonts w:hAnsi="宋体"/>
                <w:sz w:val="24"/>
              </w:rPr>
              <w:t>7.2.9</w:t>
            </w:r>
            <w:r>
              <w:rPr>
                <w:rFonts w:hint="eastAsia" w:hAnsi="宋体"/>
                <w:sz w:val="24"/>
              </w:rPr>
              <w:t>条</w:t>
            </w:r>
          </w:p>
        </w:tc>
        <w:tc>
          <w:tcPr>
            <w:tcW w:w="3827" w:type="dxa"/>
          </w:tcPr>
          <w:p>
            <w:pPr>
              <w:spacing w:line="360" w:lineRule="auto"/>
              <w:jc w:val="center"/>
              <w:rPr>
                <w:rFonts w:hAnsi="宋体"/>
                <w:sz w:val="24"/>
              </w:rPr>
            </w:pPr>
            <w:r>
              <w:rPr>
                <w:rFonts w:hint="eastAsia" w:hAnsi="宋体"/>
                <w:sz w:val="24"/>
              </w:rPr>
              <w:t>1</w:t>
            </w:r>
            <w:r>
              <w:rPr>
                <w:rFonts w:hAnsi="宋体"/>
                <w:sz w:val="24"/>
              </w:rPr>
              <w:t>0</w:t>
            </w:r>
            <w:r>
              <w:rPr>
                <w:rFonts w:hint="eastAsia"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305" w:type="dxa"/>
          </w:tcPr>
          <w:p>
            <w:pPr>
              <w:spacing w:line="360" w:lineRule="auto"/>
              <w:jc w:val="center"/>
              <w:rPr>
                <w:rFonts w:hAnsi="宋体"/>
                <w:sz w:val="24"/>
              </w:rPr>
            </w:pPr>
            <w:r>
              <w:rPr>
                <w:rFonts w:hint="eastAsia" w:hAnsi="宋体"/>
                <w:sz w:val="24"/>
              </w:rPr>
              <w:t>DB 33/1092-</w:t>
            </w:r>
            <w:r>
              <w:rPr>
                <w:rFonts w:hAnsi="宋体"/>
                <w:sz w:val="24"/>
              </w:rPr>
              <w:t>2021</w:t>
            </w:r>
          </w:p>
        </w:tc>
        <w:tc>
          <w:tcPr>
            <w:tcW w:w="1843" w:type="dxa"/>
          </w:tcPr>
          <w:p>
            <w:pPr>
              <w:spacing w:line="360" w:lineRule="auto"/>
              <w:jc w:val="center"/>
              <w:rPr>
                <w:rFonts w:hAnsi="宋体"/>
                <w:sz w:val="24"/>
              </w:rPr>
            </w:pPr>
            <w:r>
              <w:rPr>
                <w:rFonts w:hint="eastAsia" w:hAnsi="宋体"/>
                <w:sz w:val="24"/>
              </w:rPr>
              <w:t>4.</w:t>
            </w:r>
            <w:r>
              <w:rPr>
                <w:rFonts w:hAnsi="宋体"/>
                <w:sz w:val="24"/>
              </w:rPr>
              <w:t>2.5</w:t>
            </w:r>
            <w:r>
              <w:rPr>
                <w:rFonts w:hint="eastAsia" w:hAnsi="宋体"/>
                <w:sz w:val="24"/>
              </w:rPr>
              <w:t>条</w:t>
            </w:r>
          </w:p>
        </w:tc>
        <w:tc>
          <w:tcPr>
            <w:tcW w:w="3827" w:type="dxa"/>
          </w:tcPr>
          <w:p>
            <w:pPr>
              <w:spacing w:line="360" w:lineRule="auto"/>
              <w:jc w:val="center"/>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依据材料</w:t>
            </w:r>
          </w:p>
        </w:tc>
        <w:tc>
          <w:tcPr>
            <w:tcW w:w="7975" w:type="dxa"/>
            <w:gridSpan w:val="3"/>
          </w:tcPr>
          <w:p>
            <w:pPr>
              <w:pStyle w:val="17"/>
              <w:spacing w:line="360" w:lineRule="auto"/>
              <w:ind w:firstLine="480" w:firstLineChars="200"/>
              <w:rPr>
                <w:rFonts w:hAnsi="宋体"/>
                <w:sz w:val="24"/>
              </w:rPr>
            </w:pPr>
            <w:r>
              <w:rPr>
                <w:rFonts w:hint="eastAsia" w:hAnsi="宋体"/>
                <w:sz w:val="24"/>
              </w:rPr>
              <w:t>设计人员根据可再生能源利用专项施工图、专项计算分析报告等；各设备专业的施工图；节能评估报告相关内容等，以及根据实际情况，填写此项内容。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975" w:type="dxa"/>
            <w:gridSpan w:val="3"/>
          </w:tcPr>
          <w:p>
            <w:pPr>
              <w:pStyle w:val="17"/>
              <w:spacing w:line="360" w:lineRule="auto"/>
              <w:ind w:firstLine="480" w:firstLineChars="200"/>
              <w:rPr>
                <w:rFonts w:hAnsi="宋体"/>
                <w:sz w:val="24"/>
              </w:rPr>
            </w:pPr>
            <w:r>
              <w:rPr>
                <w:rFonts w:hAnsi="宋体"/>
                <w:sz w:val="24"/>
              </w:rPr>
              <w:t>应对场地可利用的可再生能源进行勘查，包括太阳能、风能、地 下水、地源能等。应对资源分布状况和资源利用进行技术经济评价为</w:t>
            </w:r>
            <w:r>
              <w:rPr>
                <w:rFonts w:hint="eastAsia" w:hAnsi="宋体"/>
                <w:sz w:val="24"/>
              </w:rPr>
              <w:t>，</w:t>
            </w:r>
            <w:r>
              <w:rPr>
                <w:rFonts w:hAnsi="宋体"/>
                <w:sz w:val="24"/>
              </w:rPr>
              <w:t>充分利用可再生能源提供依据。利用地下水应通过政府相关部门的审批，应保持原有地下水的形 态和流向，不得过量使用地下水，避免造成地下水位下降或场地沉降。场地建筑规划设计，不仅应符合现行国家相关的日照标准要求，还应为太阳能热利用、光伏发电和光诱导提供有利条件。太阳能利用 应防止建筑物的相互遮挡、自遮挡、局部热环境和集热板或电池板表面积灰等因素对利用效率的影响。应对太阳能资源利用的适应性、季节平衡等进行定量评估</w:t>
            </w:r>
            <w:r>
              <w:rPr>
                <w:rFonts w:hint="eastAsia" w:hAnsi="宋体"/>
                <w:sz w:val="24"/>
              </w:rPr>
              <w:t>。</w:t>
            </w:r>
            <w:r>
              <w:rPr>
                <w:rFonts w:hAnsi="宋体"/>
                <w:sz w:val="24"/>
              </w:rPr>
              <w:t>利用风能发电时应进行风能利用评估，包括选择适宜的风能发电技术、评估对场地及周边声环境和生物生存环境的影响等。</w:t>
            </w:r>
          </w:p>
        </w:tc>
      </w:tr>
    </w:tbl>
    <w:p>
      <w:pPr>
        <w:pStyle w:val="88"/>
        <w:numPr>
          <w:ilvl w:val="1"/>
          <w:numId w:val="0"/>
        </w:numPr>
        <w:spacing w:line="360" w:lineRule="auto"/>
        <w:rPr>
          <w:sz w:val="24"/>
          <w:szCs w:val="24"/>
        </w:rPr>
      </w:pPr>
      <w:r>
        <w:rPr>
          <w:rFonts w:hint="eastAsia"/>
          <w:sz w:val="24"/>
          <w:szCs w:val="24"/>
        </w:rPr>
        <w:t xml:space="preserve">1.4地下室：地下室层数；地下室面积；  </w:t>
      </w:r>
    </w:p>
    <w:p>
      <w:pPr>
        <w:pStyle w:val="88"/>
        <w:numPr>
          <w:ilvl w:val="0"/>
          <w:numId w:val="0"/>
        </w:numPr>
        <w:spacing w:line="360" w:lineRule="auto"/>
        <w:rPr>
          <w:sz w:val="24"/>
          <w:szCs w:val="24"/>
        </w:rPr>
      </w:pPr>
      <w:r>
        <w:rPr>
          <w:rFonts w:hint="eastAsia"/>
          <w:sz w:val="24"/>
          <w:szCs w:val="24"/>
        </w:rPr>
        <w:t>1.5地下空间开发利用指标；</w:t>
      </w:r>
      <w:r>
        <w:rPr>
          <w:sz w:val="24"/>
          <w:szCs w:val="24"/>
        </w:rPr>
        <w:t xml:space="preserve"> </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1843"/>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spacing w:line="360" w:lineRule="auto"/>
              <w:rPr>
                <w:rFonts w:hAnsi="宋体"/>
                <w:sz w:val="24"/>
              </w:rPr>
            </w:pPr>
            <w:r>
              <w:rPr>
                <w:rFonts w:hint="eastAsia" w:hAnsi="宋体"/>
                <w:sz w:val="24"/>
              </w:rPr>
              <w:t>条文来源</w:t>
            </w:r>
          </w:p>
        </w:tc>
        <w:tc>
          <w:tcPr>
            <w:tcW w:w="2305" w:type="dxa"/>
            <w:vMerge w:val="restart"/>
          </w:tcPr>
          <w:p>
            <w:pPr>
              <w:spacing w:line="360" w:lineRule="auto"/>
              <w:jc w:val="center"/>
              <w:rPr>
                <w:rFonts w:hAnsi="宋体"/>
                <w:sz w:val="24"/>
              </w:rPr>
            </w:pPr>
            <w:r>
              <w:rPr>
                <w:rFonts w:hint="eastAsia" w:hAnsi="宋体"/>
                <w:sz w:val="24"/>
              </w:rPr>
              <w:t>GB/T 50378-201</w:t>
            </w:r>
            <w:r>
              <w:rPr>
                <w:rFonts w:hAnsi="宋体"/>
                <w:sz w:val="24"/>
              </w:rPr>
              <w:t>9</w:t>
            </w:r>
          </w:p>
        </w:tc>
        <w:tc>
          <w:tcPr>
            <w:tcW w:w="1843" w:type="dxa"/>
            <w:vMerge w:val="restart"/>
          </w:tcPr>
          <w:p>
            <w:pPr>
              <w:spacing w:line="360" w:lineRule="auto"/>
              <w:jc w:val="center"/>
              <w:rPr>
                <w:rFonts w:hAnsi="宋体"/>
                <w:sz w:val="24"/>
              </w:rPr>
            </w:pPr>
            <w:r>
              <w:rPr>
                <w:rFonts w:hint="eastAsia" w:hAnsi="宋体"/>
                <w:sz w:val="24"/>
              </w:rPr>
              <w:t>7</w:t>
            </w:r>
            <w:r>
              <w:rPr>
                <w:rFonts w:hAnsi="宋体"/>
                <w:sz w:val="24"/>
              </w:rPr>
              <w:t>.2.2</w:t>
            </w:r>
            <w:r>
              <w:rPr>
                <w:rFonts w:hint="eastAsia" w:hAnsi="宋体"/>
                <w:sz w:val="24"/>
              </w:rPr>
              <w:t>条</w:t>
            </w:r>
          </w:p>
        </w:tc>
        <w:tc>
          <w:tcPr>
            <w:tcW w:w="3827" w:type="dxa"/>
          </w:tcPr>
          <w:p>
            <w:pPr>
              <w:spacing w:line="360" w:lineRule="auto"/>
              <w:jc w:val="center"/>
              <w:rPr>
                <w:rFonts w:hAnsi="宋体"/>
                <w:sz w:val="24"/>
              </w:rPr>
            </w:pPr>
            <w:r>
              <w:rPr>
                <w:rFonts w:hAnsi="宋体"/>
                <w:sz w:val="24"/>
              </w:rPr>
              <w:t>5%</w:t>
            </w:r>
            <w:r>
              <w:rPr>
                <w:rFonts w:hint="eastAsia" w:hAnsi="宋体"/>
                <w:sz w:val="24"/>
              </w:rPr>
              <w:t>≤</w:t>
            </w:r>
            <w:r>
              <w:rPr>
                <w:rFonts w:hAnsi="宋体"/>
                <w:sz w:val="24"/>
              </w:rPr>
              <w:t>R</w:t>
            </w:r>
            <w:r>
              <w:rPr>
                <w:rFonts w:hint="eastAsia" w:hAnsi="宋体"/>
                <w:sz w:val="24"/>
                <w:vertAlign w:val="subscript"/>
              </w:rPr>
              <w:t>r</w:t>
            </w:r>
            <w:r>
              <w:rPr>
                <w:rFonts w:hint="eastAsia" w:hAnsi="宋体"/>
                <w:sz w:val="24"/>
              </w:rPr>
              <w:t>＜</w:t>
            </w:r>
            <w:r>
              <w:rPr>
                <w:rFonts w:hAnsi="宋体"/>
                <w:sz w:val="24"/>
              </w:rPr>
              <w:t>70</w:t>
            </w:r>
            <w:r>
              <w:rPr>
                <w:rFonts w:hint="eastAsia" w:hAnsi="宋体"/>
                <w:sz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spacing w:line="360" w:lineRule="auto"/>
              <w:rPr>
                <w:rFonts w:hAnsi="宋体"/>
                <w:sz w:val="24"/>
              </w:rPr>
            </w:pPr>
          </w:p>
        </w:tc>
        <w:tc>
          <w:tcPr>
            <w:tcW w:w="2305" w:type="dxa"/>
            <w:vMerge w:val="continue"/>
          </w:tcPr>
          <w:p>
            <w:pPr>
              <w:spacing w:line="360" w:lineRule="auto"/>
              <w:jc w:val="center"/>
              <w:rPr>
                <w:rFonts w:hAnsi="宋体"/>
                <w:sz w:val="24"/>
              </w:rPr>
            </w:pPr>
          </w:p>
        </w:tc>
        <w:tc>
          <w:tcPr>
            <w:tcW w:w="1843" w:type="dxa"/>
            <w:vMerge w:val="continue"/>
          </w:tcPr>
          <w:p>
            <w:pPr>
              <w:spacing w:line="360" w:lineRule="auto"/>
              <w:jc w:val="center"/>
              <w:rPr>
                <w:rFonts w:hAnsi="宋体"/>
                <w:sz w:val="24"/>
              </w:rPr>
            </w:pPr>
          </w:p>
        </w:tc>
        <w:tc>
          <w:tcPr>
            <w:tcW w:w="3827" w:type="dxa"/>
          </w:tcPr>
          <w:p>
            <w:pPr>
              <w:spacing w:line="360" w:lineRule="auto"/>
              <w:jc w:val="center"/>
              <w:rPr>
                <w:rFonts w:hAnsi="宋体"/>
                <w:sz w:val="24"/>
              </w:rPr>
            </w:pPr>
            <w:r>
              <w:rPr>
                <w:rFonts w:hAnsi="宋体"/>
                <w:sz w:val="24"/>
              </w:rPr>
              <w:t>R</w:t>
            </w:r>
            <w:r>
              <w:rPr>
                <w:rFonts w:hint="eastAsia" w:hAnsi="宋体"/>
                <w:sz w:val="24"/>
                <w:vertAlign w:val="subscript"/>
              </w:rPr>
              <w:t>r</w:t>
            </w:r>
            <w:r>
              <w:rPr>
                <w:rFonts w:hint="eastAsia" w:hAnsi="宋体"/>
                <w:sz w:val="24"/>
              </w:rPr>
              <w:t>≥</w:t>
            </w:r>
            <w:r>
              <w:rPr>
                <w:rFonts w:hAnsi="宋体"/>
                <w:sz w:val="24"/>
              </w:rPr>
              <w:t>20</w:t>
            </w:r>
            <w:r>
              <w:rPr>
                <w:rFonts w:hint="eastAsia" w:hAnsi="宋体"/>
                <w:sz w:val="24"/>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spacing w:line="360" w:lineRule="auto"/>
              <w:rPr>
                <w:rFonts w:hAnsi="宋体"/>
                <w:sz w:val="24"/>
              </w:rPr>
            </w:pPr>
          </w:p>
        </w:tc>
        <w:tc>
          <w:tcPr>
            <w:tcW w:w="2305" w:type="dxa"/>
            <w:vMerge w:val="continue"/>
          </w:tcPr>
          <w:p>
            <w:pPr>
              <w:spacing w:line="360" w:lineRule="auto"/>
              <w:jc w:val="center"/>
              <w:rPr>
                <w:rFonts w:hAnsi="宋体"/>
                <w:sz w:val="24"/>
              </w:rPr>
            </w:pPr>
          </w:p>
        </w:tc>
        <w:tc>
          <w:tcPr>
            <w:tcW w:w="1843" w:type="dxa"/>
            <w:vMerge w:val="continue"/>
          </w:tcPr>
          <w:p>
            <w:pPr>
              <w:spacing w:line="360" w:lineRule="auto"/>
              <w:jc w:val="center"/>
              <w:rPr>
                <w:rFonts w:hAnsi="宋体"/>
                <w:sz w:val="24"/>
              </w:rPr>
            </w:pPr>
          </w:p>
        </w:tc>
        <w:tc>
          <w:tcPr>
            <w:tcW w:w="3827" w:type="dxa"/>
          </w:tcPr>
          <w:p>
            <w:pPr>
              <w:spacing w:line="360" w:lineRule="auto"/>
              <w:jc w:val="center"/>
              <w:rPr>
                <w:rFonts w:hAnsi="宋体"/>
                <w:sz w:val="24"/>
              </w:rPr>
            </w:pPr>
            <w:r>
              <w:rPr>
                <w:rFonts w:hAnsi="宋体"/>
                <w:sz w:val="24"/>
              </w:rPr>
              <w:t>R</w:t>
            </w:r>
            <w:r>
              <w:rPr>
                <w:rFonts w:hint="eastAsia" w:hAnsi="宋体"/>
                <w:sz w:val="24"/>
                <w:vertAlign w:val="subscript"/>
              </w:rPr>
              <w:t>r</w:t>
            </w:r>
            <w:r>
              <w:rPr>
                <w:rFonts w:hint="eastAsia" w:hAnsi="宋体"/>
                <w:sz w:val="24"/>
              </w:rPr>
              <w:t>≥</w:t>
            </w:r>
            <w:r>
              <w:rPr>
                <w:rFonts w:hAnsi="宋体"/>
                <w:sz w:val="24"/>
              </w:rPr>
              <w:t>35</w:t>
            </w:r>
            <w:r>
              <w:rPr>
                <w:rFonts w:hint="eastAsia" w:hAnsi="宋体"/>
                <w:sz w:val="24"/>
              </w:rPr>
              <w:t>%且</w:t>
            </w:r>
            <w:r>
              <w:rPr>
                <w:rFonts w:hAnsi="宋体"/>
                <w:sz w:val="24"/>
              </w:rPr>
              <w:t>R</w:t>
            </w:r>
            <w:r>
              <w:rPr>
                <w:rFonts w:hint="eastAsia" w:hAnsi="宋体"/>
                <w:sz w:val="24"/>
                <w:vertAlign w:val="subscript"/>
              </w:rPr>
              <w:t>p</w:t>
            </w:r>
            <w:r>
              <w:rPr>
                <w:rFonts w:hint="eastAsia" w:hAnsi="宋体"/>
                <w:sz w:val="24"/>
              </w:rPr>
              <w:t>＜</w:t>
            </w:r>
            <w:r>
              <w:rPr>
                <w:rFonts w:hAnsi="宋体"/>
                <w:sz w:val="24"/>
              </w:rPr>
              <w:t>60</w:t>
            </w:r>
            <w:r>
              <w:rPr>
                <w:rFonts w:hint="eastAsia" w:hAnsi="宋体"/>
                <w:sz w:val="24"/>
              </w:rPr>
              <w:t>%，</w:t>
            </w:r>
            <w:r>
              <w:rPr>
                <w:rFonts w:hAnsi="宋体"/>
                <w:sz w:val="24"/>
              </w:rPr>
              <w:t>12</w:t>
            </w:r>
            <w:r>
              <w:rPr>
                <w:rFonts w:hint="eastAsia"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vMerge w:val="continue"/>
          </w:tcPr>
          <w:p>
            <w:pPr>
              <w:spacing w:line="360" w:lineRule="auto"/>
              <w:rPr>
                <w:rFonts w:hAnsi="宋体"/>
                <w:sz w:val="24"/>
              </w:rPr>
            </w:pPr>
          </w:p>
        </w:tc>
        <w:tc>
          <w:tcPr>
            <w:tcW w:w="2305" w:type="dxa"/>
            <w:vMerge w:val="restart"/>
          </w:tcPr>
          <w:p>
            <w:pPr>
              <w:spacing w:line="360" w:lineRule="auto"/>
              <w:jc w:val="center"/>
              <w:rPr>
                <w:rFonts w:hAnsi="宋体"/>
                <w:sz w:val="24"/>
              </w:rPr>
            </w:pPr>
            <w:r>
              <w:rPr>
                <w:rFonts w:hint="eastAsia" w:hAnsi="宋体"/>
                <w:sz w:val="24"/>
              </w:rPr>
              <w:t>DB 33/1092-</w:t>
            </w:r>
            <w:r>
              <w:rPr>
                <w:rFonts w:hAnsi="宋体"/>
                <w:sz w:val="24"/>
              </w:rPr>
              <w:t>2021</w:t>
            </w:r>
          </w:p>
        </w:tc>
        <w:tc>
          <w:tcPr>
            <w:tcW w:w="1843" w:type="dxa"/>
          </w:tcPr>
          <w:p>
            <w:pPr>
              <w:spacing w:line="360" w:lineRule="auto"/>
              <w:jc w:val="center"/>
              <w:rPr>
                <w:rFonts w:hAnsi="宋体"/>
                <w:sz w:val="24"/>
              </w:rPr>
            </w:pPr>
            <w:r>
              <w:rPr>
                <w:rFonts w:hAnsi="宋体"/>
                <w:sz w:val="24"/>
              </w:rPr>
              <w:t>3.0.10</w:t>
            </w:r>
            <w:r>
              <w:rPr>
                <w:rFonts w:hint="eastAsia" w:hAnsi="宋体"/>
                <w:sz w:val="24"/>
              </w:rPr>
              <w:t>条</w:t>
            </w:r>
          </w:p>
        </w:tc>
        <w:tc>
          <w:tcPr>
            <w:tcW w:w="3827" w:type="dxa"/>
          </w:tcPr>
          <w:p>
            <w:pPr>
              <w:spacing w:line="360" w:lineRule="auto"/>
              <w:jc w:val="center"/>
              <w:rPr>
                <w:rFonts w:hAnsi="宋体"/>
                <w:sz w:val="24"/>
              </w:rPr>
            </w:pPr>
            <w:r>
              <w:rPr>
                <w:rFonts w:hint="eastAsia" w:hAnsi="宋体"/>
                <w:sz w:val="24"/>
              </w:rPr>
              <w:t>基本规定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vMerge w:val="continue"/>
          </w:tcPr>
          <w:p>
            <w:pPr>
              <w:spacing w:line="360" w:lineRule="auto"/>
              <w:rPr>
                <w:rFonts w:hAnsi="宋体"/>
                <w:sz w:val="24"/>
              </w:rPr>
            </w:pPr>
          </w:p>
        </w:tc>
        <w:tc>
          <w:tcPr>
            <w:tcW w:w="2305" w:type="dxa"/>
            <w:vMerge w:val="continue"/>
          </w:tcPr>
          <w:p>
            <w:pPr>
              <w:spacing w:line="360" w:lineRule="auto"/>
              <w:jc w:val="center"/>
              <w:rPr>
                <w:rFonts w:hAnsi="宋体"/>
                <w:sz w:val="24"/>
              </w:rPr>
            </w:pPr>
          </w:p>
        </w:tc>
        <w:tc>
          <w:tcPr>
            <w:tcW w:w="1843" w:type="dxa"/>
          </w:tcPr>
          <w:p>
            <w:pPr>
              <w:spacing w:line="360" w:lineRule="auto"/>
              <w:jc w:val="center"/>
              <w:rPr>
                <w:rFonts w:hAnsi="宋体"/>
                <w:sz w:val="24"/>
              </w:rPr>
            </w:pPr>
            <w:r>
              <w:rPr>
                <w:rFonts w:hint="eastAsia" w:hAnsi="宋体"/>
                <w:sz w:val="24"/>
              </w:rPr>
              <w:t>4</w:t>
            </w:r>
            <w:r>
              <w:rPr>
                <w:rFonts w:hAnsi="宋体"/>
                <w:sz w:val="24"/>
              </w:rPr>
              <w:t>.2.4</w:t>
            </w:r>
            <w:r>
              <w:rPr>
                <w:rFonts w:hint="eastAsia" w:hAnsi="宋体"/>
                <w:sz w:val="24"/>
              </w:rPr>
              <w:t>条</w:t>
            </w:r>
          </w:p>
        </w:tc>
        <w:tc>
          <w:tcPr>
            <w:tcW w:w="3827" w:type="dxa"/>
          </w:tcPr>
          <w:p>
            <w:pPr>
              <w:spacing w:line="360" w:lineRule="auto"/>
              <w:jc w:val="center"/>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vMerge w:val="continue"/>
          </w:tcPr>
          <w:p>
            <w:pPr>
              <w:spacing w:line="360" w:lineRule="auto"/>
              <w:rPr>
                <w:rFonts w:hAnsi="宋体"/>
                <w:sz w:val="24"/>
              </w:rPr>
            </w:pPr>
          </w:p>
        </w:tc>
        <w:tc>
          <w:tcPr>
            <w:tcW w:w="2305" w:type="dxa"/>
            <w:vMerge w:val="continue"/>
          </w:tcPr>
          <w:p>
            <w:pPr>
              <w:spacing w:line="360" w:lineRule="auto"/>
              <w:jc w:val="center"/>
              <w:rPr>
                <w:rFonts w:hAnsi="宋体"/>
                <w:sz w:val="24"/>
              </w:rPr>
            </w:pPr>
          </w:p>
        </w:tc>
        <w:tc>
          <w:tcPr>
            <w:tcW w:w="1843" w:type="dxa"/>
          </w:tcPr>
          <w:p>
            <w:pPr>
              <w:spacing w:line="360" w:lineRule="auto"/>
              <w:jc w:val="center"/>
              <w:rPr>
                <w:rFonts w:hAnsi="宋体"/>
                <w:sz w:val="24"/>
              </w:rPr>
            </w:pPr>
            <w:r>
              <w:rPr>
                <w:rFonts w:hint="eastAsia" w:hAnsi="宋体"/>
                <w:sz w:val="24"/>
              </w:rPr>
              <w:t>4</w:t>
            </w:r>
            <w:r>
              <w:rPr>
                <w:rFonts w:hAnsi="宋体"/>
                <w:sz w:val="24"/>
              </w:rPr>
              <w:t>.3.2</w:t>
            </w:r>
            <w:r>
              <w:rPr>
                <w:rFonts w:hint="eastAsia" w:hAnsi="宋体"/>
                <w:sz w:val="24"/>
              </w:rPr>
              <w:t>条</w:t>
            </w:r>
          </w:p>
        </w:tc>
        <w:tc>
          <w:tcPr>
            <w:tcW w:w="3827" w:type="dxa"/>
          </w:tcPr>
          <w:p>
            <w:pPr>
              <w:spacing w:line="360" w:lineRule="auto"/>
              <w:jc w:val="center"/>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305" w:type="dxa"/>
            <w:vMerge w:val="continue"/>
          </w:tcPr>
          <w:p>
            <w:pPr>
              <w:spacing w:line="360" w:lineRule="auto"/>
              <w:jc w:val="center"/>
              <w:rPr>
                <w:rFonts w:hAnsi="宋体"/>
                <w:sz w:val="24"/>
              </w:rPr>
            </w:pPr>
          </w:p>
        </w:tc>
        <w:tc>
          <w:tcPr>
            <w:tcW w:w="1843" w:type="dxa"/>
          </w:tcPr>
          <w:p>
            <w:pPr>
              <w:spacing w:line="360" w:lineRule="auto"/>
              <w:jc w:val="center"/>
              <w:rPr>
                <w:rFonts w:hAnsi="宋体"/>
                <w:sz w:val="24"/>
              </w:rPr>
            </w:pPr>
            <w:r>
              <w:rPr>
                <w:rFonts w:hint="eastAsia" w:hAnsi="宋体"/>
                <w:sz w:val="24"/>
              </w:rPr>
              <w:t>4</w:t>
            </w:r>
            <w:r>
              <w:rPr>
                <w:rFonts w:hAnsi="宋体"/>
                <w:sz w:val="24"/>
              </w:rPr>
              <w:t>.4.2</w:t>
            </w:r>
            <w:r>
              <w:rPr>
                <w:rFonts w:hint="eastAsia" w:hAnsi="宋体"/>
                <w:sz w:val="24"/>
              </w:rPr>
              <w:t>条</w:t>
            </w:r>
          </w:p>
        </w:tc>
        <w:tc>
          <w:tcPr>
            <w:tcW w:w="3827" w:type="dxa"/>
          </w:tcPr>
          <w:p>
            <w:pPr>
              <w:spacing w:line="360" w:lineRule="auto"/>
              <w:jc w:val="center"/>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47" w:type="dxa"/>
          </w:tcPr>
          <w:p>
            <w:pPr>
              <w:spacing w:line="360" w:lineRule="auto"/>
              <w:rPr>
                <w:rFonts w:hAnsi="宋体"/>
                <w:sz w:val="24"/>
              </w:rPr>
            </w:pPr>
            <w:r>
              <w:rPr>
                <w:rFonts w:hint="eastAsia" w:hAnsi="宋体"/>
                <w:sz w:val="24"/>
              </w:rPr>
              <w:t>依据材料</w:t>
            </w:r>
          </w:p>
        </w:tc>
        <w:tc>
          <w:tcPr>
            <w:tcW w:w="7975" w:type="dxa"/>
            <w:gridSpan w:val="3"/>
          </w:tcPr>
          <w:p>
            <w:pPr>
              <w:pStyle w:val="17"/>
              <w:spacing w:line="360" w:lineRule="auto"/>
              <w:ind w:firstLine="480" w:firstLineChars="200"/>
              <w:rPr>
                <w:rFonts w:hAnsi="宋体"/>
                <w:sz w:val="24"/>
              </w:rPr>
            </w:pPr>
            <w:r>
              <w:rPr>
                <w:rFonts w:hint="eastAsia" w:hAnsi="宋体"/>
                <w:sz w:val="24"/>
              </w:rPr>
              <w:t>设计人员此条应根据项目用地实际进行填写：</w:t>
            </w:r>
          </w:p>
          <w:p>
            <w:pPr>
              <w:pStyle w:val="17"/>
              <w:spacing w:line="360" w:lineRule="auto"/>
              <w:ind w:firstLine="480" w:firstLineChars="200"/>
              <w:rPr>
                <w:rFonts w:hAnsi="宋体"/>
                <w:sz w:val="24"/>
              </w:rPr>
            </w:pPr>
            <w:r>
              <w:rPr>
                <w:rFonts w:hint="eastAsia" w:hAnsi="宋体"/>
                <w:sz w:val="24"/>
              </w:rPr>
              <w:t>数据来源：地下室图纸，面积指标，总平面等相关内容；并符合政府相关批复文件及规划指标要求。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975" w:type="dxa"/>
            <w:gridSpan w:val="3"/>
          </w:tcPr>
          <w:p>
            <w:pPr>
              <w:pStyle w:val="17"/>
              <w:spacing w:line="360" w:lineRule="auto"/>
              <w:ind w:firstLine="480" w:firstLineChars="200"/>
              <w:rPr>
                <w:rFonts w:hAnsi="宋体"/>
                <w:sz w:val="24"/>
              </w:rPr>
            </w:pPr>
            <w:r>
              <w:rPr>
                <w:rFonts w:hint="eastAsia" w:hAnsi="宋体"/>
                <w:sz w:val="24"/>
              </w:rPr>
              <w:t>由于地下空间的利用受诸多因素制约，因此未利用地下空间的项目应提供相关说明。经论证，场地区位、地质等条件不适宜开发地下空间的，需简述原因。</w:t>
            </w:r>
          </w:p>
        </w:tc>
      </w:tr>
    </w:tbl>
    <w:p>
      <w:pPr>
        <w:spacing w:before="109" w:beforeLines="35" w:after="109" w:afterLines="35" w:line="360" w:lineRule="auto"/>
        <w:rPr>
          <w:rFonts w:hAnsi="宋体"/>
          <w:sz w:val="24"/>
        </w:rPr>
      </w:pPr>
      <w:r>
        <w:rPr>
          <w:rFonts w:hint="eastAsia" w:hAnsi="宋体"/>
          <w:sz w:val="24"/>
        </w:rPr>
        <w:t>1.6项目</w:t>
      </w:r>
      <w:r>
        <w:rPr>
          <w:rFonts w:hAnsi="宋体"/>
          <w:sz w:val="24"/>
        </w:rPr>
        <w:t>容积率</w:t>
      </w:r>
      <w:r>
        <w:rPr>
          <w:rFonts w:hint="eastAsia" w:hAnsi="宋体"/>
          <w:sz w:val="24"/>
        </w:rPr>
        <w:t>（R），规划要求；设计值；</w:t>
      </w:r>
    </w:p>
    <w:p>
      <w:pPr>
        <w:spacing w:before="109" w:beforeLines="35" w:after="109" w:afterLines="35" w:line="360" w:lineRule="auto"/>
        <w:rPr>
          <w:rFonts w:hAnsi="宋体"/>
          <w:sz w:val="24"/>
        </w:rPr>
      </w:pPr>
      <w:r>
        <w:rPr>
          <w:rFonts w:hint="eastAsia" w:hAnsi="宋体"/>
          <w:sz w:val="24"/>
        </w:rPr>
        <w:t>1.7居住街坊住宅建筑平均层数；人均住宅用地指标（A）。</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1843"/>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347" w:type="dxa"/>
            <w:vMerge w:val="restart"/>
          </w:tcPr>
          <w:p>
            <w:pPr>
              <w:spacing w:line="360" w:lineRule="auto"/>
              <w:rPr>
                <w:rFonts w:hAnsi="宋体"/>
                <w:sz w:val="24"/>
              </w:rPr>
            </w:pPr>
            <w:r>
              <w:rPr>
                <w:rFonts w:hint="eastAsia" w:hAnsi="宋体"/>
                <w:sz w:val="24"/>
              </w:rPr>
              <w:t>条文来源</w:t>
            </w:r>
          </w:p>
        </w:tc>
        <w:tc>
          <w:tcPr>
            <w:tcW w:w="2305" w:type="dxa"/>
          </w:tcPr>
          <w:p>
            <w:pPr>
              <w:spacing w:line="360" w:lineRule="auto"/>
              <w:jc w:val="center"/>
              <w:rPr>
                <w:rFonts w:hAnsi="宋体"/>
                <w:sz w:val="24"/>
              </w:rPr>
            </w:pPr>
            <w:r>
              <w:rPr>
                <w:rFonts w:hint="eastAsia" w:hAnsi="宋体"/>
                <w:sz w:val="24"/>
              </w:rPr>
              <w:t>GB/T 50378-201</w:t>
            </w:r>
            <w:r>
              <w:rPr>
                <w:rFonts w:hAnsi="宋体"/>
                <w:sz w:val="24"/>
              </w:rPr>
              <w:t>9</w:t>
            </w:r>
          </w:p>
        </w:tc>
        <w:tc>
          <w:tcPr>
            <w:tcW w:w="1843" w:type="dxa"/>
          </w:tcPr>
          <w:p>
            <w:pPr>
              <w:spacing w:line="360" w:lineRule="auto"/>
              <w:jc w:val="center"/>
              <w:rPr>
                <w:rFonts w:hAnsi="宋体"/>
                <w:sz w:val="24"/>
              </w:rPr>
            </w:pPr>
            <w:r>
              <w:rPr>
                <w:rFonts w:hint="eastAsia" w:hAnsi="宋体"/>
                <w:sz w:val="24"/>
              </w:rPr>
              <w:t>7</w:t>
            </w:r>
            <w:r>
              <w:rPr>
                <w:rFonts w:hAnsi="宋体"/>
                <w:sz w:val="24"/>
              </w:rPr>
              <w:t>.2.1</w:t>
            </w:r>
            <w:r>
              <w:rPr>
                <w:rFonts w:hint="eastAsia" w:hAnsi="宋体"/>
                <w:sz w:val="24"/>
              </w:rPr>
              <w:t>条</w:t>
            </w:r>
            <w:r>
              <w:rPr>
                <w:rFonts w:hAnsi="宋体"/>
                <w:sz w:val="24"/>
              </w:rPr>
              <w:t>-1</w:t>
            </w:r>
          </w:p>
        </w:tc>
        <w:tc>
          <w:tcPr>
            <w:tcW w:w="3827" w:type="dxa"/>
          </w:tcPr>
          <w:p>
            <w:pPr>
              <w:spacing w:line="360" w:lineRule="auto"/>
              <w:jc w:val="center"/>
              <w:rPr>
                <w:rFonts w:hAnsi="宋体"/>
                <w:sz w:val="24"/>
              </w:rPr>
            </w:pPr>
            <w:r>
              <w:rPr>
                <w:rFonts w:hint="eastAsia" w:hAnsi="宋体"/>
                <w:sz w:val="24"/>
              </w:rPr>
              <w:t>1</w:t>
            </w:r>
            <w:r>
              <w:rPr>
                <w:rFonts w:hAnsi="宋体"/>
                <w:sz w:val="24"/>
              </w:rPr>
              <w:t>5</w:t>
            </w:r>
            <w:r>
              <w:rPr>
                <w:rFonts w:hint="eastAsia" w:hAnsi="宋体"/>
                <w:sz w:val="24"/>
              </w:rPr>
              <w:t>分/</w:t>
            </w:r>
            <w:r>
              <w:rPr>
                <w:rFonts w:hAnsi="宋体"/>
                <w:sz w:val="24"/>
              </w:rPr>
              <w:t>20</w:t>
            </w:r>
            <w:r>
              <w:rPr>
                <w:rFonts w:hint="eastAsia"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305" w:type="dxa"/>
            <w:vMerge w:val="restart"/>
          </w:tcPr>
          <w:p>
            <w:pPr>
              <w:spacing w:line="360" w:lineRule="auto"/>
              <w:jc w:val="center"/>
              <w:rPr>
                <w:rFonts w:hAnsi="宋体"/>
                <w:sz w:val="24"/>
              </w:rPr>
            </w:pPr>
            <w:r>
              <w:rPr>
                <w:rFonts w:hint="eastAsia" w:hAnsi="宋体"/>
                <w:sz w:val="24"/>
              </w:rPr>
              <w:t>DB 33/1092-</w:t>
            </w:r>
            <w:r>
              <w:rPr>
                <w:rFonts w:hAnsi="宋体"/>
                <w:sz w:val="24"/>
              </w:rPr>
              <w:t>2021</w:t>
            </w:r>
          </w:p>
        </w:tc>
        <w:tc>
          <w:tcPr>
            <w:tcW w:w="1843" w:type="dxa"/>
          </w:tcPr>
          <w:p>
            <w:pPr>
              <w:spacing w:line="360" w:lineRule="auto"/>
              <w:jc w:val="center"/>
              <w:rPr>
                <w:rFonts w:hAnsi="宋体"/>
                <w:sz w:val="24"/>
              </w:rPr>
            </w:pPr>
            <w:r>
              <w:rPr>
                <w:rFonts w:hAnsi="宋体"/>
                <w:sz w:val="24"/>
              </w:rPr>
              <w:t>4.2.3</w:t>
            </w:r>
            <w:r>
              <w:rPr>
                <w:rFonts w:hint="eastAsia" w:hAnsi="宋体"/>
                <w:sz w:val="24"/>
              </w:rPr>
              <w:t>条-</w:t>
            </w:r>
            <w:r>
              <w:rPr>
                <w:rFonts w:hAnsi="宋体"/>
                <w:sz w:val="24"/>
              </w:rPr>
              <w:t>2</w:t>
            </w:r>
          </w:p>
        </w:tc>
        <w:tc>
          <w:tcPr>
            <w:tcW w:w="3827" w:type="dxa"/>
          </w:tcPr>
          <w:p>
            <w:pPr>
              <w:spacing w:line="360" w:lineRule="auto"/>
              <w:jc w:val="center"/>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trPr>
        <w:tc>
          <w:tcPr>
            <w:tcW w:w="1347" w:type="dxa"/>
            <w:vMerge w:val="continue"/>
          </w:tcPr>
          <w:p>
            <w:pPr>
              <w:spacing w:line="360" w:lineRule="auto"/>
              <w:rPr>
                <w:rFonts w:hAnsi="宋体"/>
                <w:sz w:val="24"/>
              </w:rPr>
            </w:pPr>
          </w:p>
        </w:tc>
        <w:tc>
          <w:tcPr>
            <w:tcW w:w="2305" w:type="dxa"/>
            <w:vMerge w:val="continue"/>
          </w:tcPr>
          <w:p>
            <w:pPr>
              <w:spacing w:line="360" w:lineRule="auto"/>
              <w:jc w:val="center"/>
              <w:rPr>
                <w:rFonts w:hAnsi="宋体"/>
                <w:sz w:val="24"/>
              </w:rPr>
            </w:pPr>
          </w:p>
        </w:tc>
        <w:tc>
          <w:tcPr>
            <w:tcW w:w="1843" w:type="dxa"/>
          </w:tcPr>
          <w:p>
            <w:pPr>
              <w:spacing w:line="360" w:lineRule="auto"/>
              <w:jc w:val="center"/>
              <w:rPr>
                <w:rFonts w:hAnsi="宋体"/>
                <w:sz w:val="24"/>
              </w:rPr>
            </w:pPr>
            <w:r>
              <w:rPr>
                <w:rFonts w:hAnsi="宋体"/>
                <w:sz w:val="24"/>
              </w:rPr>
              <w:t>4.3.1</w:t>
            </w:r>
            <w:r>
              <w:rPr>
                <w:rFonts w:hint="eastAsia" w:hAnsi="宋体"/>
                <w:sz w:val="24"/>
              </w:rPr>
              <w:t>条</w:t>
            </w:r>
          </w:p>
        </w:tc>
        <w:tc>
          <w:tcPr>
            <w:tcW w:w="3827" w:type="dxa"/>
          </w:tcPr>
          <w:p>
            <w:pPr>
              <w:spacing w:line="360" w:lineRule="auto"/>
              <w:jc w:val="center"/>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305" w:type="dxa"/>
            <w:vMerge w:val="continue"/>
          </w:tcPr>
          <w:p>
            <w:pPr>
              <w:spacing w:line="360" w:lineRule="auto"/>
              <w:jc w:val="center"/>
              <w:rPr>
                <w:rFonts w:hAnsi="宋体"/>
                <w:sz w:val="24"/>
              </w:rPr>
            </w:pPr>
          </w:p>
        </w:tc>
        <w:tc>
          <w:tcPr>
            <w:tcW w:w="1843" w:type="dxa"/>
          </w:tcPr>
          <w:p>
            <w:pPr>
              <w:spacing w:line="360" w:lineRule="auto"/>
              <w:jc w:val="center"/>
              <w:rPr>
                <w:rFonts w:hAnsi="宋体"/>
                <w:sz w:val="24"/>
              </w:rPr>
            </w:pPr>
            <w:r>
              <w:rPr>
                <w:rFonts w:hAnsi="宋体"/>
                <w:sz w:val="24"/>
              </w:rPr>
              <w:t>4.4.1</w:t>
            </w:r>
            <w:r>
              <w:rPr>
                <w:rFonts w:hint="eastAsia" w:hAnsi="宋体"/>
                <w:sz w:val="24"/>
              </w:rPr>
              <w:t>条-</w:t>
            </w:r>
            <w:r>
              <w:rPr>
                <w:rFonts w:hAnsi="宋体"/>
                <w:sz w:val="24"/>
              </w:rPr>
              <w:t>2</w:t>
            </w:r>
          </w:p>
        </w:tc>
        <w:tc>
          <w:tcPr>
            <w:tcW w:w="3827" w:type="dxa"/>
          </w:tcPr>
          <w:p>
            <w:pPr>
              <w:spacing w:line="360" w:lineRule="auto"/>
              <w:jc w:val="center"/>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依据材料</w:t>
            </w:r>
          </w:p>
        </w:tc>
        <w:tc>
          <w:tcPr>
            <w:tcW w:w="7975" w:type="dxa"/>
            <w:gridSpan w:val="3"/>
          </w:tcPr>
          <w:p>
            <w:pPr>
              <w:pStyle w:val="17"/>
              <w:spacing w:line="360" w:lineRule="auto"/>
              <w:ind w:firstLine="480" w:firstLineChars="200"/>
              <w:rPr>
                <w:rFonts w:hAnsi="宋体"/>
                <w:sz w:val="24"/>
              </w:rPr>
            </w:pPr>
            <w:r>
              <w:rPr>
                <w:rFonts w:hint="eastAsia" w:hAnsi="宋体"/>
                <w:sz w:val="24"/>
              </w:rPr>
              <w:t>设计人员应根据地下室图纸，面积指标，总平面等相关内容,政府相关批复文件及规划指标要求等,按照项目实际,填写此项内容。</w:t>
            </w:r>
          </w:p>
          <w:p>
            <w:pPr>
              <w:pStyle w:val="17"/>
              <w:spacing w:line="360" w:lineRule="auto"/>
              <w:ind w:firstLine="480" w:firstLineChars="200"/>
              <w:rPr>
                <w:rFonts w:hAnsi="宋体"/>
                <w:sz w:val="24"/>
              </w:rPr>
            </w:pPr>
            <w:r>
              <w:rPr>
                <w:rFonts w:hint="eastAsia" w:hAnsi="宋体"/>
                <w:sz w:val="24"/>
              </w:rPr>
              <w:t>居住建筑，填写时依据住区总用地面积、总用户、总人口（可按3.2人/户换算人口）等，不同规模居住用地面积应按下列方法进行计算：</w:t>
            </w:r>
          </w:p>
          <w:p>
            <w:pPr>
              <w:pStyle w:val="17"/>
              <w:numPr>
                <w:ilvl w:val="0"/>
                <w:numId w:val="43"/>
              </w:numPr>
              <w:spacing w:line="360" w:lineRule="auto"/>
              <w:rPr>
                <w:rFonts w:hAnsi="宋体"/>
                <w:sz w:val="24"/>
              </w:rPr>
            </w:pPr>
            <w:r>
              <w:rPr>
                <w:rFonts w:hint="eastAsia" w:hAnsi="宋体"/>
                <w:sz w:val="24"/>
              </w:rPr>
              <w:t>小型项目（达不到组团规模的）：按照所在地城乡规划管理部门核发的建设用地面积进行计算。</w:t>
            </w:r>
          </w:p>
          <w:p>
            <w:pPr>
              <w:pStyle w:val="17"/>
              <w:numPr>
                <w:ilvl w:val="0"/>
                <w:numId w:val="43"/>
              </w:numPr>
              <w:spacing w:line="360" w:lineRule="auto"/>
              <w:rPr>
                <w:rFonts w:hAnsi="宋体"/>
                <w:sz w:val="24"/>
              </w:rPr>
            </w:pPr>
            <w:r>
              <w:rPr>
                <w:rFonts w:hint="eastAsia" w:hAnsi="宋体"/>
                <w:sz w:val="24"/>
              </w:rPr>
              <w:t>居住组团：按照包含本次申报所有居住建筑且由住区道路完整围合区域的用地面积进行计算。</w:t>
            </w:r>
          </w:p>
          <w:p>
            <w:pPr>
              <w:pStyle w:val="17"/>
              <w:numPr>
                <w:ilvl w:val="0"/>
                <w:numId w:val="43"/>
              </w:numPr>
              <w:spacing w:line="360" w:lineRule="auto"/>
              <w:rPr>
                <w:rFonts w:hAnsi="宋体"/>
                <w:sz w:val="24"/>
              </w:rPr>
            </w:pPr>
            <w:r>
              <w:rPr>
                <w:rFonts w:hint="eastAsia" w:hAnsi="宋体"/>
                <w:sz w:val="24"/>
              </w:rPr>
              <w:t>居住小区：部分居住建筑或某栋居住建筑申报，按照城乡规划管理部门批准的完整的居住建设项目的用地面积进行计算。</w:t>
            </w:r>
          </w:p>
          <w:p>
            <w:pPr>
              <w:pStyle w:val="17"/>
              <w:numPr>
                <w:ilvl w:val="0"/>
                <w:numId w:val="43"/>
              </w:numPr>
              <w:spacing w:line="360" w:lineRule="auto"/>
              <w:rPr>
                <w:rFonts w:hAnsi="宋体"/>
                <w:sz w:val="24"/>
              </w:rPr>
            </w:pPr>
            <w:r>
              <w:rPr>
                <w:rFonts w:hint="eastAsia" w:hAnsi="宋体"/>
                <w:sz w:val="24"/>
              </w:rPr>
              <w:t>项目为某个综合开发项目，依照建设用地规划许可证的规划条件进行计算。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975" w:type="dxa"/>
            <w:gridSpan w:val="3"/>
          </w:tcPr>
          <w:p>
            <w:pPr>
              <w:pStyle w:val="17"/>
              <w:spacing w:line="360" w:lineRule="auto"/>
              <w:ind w:firstLine="480" w:firstLineChars="200"/>
              <w:rPr>
                <w:rFonts w:hAnsi="宋体"/>
                <w:sz w:val="24"/>
              </w:rPr>
            </w:pPr>
            <w:r>
              <w:rPr>
                <w:rFonts w:hint="eastAsia" w:hAnsi="宋体"/>
                <w:sz w:val="24"/>
              </w:rPr>
              <w:t>根据项目实际情况，当批复文件或规划条件中，规定的容积率，不满足DB 33/1092-20</w:t>
            </w:r>
            <w:r>
              <w:rPr>
                <w:rFonts w:hAnsi="宋体"/>
                <w:sz w:val="24"/>
              </w:rPr>
              <w:t>21</w:t>
            </w:r>
            <w:r>
              <w:rPr>
                <w:rFonts w:hint="eastAsia" w:hAnsi="宋体"/>
                <w:sz w:val="24"/>
              </w:rPr>
              <w:t>星级要求的数据时，按批复文件执行。（标准中规定的应字条款，意在此条款较宜得分，如无上述特殊情况，应按此执行）。</w:t>
            </w:r>
          </w:p>
          <w:p>
            <w:pPr>
              <w:pStyle w:val="17"/>
              <w:spacing w:line="360" w:lineRule="auto"/>
              <w:ind w:firstLine="480" w:firstLineChars="200"/>
              <w:rPr>
                <w:rFonts w:hAnsi="宋体"/>
                <w:sz w:val="24"/>
              </w:rPr>
            </w:pPr>
            <w:r>
              <w:rPr>
                <w:rFonts w:hint="eastAsia" w:hAnsi="宋体"/>
                <w:sz w:val="24"/>
              </w:rPr>
              <w:t>居住区的最小规模即居住街坊的控制指标为基础，提出了人均住宅用地指标评分规则。居住街坊是指住宅建筑集中布局、由支路等城市道路围合(一般为2hm2～4hm2住宅用地，约300套～1000套住宅)形成的居住基本单元。评价时，如果建设项目规模超过4hm</w:t>
            </w:r>
            <w:r>
              <w:rPr>
                <w:rFonts w:hint="eastAsia" w:hAnsi="宋体"/>
                <w:sz w:val="24"/>
                <w:vertAlign w:val="superscript"/>
              </w:rPr>
              <w:t>2</w:t>
            </w:r>
            <w:r>
              <w:rPr>
                <w:rFonts w:hint="eastAsia" w:hAnsi="宋体"/>
                <w:sz w:val="24"/>
              </w:rPr>
              <w:t>，在项目整体指标满足所在地控制性详细规划要求的基础上，应以其小区路围合形成的居住街坊为评价单元计算人均住宅用地指标。</w:t>
            </w:r>
          </w:p>
        </w:tc>
      </w:tr>
    </w:tbl>
    <w:p>
      <w:pPr>
        <w:pStyle w:val="88"/>
        <w:numPr>
          <w:ilvl w:val="0"/>
          <w:numId w:val="0"/>
        </w:num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8</w:t>
      </w:r>
      <w:r>
        <w:rPr>
          <w:rFonts w:asciiTheme="minorEastAsia" w:hAnsiTheme="minorEastAsia" w:eastAsiaTheme="minorEastAsia"/>
          <w:sz w:val="24"/>
          <w:szCs w:val="24"/>
        </w:rPr>
        <w:t>场地内规划配置公共服务设施和市政基础设施时，与周边区域共享、互补、集约化建设。</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1843"/>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tcPr>
          <w:p>
            <w:pPr>
              <w:pStyle w:val="84"/>
              <w:spacing w:line="360" w:lineRule="auto"/>
              <w:rPr>
                <w:sz w:val="24"/>
                <w:lang w:eastAsia="zh-Hans"/>
              </w:rPr>
            </w:pPr>
            <w:r>
              <w:rPr>
                <w:rFonts w:hint="eastAsia"/>
                <w:sz w:val="24"/>
                <w:lang w:eastAsia="zh-Hans"/>
              </w:rPr>
              <w:t>条文来源</w:t>
            </w:r>
          </w:p>
        </w:tc>
        <w:tc>
          <w:tcPr>
            <w:tcW w:w="2305"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843" w:type="dxa"/>
          </w:tcPr>
          <w:p>
            <w:pPr>
              <w:pStyle w:val="84"/>
              <w:spacing w:line="360" w:lineRule="auto"/>
              <w:rPr>
                <w:sz w:val="24"/>
                <w:lang w:eastAsia="zh-Hans"/>
              </w:rPr>
            </w:pPr>
            <w:r>
              <w:rPr>
                <w:rFonts w:hint="eastAsia"/>
                <w:sz w:val="24"/>
              </w:rPr>
              <w:t>4.1.</w:t>
            </w:r>
            <w:r>
              <w:rPr>
                <w:sz w:val="24"/>
              </w:rPr>
              <w:t>3</w:t>
            </w:r>
            <w:r>
              <w:rPr>
                <w:rFonts w:hint="eastAsia"/>
                <w:sz w:val="24"/>
              </w:rPr>
              <w:t>条</w:t>
            </w:r>
          </w:p>
        </w:tc>
        <w:tc>
          <w:tcPr>
            <w:tcW w:w="3827"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7975" w:type="dxa"/>
            <w:gridSpan w:val="3"/>
          </w:tcPr>
          <w:p>
            <w:pPr>
              <w:pStyle w:val="84"/>
              <w:spacing w:line="360" w:lineRule="auto"/>
              <w:ind w:firstLine="480" w:firstLineChars="200"/>
              <w:jc w:val="left"/>
              <w:rPr>
                <w:sz w:val="24"/>
              </w:rPr>
            </w:pPr>
            <w:r>
              <w:rPr>
                <w:rFonts w:hint="eastAsia"/>
                <w:sz w:val="24"/>
              </w:rPr>
              <w:t>设计人员根据</w:t>
            </w:r>
            <w:r>
              <w:rPr>
                <w:rFonts w:hint="eastAsia"/>
                <w:sz w:val="24"/>
                <w:lang w:eastAsia="zh-Hans"/>
              </w:rPr>
              <w:t>规划条件、</w:t>
            </w:r>
            <w:r>
              <w:rPr>
                <w:rFonts w:hint="eastAsia"/>
                <w:sz w:val="24"/>
              </w:rPr>
              <w:t>相关设计文件，以及根据</w:t>
            </w:r>
            <w:r>
              <w:rPr>
                <w:rFonts w:hint="eastAsia"/>
                <w:sz w:val="24"/>
                <w:lang w:eastAsia="zh-Hans"/>
              </w:rPr>
              <w:t>现场</w:t>
            </w:r>
            <w:r>
              <w:rPr>
                <w:rFonts w:hint="eastAsia"/>
                <w:sz w:val="24"/>
              </w:rPr>
              <w:t>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7975" w:type="dxa"/>
            <w:gridSpan w:val="3"/>
          </w:tcPr>
          <w:p>
            <w:pPr>
              <w:pStyle w:val="84"/>
              <w:spacing w:line="360" w:lineRule="auto"/>
              <w:ind w:firstLine="480" w:firstLineChars="200"/>
              <w:jc w:val="left"/>
              <w:rPr>
                <w:sz w:val="24"/>
                <w:lang w:eastAsia="zh-Hans"/>
              </w:rPr>
            </w:pPr>
            <w:r>
              <w:rPr>
                <w:rFonts w:hint="eastAsia"/>
                <w:sz w:val="24"/>
                <w:lang w:eastAsia="zh-Hans"/>
              </w:rPr>
              <w:t>应积极实现公共服务设施和市政基础设施的共享，减少重复建设，降低资源能源消耗。场地内公共服务设施建设要考虑提高资源利用效率，改变过 去分散的、小而全的建设模式，实现区域设施资源共享。在新建区域宜设置市政共同管沟，统一规划开发利用地下空间，实现区域设施资源共享和可持续开发。</w:t>
            </w:r>
          </w:p>
        </w:tc>
      </w:tr>
    </w:tbl>
    <w:p>
      <w:pPr>
        <w:pStyle w:val="88"/>
        <w:numPr>
          <w:ilvl w:val="0"/>
          <w:numId w:val="0"/>
        </w:numPr>
        <w:spacing w:line="360" w:lineRule="auto"/>
        <w:rPr>
          <w:sz w:val="24"/>
          <w:szCs w:val="24"/>
          <w:lang w:eastAsia="zh-Hans"/>
        </w:rPr>
      </w:pPr>
      <w:r>
        <w:rPr>
          <w:rFonts w:hint="eastAsia"/>
          <w:sz w:val="24"/>
          <w:szCs w:val="24"/>
        </w:rPr>
        <w:t>1.9新建建筑地下空间与相邻建筑地下空间相连通或整体开发利用</w:t>
      </w:r>
      <w:r>
        <w:rPr>
          <w:rFonts w:hint="eastAsia"/>
          <w:sz w:val="24"/>
          <w:szCs w:val="24"/>
          <w:lang w:eastAsia="zh-Hans"/>
        </w:rPr>
        <w:t>；</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1843"/>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tcPr>
          <w:p>
            <w:pPr>
              <w:pStyle w:val="84"/>
              <w:spacing w:line="360" w:lineRule="auto"/>
              <w:rPr>
                <w:sz w:val="24"/>
                <w:lang w:eastAsia="zh-Hans"/>
              </w:rPr>
            </w:pPr>
            <w:r>
              <w:rPr>
                <w:rFonts w:hint="eastAsia"/>
                <w:sz w:val="24"/>
                <w:lang w:eastAsia="zh-Hans"/>
              </w:rPr>
              <w:t>条文来源</w:t>
            </w:r>
          </w:p>
        </w:tc>
        <w:tc>
          <w:tcPr>
            <w:tcW w:w="2305" w:type="dxa"/>
          </w:tcPr>
          <w:p>
            <w:pPr>
              <w:pStyle w:val="84"/>
              <w:spacing w:line="360" w:lineRule="auto"/>
              <w:rPr>
                <w:sz w:val="24"/>
              </w:rPr>
            </w:pPr>
            <w:r>
              <w:rPr>
                <w:rFonts w:hint="eastAsia"/>
                <w:sz w:val="24"/>
              </w:rPr>
              <w:t>DB33/1092-</w:t>
            </w:r>
            <w:r>
              <w:rPr>
                <w:sz w:val="24"/>
              </w:rPr>
              <w:t>2021</w:t>
            </w:r>
          </w:p>
        </w:tc>
        <w:tc>
          <w:tcPr>
            <w:tcW w:w="1843" w:type="dxa"/>
          </w:tcPr>
          <w:p>
            <w:pPr>
              <w:pStyle w:val="84"/>
              <w:spacing w:line="360" w:lineRule="auto"/>
              <w:rPr>
                <w:sz w:val="24"/>
              </w:rPr>
            </w:pPr>
            <w:r>
              <w:rPr>
                <w:sz w:val="24"/>
              </w:rPr>
              <w:t>4.4.2</w:t>
            </w:r>
            <w:r>
              <w:rPr>
                <w:rFonts w:hint="eastAsia"/>
                <w:sz w:val="24"/>
              </w:rPr>
              <w:t>条</w:t>
            </w:r>
            <w:r>
              <w:rPr>
                <w:sz w:val="24"/>
              </w:rPr>
              <w:t>-2</w:t>
            </w:r>
          </w:p>
        </w:tc>
        <w:tc>
          <w:tcPr>
            <w:tcW w:w="3827" w:type="dxa"/>
          </w:tcPr>
          <w:p>
            <w:pPr>
              <w:pStyle w:val="84"/>
              <w:spacing w:line="360" w:lineRule="auto"/>
              <w:rPr>
                <w:sz w:val="24"/>
                <w:lang w:eastAsia="zh-Hans"/>
              </w:rPr>
            </w:pPr>
            <w:r>
              <w:rPr>
                <w:rFonts w:hint="eastAsia"/>
                <w:sz w:val="24"/>
                <w:lang w:eastAsia="zh-Hans"/>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347" w:type="dxa"/>
          </w:tcPr>
          <w:p>
            <w:pPr>
              <w:pStyle w:val="84"/>
              <w:spacing w:line="360" w:lineRule="auto"/>
              <w:rPr>
                <w:sz w:val="24"/>
              </w:rPr>
            </w:pPr>
            <w:r>
              <w:rPr>
                <w:rFonts w:hint="eastAsia"/>
                <w:sz w:val="24"/>
              </w:rPr>
              <w:t>依据材料</w:t>
            </w:r>
          </w:p>
        </w:tc>
        <w:tc>
          <w:tcPr>
            <w:tcW w:w="7975" w:type="dxa"/>
            <w:gridSpan w:val="3"/>
          </w:tcPr>
          <w:p>
            <w:pPr>
              <w:pStyle w:val="84"/>
              <w:spacing w:line="360" w:lineRule="auto"/>
              <w:ind w:firstLine="480" w:firstLineChars="200"/>
              <w:jc w:val="left"/>
              <w:rPr>
                <w:sz w:val="24"/>
              </w:rPr>
            </w:pPr>
            <w:r>
              <w:rPr>
                <w:rFonts w:hint="eastAsia"/>
                <w:sz w:val="24"/>
              </w:rPr>
              <w:t>设计人员此条应根据项目</w:t>
            </w:r>
            <w:r>
              <w:rPr>
                <w:rFonts w:hint="eastAsia"/>
                <w:sz w:val="24"/>
                <w:lang w:eastAsia="zh-Hans"/>
              </w:rPr>
              <w:t>规划条件，相关设计文件，周边项目规划建设情况</w:t>
            </w:r>
            <w:r>
              <w:rPr>
                <w:rFonts w:hint="eastAsia"/>
                <w:sz w:val="24"/>
              </w:rPr>
              <w:t>实际进行填写：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7975" w:type="dxa"/>
            <w:gridSpan w:val="3"/>
          </w:tcPr>
          <w:p>
            <w:pPr>
              <w:pStyle w:val="84"/>
              <w:spacing w:line="360" w:lineRule="auto"/>
              <w:ind w:firstLine="480" w:firstLineChars="200"/>
              <w:jc w:val="left"/>
              <w:rPr>
                <w:sz w:val="24"/>
              </w:rPr>
            </w:pPr>
            <w:r>
              <w:rPr>
                <w:rFonts w:hint="eastAsia"/>
                <w:sz w:val="24"/>
              </w:rPr>
              <w:t>新建项目，尤其是在高密度的商业开发中，鼓励不同建设单位共同开发地下空间，而不是单独建地下室，以有效提高地下空间的使用率。</w:t>
            </w:r>
          </w:p>
        </w:tc>
      </w:tr>
    </w:tbl>
    <w:p>
      <w:pPr>
        <w:spacing w:line="360" w:lineRule="auto"/>
        <w:rPr>
          <w:sz w:val="24"/>
          <w:lang w:eastAsia="zh-Hans"/>
        </w:rPr>
      </w:pPr>
    </w:p>
    <w:p>
      <w:pPr>
        <w:pStyle w:val="17"/>
        <w:spacing w:line="360" w:lineRule="auto"/>
        <w:rPr>
          <w:rFonts w:hAnsi="宋体"/>
          <w:b/>
          <w:sz w:val="24"/>
        </w:rPr>
      </w:pPr>
      <w:r>
        <w:rPr>
          <w:rFonts w:hAnsi="宋体"/>
          <w:b/>
          <w:sz w:val="24"/>
        </w:rPr>
        <w:t xml:space="preserve">2. </w:t>
      </w:r>
      <w:r>
        <w:rPr>
          <w:rFonts w:hint="eastAsia" w:hAnsi="宋体"/>
          <w:b/>
          <w:sz w:val="24"/>
        </w:rPr>
        <w:t>场地生态与景观绿化：</w:t>
      </w:r>
    </w:p>
    <w:p>
      <w:pPr>
        <w:pStyle w:val="88"/>
        <w:numPr>
          <w:ilvl w:val="0"/>
          <w:numId w:val="0"/>
        </w:numPr>
        <w:spacing w:line="360" w:lineRule="auto"/>
        <w:rPr>
          <w:sz w:val="24"/>
          <w:szCs w:val="24"/>
          <w:lang w:val="en-GB"/>
        </w:rPr>
      </w:pPr>
      <w:r>
        <w:rPr>
          <w:rFonts w:hint="eastAsia"/>
          <w:sz w:val="24"/>
          <w:szCs w:val="24"/>
        </w:rPr>
        <w:t>2</w:t>
      </w:r>
      <w:r>
        <w:rPr>
          <w:sz w:val="24"/>
          <w:szCs w:val="24"/>
        </w:rPr>
        <w:t xml:space="preserve">.1 </w:t>
      </w:r>
      <w:r>
        <w:rPr>
          <w:rFonts w:hint="eastAsia"/>
          <w:sz w:val="24"/>
          <w:szCs w:val="24"/>
        </w:rPr>
        <w:t>场地设计保护场地内原有的自然水域、湿地和植被，采取净地表层土回收利用等生态补偿措施</w:t>
      </w:r>
      <w:r>
        <w:rPr>
          <w:rFonts w:hint="eastAsia"/>
          <w:sz w:val="24"/>
          <w:szCs w:val="24"/>
          <w:lang w:val="en-GB"/>
        </w:rPr>
        <w:t>；</w:t>
      </w:r>
      <w:r>
        <w:rPr>
          <w:sz w:val="24"/>
          <w:szCs w:val="24"/>
          <w:lang w:val="en-GB"/>
        </w:rPr>
        <w:t xml:space="preserve"> </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1843"/>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spacing w:line="360" w:lineRule="auto"/>
              <w:rPr>
                <w:rFonts w:hAnsi="宋体"/>
                <w:sz w:val="24"/>
              </w:rPr>
            </w:pPr>
            <w:r>
              <w:rPr>
                <w:rFonts w:hint="eastAsia" w:hAnsi="宋体"/>
                <w:sz w:val="24"/>
              </w:rPr>
              <w:t>条文来源</w:t>
            </w:r>
          </w:p>
        </w:tc>
        <w:tc>
          <w:tcPr>
            <w:tcW w:w="2305" w:type="dxa"/>
          </w:tcPr>
          <w:p>
            <w:pPr>
              <w:spacing w:line="360" w:lineRule="auto"/>
              <w:jc w:val="center"/>
              <w:rPr>
                <w:rFonts w:hAnsi="宋体"/>
                <w:sz w:val="24"/>
              </w:rPr>
            </w:pPr>
            <w:r>
              <w:rPr>
                <w:rFonts w:hint="eastAsia" w:hAnsi="宋体"/>
                <w:sz w:val="24"/>
              </w:rPr>
              <w:t>GB/T 50378-201</w:t>
            </w:r>
            <w:r>
              <w:rPr>
                <w:rFonts w:hAnsi="宋体"/>
                <w:sz w:val="24"/>
              </w:rPr>
              <w:t>9</w:t>
            </w:r>
          </w:p>
        </w:tc>
        <w:tc>
          <w:tcPr>
            <w:tcW w:w="1843" w:type="dxa"/>
          </w:tcPr>
          <w:p>
            <w:pPr>
              <w:spacing w:line="360" w:lineRule="auto"/>
              <w:jc w:val="center"/>
              <w:rPr>
                <w:rFonts w:hAnsi="宋体"/>
                <w:sz w:val="24"/>
              </w:rPr>
            </w:pPr>
            <w:r>
              <w:rPr>
                <w:rFonts w:hint="eastAsia" w:hAnsi="宋体"/>
                <w:sz w:val="24"/>
              </w:rPr>
              <w:t>8</w:t>
            </w:r>
            <w:r>
              <w:rPr>
                <w:rFonts w:hAnsi="宋体"/>
                <w:sz w:val="24"/>
              </w:rPr>
              <w:t>.2.1</w:t>
            </w:r>
            <w:r>
              <w:rPr>
                <w:rFonts w:hint="eastAsia" w:hAnsi="宋体"/>
                <w:sz w:val="24"/>
              </w:rPr>
              <w:t>条</w:t>
            </w:r>
          </w:p>
        </w:tc>
        <w:tc>
          <w:tcPr>
            <w:tcW w:w="3827" w:type="dxa"/>
          </w:tcPr>
          <w:p>
            <w:pPr>
              <w:spacing w:line="360" w:lineRule="auto"/>
              <w:jc w:val="center"/>
              <w:rPr>
                <w:rFonts w:hAnsi="宋体"/>
                <w:sz w:val="24"/>
              </w:rPr>
            </w:pPr>
            <w:r>
              <w:rPr>
                <w:rFonts w:hint="eastAsia" w:hAnsi="宋体"/>
                <w:sz w:val="24"/>
              </w:rPr>
              <w:t>1</w:t>
            </w:r>
            <w:r>
              <w:rPr>
                <w:rFonts w:hAnsi="宋体"/>
                <w:sz w:val="24"/>
              </w:rPr>
              <w:t>0</w:t>
            </w:r>
            <w:r>
              <w:rPr>
                <w:rFonts w:hint="eastAsia"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305" w:type="dxa"/>
          </w:tcPr>
          <w:p>
            <w:pPr>
              <w:spacing w:line="360" w:lineRule="auto"/>
              <w:jc w:val="center"/>
              <w:rPr>
                <w:rFonts w:hAnsi="宋体"/>
                <w:sz w:val="24"/>
              </w:rPr>
            </w:pPr>
            <w:r>
              <w:rPr>
                <w:rFonts w:hint="eastAsia" w:hAnsi="宋体"/>
                <w:sz w:val="24"/>
              </w:rPr>
              <w:t>DB 33/1092-</w:t>
            </w:r>
            <w:r>
              <w:rPr>
                <w:rFonts w:hAnsi="宋体"/>
                <w:sz w:val="24"/>
              </w:rPr>
              <w:t>2021</w:t>
            </w:r>
          </w:p>
        </w:tc>
        <w:tc>
          <w:tcPr>
            <w:tcW w:w="1843" w:type="dxa"/>
          </w:tcPr>
          <w:p>
            <w:pPr>
              <w:spacing w:line="360" w:lineRule="auto"/>
              <w:jc w:val="center"/>
              <w:rPr>
                <w:rFonts w:hAnsi="宋体"/>
                <w:sz w:val="24"/>
              </w:rPr>
            </w:pPr>
            <w:r>
              <w:rPr>
                <w:rFonts w:hint="eastAsia" w:hAnsi="宋体"/>
                <w:sz w:val="24"/>
              </w:rPr>
              <w:t>1</w:t>
            </w:r>
            <w:r>
              <w:rPr>
                <w:rFonts w:hAnsi="宋体"/>
                <w:sz w:val="24"/>
              </w:rPr>
              <w:t>0.1.6</w:t>
            </w:r>
            <w:r>
              <w:rPr>
                <w:rFonts w:hint="eastAsia" w:hAnsi="宋体"/>
                <w:sz w:val="24"/>
              </w:rPr>
              <w:t>条</w:t>
            </w:r>
          </w:p>
        </w:tc>
        <w:tc>
          <w:tcPr>
            <w:tcW w:w="3827" w:type="dxa"/>
          </w:tcPr>
          <w:p>
            <w:pPr>
              <w:spacing w:line="360" w:lineRule="auto"/>
              <w:jc w:val="center"/>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依据材料</w:t>
            </w:r>
          </w:p>
        </w:tc>
        <w:tc>
          <w:tcPr>
            <w:tcW w:w="7975" w:type="dxa"/>
            <w:gridSpan w:val="3"/>
          </w:tcPr>
          <w:p>
            <w:pPr>
              <w:pStyle w:val="17"/>
              <w:spacing w:line="360" w:lineRule="auto"/>
              <w:ind w:firstLine="480" w:firstLineChars="200"/>
              <w:rPr>
                <w:rFonts w:hAnsi="宋体"/>
                <w:sz w:val="24"/>
              </w:rPr>
            </w:pPr>
            <w:r>
              <w:rPr>
                <w:rFonts w:hint="eastAsia" w:hAnsi="宋体"/>
                <w:sz w:val="24"/>
              </w:rPr>
              <w:t>设计人员根据场地原地形图、相关设计文件(带地形的规划设计图、总平面图、竖向设计图、景观设计总平面图)，以及根据实际情况，填写此项内容。</w:t>
            </w:r>
          </w:p>
          <w:p>
            <w:pPr>
              <w:pStyle w:val="17"/>
              <w:spacing w:line="360" w:lineRule="auto"/>
              <w:ind w:firstLine="480" w:firstLineChars="200"/>
              <w:rPr>
                <w:rFonts w:hAnsi="宋体"/>
                <w:sz w:val="24"/>
              </w:rPr>
            </w:pPr>
            <w:r>
              <w:rPr>
                <w:rFonts w:hint="eastAsia" w:hAnsi="宋体"/>
                <w:sz w:val="24"/>
              </w:rPr>
              <w:t>值得注意的是，对于本条未列出的其他生态恢复或补偿措施，只要能够提供足够相关证明文件即可。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975" w:type="dxa"/>
            <w:gridSpan w:val="3"/>
          </w:tcPr>
          <w:p>
            <w:pPr>
              <w:pStyle w:val="17"/>
              <w:spacing w:line="360" w:lineRule="auto"/>
              <w:ind w:firstLine="480" w:firstLineChars="200"/>
              <w:rPr>
                <w:rFonts w:hAnsi="宋体"/>
                <w:sz w:val="24"/>
              </w:rPr>
            </w:pPr>
            <w:r>
              <w:rPr>
                <w:rFonts w:hint="eastAsia" w:hAnsi="宋体"/>
                <w:sz w:val="24"/>
              </w:rPr>
              <w:t>建设项目应对场地的地形和场地内可利用的资源进行勘察，充分利用原有地形地貌进行场地设计以及建筑、生态景观的布局，尽量减少土石方量，减少开发建设过程对场地及周边环境生态系统的改变，包括原有植被、水体、山体、地表行泄洪通道、滞蓄洪坑塘洼地等。在建设过程中确需改造场地内的地形、地貌、水体、植被等时，应在工程结束后及时采取生态复原措施，减少对原场地环境的改变和破坏。场地内外生态系统保持衔接，形成连贯的生态系统更有利于生态建设和保护。</w:t>
            </w:r>
          </w:p>
          <w:p>
            <w:pPr>
              <w:pStyle w:val="17"/>
              <w:spacing w:line="360" w:lineRule="auto"/>
              <w:ind w:firstLine="480" w:firstLineChars="200"/>
              <w:rPr>
                <w:rFonts w:hAnsi="宋体"/>
                <w:sz w:val="24"/>
              </w:rPr>
            </w:pPr>
            <w:r>
              <w:rPr>
                <w:rFonts w:hint="eastAsia" w:hAnsi="宋体"/>
                <w:sz w:val="24"/>
              </w:rPr>
              <w:t>基于场地资源与生态诊断的科学规划设计，在开发建设的同时采取符合场地实际的技术措施，并提供足够证据表明该技术措施可有效实现生态恢复或生态补偿。比如，在场地内规划设计多样化的生态体系，如湿地系统、乔灌草复合绿化体系、结合多层空间的立体绿化系统等，为本土动物提供生物通道和栖息场所。采用生态驳岸、生态浮岛等措施增加本地生物生存活动空间，充分利用水生动植物的水质自然净化功能保障水体水质。</w:t>
            </w:r>
          </w:p>
        </w:tc>
      </w:tr>
    </w:tbl>
    <w:p>
      <w:pPr>
        <w:spacing w:line="360" w:lineRule="auto"/>
        <w:rPr>
          <w:rFonts w:hAnsi="宋体"/>
          <w:sz w:val="24"/>
        </w:rPr>
      </w:pPr>
      <w:r>
        <w:rPr>
          <w:rFonts w:hint="eastAsia" w:hAnsi="宋体"/>
          <w:sz w:val="24"/>
          <w:lang w:val="en-GB"/>
        </w:rPr>
        <w:t>2</w:t>
      </w:r>
      <w:r>
        <w:rPr>
          <w:rFonts w:hAnsi="宋体"/>
          <w:sz w:val="24"/>
          <w:lang w:val="en-GB"/>
        </w:rPr>
        <w:t xml:space="preserve">.2 </w:t>
      </w:r>
      <w:r>
        <w:rPr>
          <w:rFonts w:hint="eastAsia" w:hAnsi="宋体"/>
          <w:sz w:val="24"/>
          <w:lang w:val="en-GB"/>
        </w:rPr>
        <w:t>项目场地内存在有保留价值的古树名木，并采取的保护措施：</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1701"/>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tcPr>
          <w:p>
            <w:pPr>
              <w:spacing w:line="360" w:lineRule="auto"/>
              <w:rPr>
                <w:rFonts w:hAnsi="宋体"/>
                <w:sz w:val="24"/>
              </w:rPr>
            </w:pPr>
            <w:r>
              <w:rPr>
                <w:rFonts w:hint="eastAsia" w:hAnsi="宋体"/>
                <w:sz w:val="24"/>
              </w:rPr>
              <w:t>条文来源</w:t>
            </w:r>
          </w:p>
        </w:tc>
        <w:tc>
          <w:tcPr>
            <w:tcW w:w="2305" w:type="dxa"/>
          </w:tcPr>
          <w:p>
            <w:pPr>
              <w:spacing w:line="360" w:lineRule="auto"/>
              <w:jc w:val="center"/>
              <w:rPr>
                <w:rFonts w:hAnsi="宋体"/>
                <w:sz w:val="24"/>
              </w:rPr>
            </w:pPr>
            <w:r>
              <w:rPr>
                <w:rFonts w:hint="eastAsia" w:hAnsi="宋体"/>
                <w:sz w:val="24"/>
              </w:rPr>
              <w:t>DB 33/1092-</w:t>
            </w:r>
            <w:r>
              <w:rPr>
                <w:rFonts w:hAnsi="宋体"/>
                <w:sz w:val="24"/>
              </w:rPr>
              <w:t>2021</w:t>
            </w:r>
          </w:p>
        </w:tc>
        <w:tc>
          <w:tcPr>
            <w:tcW w:w="1701" w:type="dxa"/>
          </w:tcPr>
          <w:p>
            <w:pPr>
              <w:spacing w:line="360" w:lineRule="auto"/>
              <w:jc w:val="center"/>
              <w:rPr>
                <w:rFonts w:hAnsi="宋体"/>
                <w:sz w:val="24"/>
              </w:rPr>
            </w:pPr>
            <w:r>
              <w:rPr>
                <w:rFonts w:hAnsi="宋体"/>
                <w:sz w:val="24"/>
              </w:rPr>
              <w:t>10.2.4</w:t>
            </w:r>
            <w:r>
              <w:rPr>
                <w:rFonts w:hint="eastAsia" w:hAnsi="宋体"/>
                <w:sz w:val="24"/>
              </w:rPr>
              <w:t>条-1</w:t>
            </w:r>
          </w:p>
        </w:tc>
        <w:tc>
          <w:tcPr>
            <w:tcW w:w="3969" w:type="dxa"/>
          </w:tcPr>
          <w:p>
            <w:pPr>
              <w:spacing w:line="360" w:lineRule="auto"/>
              <w:jc w:val="center"/>
              <w:rPr>
                <w:rFonts w:hAnsi="宋体"/>
                <w:sz w:val="24"/>
              </w:rPr>
            </w:pPr>
            <w:r>
              <w:rPr>
                <w:rFonts w:hint="eastAsia" w:hAnsi="宋体"/>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依据材料</w:t>
            </w:r>
          </w:p>
        </w:tc>
        <w:tc>
          <w:tcPr>
            <w:tcW w:w="7975" w:type="dxa"/>
            <w:gridSpan w:val="3"/>
          </w:tcPr>
          <w:p>
            <w:pPr>
              <w:pStyle w:val="17"/>
              <w:spacing w:line="360" w:lineRule="auto"/>
              <w:ind w:firstLine="480" w:firstLineChars="200"/>
              <w:rPr>
                <w:rFonts w:hAnsi="宋体"/>
                <w:sz w:val="24"/>
              </w:rPr>
            </w:pPr>
            <w:r>
              <w:rPr>
                <w:rFonts w:hint="eastAsia" w:hAnsi="宋体"/>
                <w:sz w:val="24"/>
              </w:rPr>
              <w:t>设计人员在此条填写时应根据项目实际情况进行填写：</w:t>
            </w:r>
          </w:p>
          <w:p>
            <w:pPr>
              <w:autoSpaceDE w:val="0"/>
              <w:autoSpaceDN w:val="0"/>
              <w:adjustRightInd w:val="0"/>
              <w:spacing w:line="360" w:lineRule="auto"/>
              <w:ind w:firstLine="480" w:firstLineChars="200"/>
              <w:jc w:val="left"/>
              <w:rPr>
                <w:rFonts w:hAnsi="宋体"/>
                <w:sz w:val="24"/>
              </w:rPr>
            </w:pPr>
            <w:r>
              <w:rPr>
                <w:rFonts w:hint="eastAsia" w:hAnsi="宋体"/>
                <w:sz w:val="24"/>
              </w:rPr>
              <w:t>（1）如场地内无古树名木，可直接填写“否”；</w:t>
            </w:r>
          </w:p>
          <w:p>
            <w:pPr>
              <w:autoSpaceDE w:val="0"/>
              <w:autoSpaceDN w:val="0"/>
              <w:adjustRightInd w:val="0"/>
              <w:spacing w:line="360" w:lineRule="auto"/>
              <w:ind w:firstLine="480" w:firstLineChars="200"/>
              <w:jc w:val="left"/>
              <w:rPr>
                <w:rFonts w:hAnsi="宋体"/>
                <w:sz w:val="24"/>
              </w:rPr>
            </w:pPr>
            <w:r>
              <w:rPr>
                <w:rFonts w:hint="eastAsia" w:hAnsi="宋体"/>
                <w:sz w:val="24"/>
              </w:rPr>
              <w:t>（2）如场地内存在有保留价值的古树名木，则设计人员应在仔细查阅规划说明、总图、景观图纸等相关设计文件中</w:t>
            </w:r>
            <w:r>
              <w:rPr>
                <w:rFonts w:hAnsi="宋体"/>
                <w:sz w:val="24"/>
              </w:rPr>
              <w:t>的</w:t>
            </w:r>
            <w:r>
              <w:rPr>
                <w:rFonts w:hint="eastAsia" w:hAnsi="宋体"/>
                <w:sz w:val="24"/>
              </w:rPr>
              <w:t>相应措施后，根据实际填写此项</w:t>
            </w:r>
            <w:r>
              <w:rPr>
                <w:rFonts w:hAnsi="宋体"/>
                <w:sz w:val="24"/>
              </w:rPr>
              <w:t>内容</w:t>
            </w:r>
            <w:r>
              <w:rPr>
                <w:rFonts w:hint="eastAsia" w:hAnsi="宋体"/>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975"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另外，如景观图未与土建施工图同时出图时，应在土建图中写明相应措施为景观设计的前置要求，并在总平面图及设计说明中表达。</w:t>
            </w:r>
          </w:p>
          <w:p>
            <w:pPr>
              <w:autoSpaceDE w:val="0"/>
              <w:autoSpaceDN w:val="0"/>
              <w:adjustRightInd w:val="0"/>
              <w:spacing w:line="360" w:lineRule="auto"/>
              <w:ind w:firstLine="480" w:firstLineChars="200"/>
              <w:jc w:val="left"/>
              <w:rPr>
                <w:rFonts w:hAnsi="宋体"/>
                <w:sz w:val="24"/>
              </w:rPr>
            </w:pPr>
            <w:r>
              <w:rPr>
                <w:rFonts w:hint="eastAsia" w:hAnsi="宋体"/>
                <w:sz w:val="24"/>
              </w:rPr>
              <w:t>场</w:t>
            </w:r>
            <w:r>
              <w:rPr>
                <w:rFonts w:hAnsi="宋体"/>
                <w:sz w:val="24"/>
              </w:rPr>
              <w:t>地</w:t>
            </w:r>
            <w:r>
              <w:rPr>
                <w:rFonts w:hint="eastAsia" w:hAnsi="宋体"/>
                <w:sz w:val="24"/>
              </w:rPr>
              <w:t>规</w:t>
            </w:r>
            <w:r>
              <w:rPr>
                <w:rFonts w:hAnsi="宋体"/>
                <w:sz w:val="24"/>
              </w:rPr>
              <w:t>划</w:t>
            </w:r>
            <w:r>
              <w:rPr>
                <w:rFonts w:hint="eastAsia" w:hAnsi="宋体"/>
                <w:sz w:val="24"/>
              </w:rPr>
              <w:t>应</w:t>
            </w:r>
            <w:r>
              <w:rPr>
                <w:rFonts w:hAnsi="宋体"/>
                <w:sz w:val="24"/>
              </w:rPr>
              <w:t>因地制宜，与周</w:t>
            </w:r>
            <w:r>
              <w:rPr>
                <w:rFonts w:hint="eastAsia" w:hAnsi="宋体"/>
                <w:sz w:val="24"/>
              </w:rPr>
              <w:t>边</w:t>
            </w:r>
            <w:r>
              <w:rPr>
                <w:rFonts w:hAnsi="宋体"/>
                <w:sz w:val="24"/>
              </w:rPr>
              <w:t>自然</w:t>
            </w:r>
            <w:r>
              <w:rPr>
                <w:rFonts w:hint="eastAsia" w:hAnsi="宋体"/>
                <w:sz w:val="24"/>
              </w:rPr>
              <w:t>环</w:t>
            </w:r>
            <w:r>
              <w:rPr>
                <w:rFonts w:hAnsi="宋体"/>
                <w:sz w:val="24"/>
              </w:rPr>
              <w:t>境建立有机共生</w:t>
            </w:r>
            <w:r>
              <w:rPr>
                <w:rFonts w:hint="eastAsia" w:hAnsi="宋体"/>
                <w:sz w:val="24"/>
              </w:rPr>
              <w:t>关系，保持或提升场</w:t>
            </w:r>
            <w:r>
              <w:rPr>
                <w:rFonts w:hAnsi="宋体"/>
                <w:sz w:val="24"/>
              </w:rPr>
              <w:t>地及周</w:t>
            </w:r>
            <w:r>
              <w:rPr>
                <w:rFonts w:hint="eastAsia" w:hAnsi="宋体"/>
                <w:sz w:val="24"/>
              </w:rPr>
              <w:t>边</w:t>
            </w:r>
            <w:r>
              <w:rPr>
                <w:rFonts w:hAnsi="宋体"/>
                <w:sz w:val="24"/>
              </w:rPr>
              <w:t>地区的生物多</w:t>
            </w:r>
            <w:r>
              <w:rPr>
                <w:rFonts w:hint="eastAsia" w:hAnsi="宋体"/>
                <w:sz w:val="24"/>
              </w:rPr>
              <w:t>样</w:t>
            </w:r>
            <w:r>
              <w:rPr>
                <w:rFonts w:hAnsi="宋体"/>
                <w:sz w:val="24"/>
              </w:rPr>
              <w:t>性指</w:t>
            </w:r>
            <w:r>
              <w:rPr>
                <w:rFonts w:hint="eastAsia" w:hAnsi="宋体"/>
                <w:sz w:val="24"/>
              </w:rPr>
              <w:t>标。</w:t>
            </w:r>
          </w:p>
        </w:tc>
      </w:tr>
    </w:tbl>
    <w:p>
      <w:pPr>
        <w:spacing w:line="360" w:lineRule="auto"/>
        <w:rPr>
          <w:rFonts w:hAnsi="宋体"/>
          <w:sz w:val="24"/>
          <w:lang w:val="en-GB"/>
        </w:rPr>
      </w:pPr>
      <w:r>
        <w:rPr>
          <w:rFonts w:hint="eastAsia" w:hAnsi="宋体"/>
          <w:sz w:val="24"/>
          <w:lang w:val="en-GB"/>
        </w:rPr>
        <w:t>2</w:t>
      </w:r>
      <w:r>
        <w:rPr>
          <w:rFonts w:hAnsi="宋体"/>
          <w:sz w:val="24"/>
          <w:lang w:val="en-GB"/>
        </w:rPr>
        <w:t>.3</w:t>
      </w:r>
      <w:r>
        <w:rPr>
          <w:rFonts w:hint="eastAsia" w:hAnsi="宋体"/>
          <w:sz w:val="24"/>
          <w:lang w:val="en-GB"/>
        </w:rPr>
        <w:t>地下空间开发利用中，采取保护地下水体补充路径的措施。</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1701"/>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spacing w:line="360" w:lineRule="auto"/>
              <w:rPr>
                <w:rFonts w:hAnsi="宋体"/>
                <w:sz w:val="24"/>
              </w:rPr>
            </w:pPr>
            <w:r>
              <w:rPr>
                <w:rFonts w:hint="eastAsia" w:hAnsi="宋体"/>
                <w:sz w:val="24"/>
              </w:rPr>
              <w:t>条文来源</w:t>
            </w:r>
          </w:p>
        </w:tc>
        <w:tc>
          <w:tcPr>
            <w:tcW w:w="2305" w:type="dxa"/>
          </w:tcPr>
          <w:p>
            <w:pPr>
              <w:spacing w:line="360" w:lineRule="auto"/>
              <w:jc w:val="center"/>
              <w:rPr>
                <w:rFonts w:hAnsi="宋体"/>
                <w:sz w:val="24"/>
              </w:rPr>
            </w:pPr>
            <w:r>
              <w:rPr>
                <w:rFonts w:hint="eastAsia" w:hAnsi="宋体"/>
                <w:sz w:val="24"/>
              </w:rPr>
              <w:t>GB/T 50378-201</w:t>
            </w:r>
            <w:r>
              <w:rPr>
                <w:rFonts w:hAnsi="宋体"/>
                <w:sz w:val="24"/>
              </w:rPr>
              <w:t>9</w:t>
            </w:r>
          </w:p>
        </w:tc>
        <w:tc>
          <w:tcPr>
            <w:tcW w:w="1701" w:type="dxa"/>
          </w:tcPr>
          <w:p>
            <w:pPr>
              <w:spacing w:line="360" w:lineRule="auto"/>
              <w:jc w:val="center"/>
              <w:rPr>
                <w:rFonts w:hAnsi="宋体"/>
                <w:sz w:val="24"/>
              </w:rPr>
            </w:pPr>
            <w:r>
              <w:rPr>
                <w:rFonts w:hAnsi="宋体"/>
                <w:sz w:val="24"/>
              </w:rPr>
              <w:t>7.2.12</w:t>
            </w:r>
            <w:r>
              <w:rPr>
                <w:rFonts w:hint="eastAsia" w:hAnsi="宋体"/>
                <w:sz w:val="24"/>
              </w:rPr>
              <w:t>条-</w:t>
            </w:r>
            <w:r>
              <w:rPr>
                <w:rFonts w:hAnsi="宋体"/>
                <w:sz w:val="24"/>
              </w:rPr>
              <w:t>2</w:t>
            </w:r>
          </w:p>
        </w:tc>
        <w:tc>
          <w:tcPr>
            <w:tcW w:w="3969" w:type="dxa"/>
          </w:tcPr>
          <w:p>
            <w:pPr>
              <w:spacing w:line="360" w:lineRule="auto"/>
              <w:jc w:val="center"/>
              <w:rPr>
                <w:rFonts w:hAnsi="宋体"/>
                <w:sz w:val="24"/>
              </w:rPr>
            </w:pPr>
            <w:r>
              <w:rPr>
                <w:rFonts w:hAnsi="宋体"/>
                <w:sz w:val="24"/>
              </w:rPr>
              <w:t>4</w:t>
            </w:r>
            <w:r>
              <w:rPr>
                <w:rFonts w:hint="eastAsia"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305" w:type="dxa"/>
            <w:vMerge w:val="restart"/>
          </w:tcPr>
          <w:p>
            <w:pPr>
              <w:spacing w:line="360" w:lineRule="auto"/>
              <w:jc w:val="center"/>
              <w:rPr>
                <w:rFonts w:hAnsi="宋体"/>
                <w:sz w:val="24"/>
              </w:rPr>
            </w:pPr>
            <w:r>
              <w:rPr>
                <w:rFonts w:hint="eastAsia" w:hAnsi="宋体"/>
                <w:sz w:val="24"/>
              </w:rPr>
              <w:t>DB 33/1092-</w:t>
            </w:r>
            <w:r>
              <w:rPr>
                <w:rFonts w:hAnsi="宋体"/>
                <w:sz w:val="24"/>
              </w:rPr>
              <w:t>2021</w:t>
            </w:r>
          </w:p>
        </w:tc>
        <w:tc>
          <w:tcPr>
            <w:tcW w:w="1701" w:type="dxa"/>
          </w:tcPr>
          <w:p>
            <w:pPr>
              <w:spacing w:line="360" w:lineRule="auto"/>
              <w:jc w:val="center"/>
              <w:rPr>
                <w:rFonts w:hAnsi="宋体"/>
                <w:sz w:val="24"/>
              </w:rPr>
            </w:pPr>
            <w:r>
              <w:rPr>
                <w:rFonts w:hint="eastAsia" w:hAnsi="宋体"/>
                <w:sz w:val="24"/>
              </w:rPr>
              <w:t>4</w:t>
            </w:r>
            <w:r>
              <w:rPr>
                <w:rFonts w:hAnsi="宋体"/>
                <w:sz w:val="24"/>
              </w:rPr>
              <w:t>.3.2</w:t>
            </w:r>
            <w:r>
              <w:rPr>
                <w:rFonts w:hint="eastAsia" w:hAnsi="宋体"/>
                <w:sz w:val="24"/>
              </w:rPr>
              <w:t>条-</w:t>
            </w:r>
            <w:r>
              <w:rPr>
                <w:rFonts w:hAnsi="宋体"/>
                <w:sz w:val="24"/>
              </w:rPr>
              <w:t>3</w:t>
            </w:r>
          </w:p>
        </w:tc>
        <w:tc>
          <w:tcPr>
            <w:tcW w:w="3969" w:type="dxa"/>
          </w:tcPr>
          <w:p>
            <w:pPr>
              <w:spacing w:line="360" w:lineRule="auto"/>
              <w:jc w:val="center"/>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305" w:type="dxa"/>
            <w:vMerge w:val="continue"/>
          </w:tcPr>
          <w:p>
            <w:pPr>
              <w:spacing w:line="360" w:lineRule="auto"/>
              <w:jc w:val="center"/>
              <w:rPr>
                <w:rFonts w:hAnsi="宋体"/>
                <w:sz w:val="24"/>
              </w:rPr>
            </w:pPr>
          </w:p>
        </w:tc>
        <w:tc>
          <w:tcPr>
            <w:tcW w:w="1701" w:type="dxa"/>
          </w:tcPr>
          <w:p>
            <w:pPr>
              <w:spacing w:line="360" w:lineRule="auto"/>
              <w:jc w:val="center"/>
              <w:rPr>
                <w:rFonts w:hAnsi="宋体"/>
                <w:sz w:val="24"/>
              </w:rPr>
            </w:pPr>
            <w:r>
              <w:rPr>
                <w:rFonts w:hint="eastAsia" w:hAnsi="宋体"/>
                <w:sz w:val="24"/>
              </w:rPr>
              <w:t>1</w:t>
            </w:r>
            <w:r>
              <w:rPr>
                <w:rFonts w:hAnsi="宋体"/>
                <w:sz w:val="24"/>
              </w:rPr>
              <w:t>0.3.4</w:t>
            </w:r>
            <w:r>
              <w:rPr>
                <w:rFonts w:hint="eastAsia" w:hAnsi="宋体"/>
                <w:sz w:val="24"/>
              </w:rPr>
              <w:t>条</w:t>
            </w:r>
          </w:p>
        </w:tc>
        <w:tc>
          <w:tcPr>
            <w:tcW w:w="3969" w:type="dxa"/>
          </w:tcPr>
          <w:p>
            <w:pPr>
              <w:spacing w:line="360" w:lineRule="auto"/>
              <w:jc w:val="center"/>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305" w:type="dxa"/>
            <w:vMerge w:val="continue"/>
          </w:tcPr>
          <w:p>
            <w:pPr>
              <w:spacing w:line="360" w:lineRule="auto"/>
              <w:jc w:val="center"/>
              <w:rPr>
                <w:rFonts w:hAnsi="宋体"/>
                <w:sz w:val="24"/>
              </w:rPr>
            </w:pPr>
          </w:p>
        </w:tc>
        <w:tc>
          <w:tcPr>
            <w:tcW w:w="1701" w:type="dxa"/>
          </w:tcPr>
          <w:p>
            <w:pPr>
              <w:spacing w:line="360" w:lineRule="auto"/>
              <w:jc w:val="center"/>
              <w:rPr>
                <w:rFonts w:hAnsi="宋体"/>
                <w:sz w:val="24"/>
              </w:rPr>
            </w:pPr>
            <w:r>
              <w:rPr>
                <w:rFonts w:hint="eastAsia" w:hAnsi="宋体"/>
                <w:sz w:val="24"/>
              </w:rPr>
              <w:t>1</w:t>
            </w:r>
            <w:r>
              <w:rPr>
                <w:rFonts w:hAnsi="宋体"/>
                <w:sz w:val="24"/>
              </w:rPr>
              <w:t>0.4.5</w:t>
            </w:r>
            <w:r>
              <w:rPr>
                <w:rFonts w:hint="eastAsia" w:hAnsi="宋体"/>
                <w:sz w:val="24"/>
              </w:rPr>
              <w:t>条</w:t>
            </w:r>
          </w:p>
        </w:tc>
        <w:tc>
          <w:tcPr>
            <w:tcW w:w="3969" w:type="dxa"/>
          </w:tcPr>
          <w:p>
            <w:pPr>
              <w:spacing w:line="360" w:lineRule="auto"/>
              <w:jc w:val="center"/>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依据材料</w:t>
            </w:r>
          </w:p>
        </w:tc>
        <w:tc>
          <w:tcPr>
            <w:tcW w:w="7975" w:type="dxa"/>
            <w:gridSpan w:val="3"/>
          </w:tcPr>
          <w:p>
            <w:pPr>
              <w:pStyle w:val="17"/>
              <w:spacing w:line="360" w:lineRule="auto"/>
              <w:ind w:firstLine="480" w:firstLineChars="200"/>
              <w:rPr>
                <w:rFonts w:hAnsi="宋体"/>
                <w:sz w:val="24"/>
              </w:rPr>
            </w:pPr>
            <w:r>
              <w:rPr>
                <w:rFonts w:hint="eastAsia" w:hAnsi="宋体"/>
                <w:sz w:val="24"/>
              </w:rPr>
              <w:t>设计人员根据相关设计文件(含总平面图竖向、室内外给排水施工图、水景详图、地下室施工图等)，水量平衡计算书，以及根据实际情况，填写此项内容。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975" w:type="dxa"/>
            <w:gridSpan w:val="3"/>
          </w:tcPr>
          <w:p>
            <w:pPr>
              <w:pStyle w:val="17"/>
              <w:spacing w:line="360" w:lineRule="auto"/>
              <w:ind w:firstLine="480" w:firstLineChars="200"/>
              <w:rPr>
                <w:rFonts w:hAnsi="宋体"/>
                <w:sz w:val="24"/>
              </w:rPr>
            </w:pPr>
            <w:r>
              <w:rPr>
                <w:rFonts w:hint="eastAsia" w:hAnsi="宋体"/>
                <w:sz w:val="24"/>
              </w:rPr>
              <w:t>景观水体的水质根据水景补水水源和功能性质不同，应不低于国家现行标准的相关要求，具体水质标准详见GB/T 50378-201</w:t>
            </w:r>
            <w:r>
              <w:rPr>
                <w:rFonts w:hAnsi="宋体"/>
                <w:sz w:val="24"/>
              </w:rPr>
              <w:t>9</w:t>
            </w:r>
            <w:r>
              <w:rPr>
                <w:rFonts w:hint="eastAsia" w:hAnsi="宋体"/>
                <w:sz w:val="24"/>
              </w:rPr>
              <w:t>第5．2．4条。景观水体的水质保障应采用生态水处理技术，在雨水进入景观水体之前充分利用植物和土壤渗滤作用削减径流污染，通过采用非硬质池底及生态驳岸，为水生动植物提供栖息条件，通过水生动植物对水体进行净化；必要时可采取其他辅助手段对水体进行净化，保障水体水质安全。</w:t>
            </w:r>
          </w:p>
          <w:p>
            <w:pPr>
              <w:pStyle w:val="17"/>
              <w:spacing w:line="360" w:lineRule="auto"/>
              <w:ind w:firstLine="480" w:firstLineChars="200"/>
              <w:rPr>
                <w:rFonts w:hAnsi="宋体"/>
                <w:sz w:val="24"/>
              </w:rPr>
            </w:pPr>
            <w:r>
              <w:rPr>
                <w:rFonts w:hAnsi="宋体"/>
                <w:sz w:val="24"/>
              </w:rPr>
              <w:t>从雨水渗透及地下水补给、减少径流外排等生态环保要求出发，地下空间应利用有度、科学合理。</w:t>
            </w:r>
          </w:p>
          <w:p>
            <w:pPr>
              <w:pStyle w:val="17"/>
              <w:spacing w:line="360" w:lineRule="auto"/>
              <w:ind w:firstLine="480" w:firstLineChars="200"/>
              <w:rPr>
                <w:rFonts w:hAnsi="宋体"/>
                <w:sz w:val="24"/>
              </w:rPr>
            </w:pPr>
            <w:r>
              <w:rPr>
                <w:rFonts w:hAnsi="宋体"/>
                <w:sz w:val="24"/>
              </w:rPr>
              <w:t>雨水进入景观水体之前应设置前置塘、植被缓冲带等预处理设施， 同时可采用植草沟传输雨水，以降低径流污染负荷。景观水体宜采用非硬质池底及生态护坡，为水生植物提供栖息或生长条件，并通过水生动植物提高水体的自净能力</w:t>
            </w:r>
            <w:r>
              <w:rPr>
                <w:rFonts w:hint="eastAsia" w:hAnsi="宋体"/>
                <w:sz w:val="24"/>
              </w:rPr>
              <w:t>。</w:t>
            </w:r>
          </w:p>
          <w:p>
            <w:pPr>
              <w:pStyle w:val="17"/>
              <w:spacing w:line="360" w:lineRule="auto"/>
              <w:ind w:firstLine="480" w:firstLineChars="200"/>
              <w:rPr>
                <w:rFonts w:hAnsi="宋体"/>
                <w:sz w:val="24"/>
              </w:rPr>
            </w:pPr>
            <w:r>
              <w:rPr>
                <w:rFonts w:hAnsi="宋体"/>
                <w:sz w:val="24"/>
              </w:rPr>
              <w:t>景观水体应加强水体的水力循环，宜利用太阳能、风能等清洁能源为园林景观提供水体循环的动力，使水体循环通过人工湿地、生态湖岸或生态圈进行生态恢复与重建</w:t>
            </w:r>
            <w:r>
              <w:rPr>
                <w:rFonts w:hint="eastAsia" w:hAnsi="宋体"/>
                <w:sz w:val="24"/>
              </w:rPr>
              <w:t>。</w:t>
            </w:r>
          </w:p>
        </w:tc>
      </w:tr>
    </w:tbl>
    <w:p>
      <w:pPr>
        <w:spacing w:line="360" w:lineRule="auto"/>
        <w:rPr>
          <w:rFonts w:hAnsi="宋体"/>
          <w:sz w:val="24"/>
          <w:lang w:val="en-GB"/>
        </w:rPr>
      </w:pPr>
      <w:r>
        <w:rPr>
          <w:rFonts w:hint="eastAsia" w:hAnsi="宋体"/>
          <w:sz w:val="24"/>
          <w:lang w:val="en-GB"/>
        </w:rPr>
        <w:t>2</w:t>
      </w:r>
      <w:r>
        <w:rPr>
          <w:rFonts w:hAnsi="宋体"/>
          <w:sz w:val="24"/>
          <w:lang w:val="en-GB"/>
        </w:rPr>
        <w:t>.</w:t>
      </w:r>
      <w:r>
        <w:rPr>
          <w:rFonts w:hint="eastAsia" w:hAnsi="宋体"/>
          <w:sz w:val="24"/>
          <w:lang w:val="en-GB"/>
        </w:rPr>
        <w:t>4景观绿化设计：</w:t>
      </w:r>
      <w:r>
        <w:rPr>
          <w:rFonts w:hAnsi="宋体"/>
          <w:sz w:val="24"/>
          <w:lang w:val="en-GB"/>
        </w:rPr>
        <w:t xml:space="preserve"> </w:t>
      </w:r>
    </w:p>
    <w:p>
      <w:pPr>
        <w:spacing w:line="360" w:lineRule="auto"/>
        <w:rPr>
          <w:rFonts w:hAnsi="宋体"/>
          <w:sz w:val="24"/>
          <w:lang w:val="en-GB"/>
        </w:rPr>
      </w:pPr>
      <w:r>
        <w:rPr>
          <w:rFonts w:hint="eastAsia" w:hAnsi="宋体"/>
          <w:sz w:val="24"/>
          <w:lang w:val="en-GB"/>
        </w:rPr>
        <w:t>2</w:t>
      </w:r>
      <w:r>
        <w:rPr>
          <w:rFonts w:hAnsi="宋体"/>
          <w:sz w:val="24"/>
          <w:lang w:val="en-GB"/>
        </w:rPr>
        <w:t>.</w:t>
      </w:r>
      <w:r>
        <w:rPr>
          <w:rFonts w:hint="eastAsia" w:hAnsi="宋体"/>
          <w:sz w:val="24"/>
          <w:lang w:val="en-GB"/>
        </w:rPr>
        <w:t>4</w:t>
      </w:r>
      <w:r>
        <w:rPr>
          <w:rFonts w:hAnsi="宋体"/>
          <w:sz w:val="24"/>
          <w:lang w:val="en-GB"/>
        </w:rPr>
        <w:t xml:space="preserve">.1 </w:t>
      </w:r>
      <w:r>
        <w:rPr>
          <w:rFonts w:hint="eastAsia" w:hAnsi="宋体"/>
          <w:sz w:val="24"/>
          <w:lang w:val="en-GB"/>
        </w:rPr>
        <w:t>景观设计结合项目进行专项设计；</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589"/>
        <w:gridCol w:w="1275"/>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tcPr>
          <w:p>
            <w:pPr>
              <w:spacing w:line="360" w:lineRule="auto"/>
              <w:rPr>
                <w:rFonts w:hAnsi="宋体"/>
                <w:sz w:val="24"/>
              </w:rPr>
            </w:pPr>
            <w:r>
              <w:rPr>
                <w:rFonts w:hint="eastAsia" w:hAnsi="宋体"/>
                <w:sz w:val="24"/>
              </w:rPr>
              <w:t>条文来源</w:t>
            </w:r>
          </w:p>
        </w:tc>
        <w:tc>
          <w:tcPr>
            <w:tcW w:w="2589" w:type="dxa"/>
          </w:tcPr>
          <w:p>
            <w:pPr>
              <w:spacing w:line="360" w:lineRule="auto"/>
              <w:jc w:val="center"/>
              <w:rPr>
                <w:rFonts w:hAnsi="宋体"/>
                <w:sz w:val="24"/>
              </w:rPr>
            </w:pPr>
            <w:r>
              <w:rPr>
                <w:rFonts w:hint="eastAsia" w:hAnsi="宋体"/>
                <w:sz w:val="24"/>
              </w:rPr>
              <w:t>DB 33/1092-</w:t>
            </w:r>
            <w:r>
              <w:rPr>
                <w:rFonts w:hAnsi="宋体"/>
                <w:sz w:val="24"/>
              </w:rPr>
              <w:t>2021</w:t>
            </w:r>
          </w:p>
        </w:tc>
        <w:tc>
          <w:tcPr>
            <w:tcW w:w="1275" w:type="dxa"/>
          </w:tcPr>
          <w:p>
            <w:pPr>
              <w:spacing w:line="360" w:lineRule="auto"/>
              <w:jc w:val="center"/>
              <w:rPr>
                <w:rFonts w:hAnsi="宋体"/>
                <w:sz w:val="24"/>
              </w:rPr>
            </w:pPr>
            <w:r>
              <w:rPr>
                <w:rFonts w:hint="eastAsia" w:hAnsi="宋体"/>
                <w:sz w:val="24"/>
              </w:rPr>
              <w:t>1</w:t>
            </w:r>
            <w:r>
              <w:rPr>
                <w:rFonts w:hAnsi="宋体"/>
                <w:sz w:val="24"/>
              </w:rPr>
              <w:t>0.1.2</w:t>
            </w:r>
            <w:r>
              <w:rPr>
                <w:rFonts w:hint="eastAsia" w:hAnsi="宋体"/>
                <w:sz w:val="24"/>
              </w:rPr>
              <w:t>条</w:t>
            </w:r>
          </w:p>
        </w:tc>
        <w:tc>
          <w:tcPr>
            <w:tcW w:w="4111" w:type="dxa"/>
          </w:tcPr>
          <w:p>
            <w:pPr>
              <w:spacing w:line="360" w:lineRule="auto"/>
              <w:jc w:val="center"/>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依据材料</w:t>
            </w:r>
          </w:p>
        </w:tc>
        <w:tc>
          <w:tcPr>
            <w:tcW w:w="7975" w:type="dxa"/>
            <w:gridSpan w:val="3"/>
          </w:tcPr>
          <w:p>
            <w:pPr>
              <w:pStyle w:val="17"/>
              <w:spacing w:line="360" w:lineRule="auto"/>
              <w:ind w:firstLine="480" w:firstLineChars="200"/>
              <w:rPr>
                <w:rFonts w:hAnsi="宋体"/>
                <w:sz w:val="24"/>
              </w:rPr>
            </w:pPr>
            <w:r>
              <w:rPr>
                <w:rFonts w:hint="eastAsia" w:hAnsi="宋体"/>
                <w:sz w:val="24"/>
              </w:rPr>
              <w:t>设计人员根据景观专篇相关设计文件，以及根据实际情况，填写此项内容。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975" w:type="dxa"/>
            <w:gridSpan w:val="3"/>
          </w:tcPr>
          <w:p>
            <w:pPr>
              <w:pStyle w:val="17"/>
              <w:spacing w:line="360" w:lineRule="auto"/>
              <w:ind w:firstLine="480" w:firstLineChars="200"/>
              <w:rPr>
                <w:rFonts w:hAnsi="宋体"/>
                <w:sz w:val="24"/>
              </w:rPr>
            </w:pPr>
            <w:r>
              <w:rPr>
                <w:rFonts w:hAnsi="宋体"/>
                <w:sz w:val="24"/>
              </w:rPr>
              <w:t>景观设计应结合项目进行专项设计，综合考虑各类景观环境要素，优化场地的风环境、声环境、光环境、热环境、空气质 量、视觉环境和嗅觉环境等，并提供配套设施，对设置绿化的区 域进行场地光和有效辐射分析。</w:t>
            </w:r>
          </w:p>
        </w:tc>
      </w:tr>
    </w:tbl>
    <w:p>
      <w:pPr>
        <w:spacing w:line="360" w:lineRule="auto"/>
        <w:rPr>
          <w:rFonts w:hAnsi="宋体"/>
          <w:sz w:val="24"/>
          <w:lang w:val="en-GB"/>
        </w:rPr>
      </w:pPr>
      <w:r>
        <w:rPr>
          <w:rFonts w:hint="eastAsia" w:hAnsi="宋体"/>
          <w:sz w:val="24"/>
          <w:lang w:val="en-GB"/>
        </w:rPr>
        <w:t>2</w:t>
      </w:r>
      <w:r>
        <w:rPr>
          <w:rFonts w:hAnsi="宋体"/>
          <w:sz w:val="24"/>
          <w:lang w:val="en-GB"/>
        </w:rPr>
        <w:t>.</w:t>
      </w:r>
      <w:r>
        <w:rPr>
          <w:rFonts w:hint="eastAsia" w:hAnsi="宋体"/>
          <w:sz w:val="24"/>
          <w:lang w:val="en-GB"/>
        </w:rPr>
        <w:t>4</w:t>
      </w:r>
      <w:r>
        <w:rPr>
          <w:rFonts w:hAnsi="宋体"/>
          <w:sz w:val="24"/>
          <w:lang w:val="en-GB"/>
        </w:rPr>
        <w:t xml:space="preserve">.2 </w:t>
      </w:r>
      <w:r>
        <w:rPr>
          <w:rFonts w:hint="eastAsia" w:hAnsi="宋体"/>
          <w:sz w:val="24"/>
          <w:lang w:val="en-GB"/>
        </w:rPr>
        <w:t>规划条件要求绿地率；设计绿地率；可计入绿地率的绿地面积；</w:t>
      </w:r>
      <w:r>
        <w:rPr>
          <w:rFonts w:hAnsi="宋体"/>
          <w:sz w:val="24"/>
          <w:lang w:val="en-GB"/>
        </w:rPr>
        <w:t xml:space="preserve"> </w:t>
      </w:r>
    </w:p>
    <w:p>
      <w:pPr>
        <w:spacing w:line="360" w:lineRule="auto"/>
        <w:rPr>
          <w:rFonts w:hAnsi="宋体"/>
          <w:sz w:val="24"/>
          <w:lang w:val="en-GB"/>
        </w:rPr>
      </w:pPr>
      <w:r>
        <w:rPr>
          <w:rFonts w:hint="eastAsia" w:hAnsi="宋体"/>
          <w:sz w:val="24"/>
          <w:lang w:val="en-GB"/>
        </w:rPr>
        <w:t>2</w:t>
      </w:r>
      <w:r>
        <w:rPr>
          <w:rFonts w:hAnsi="宋体"/>
          <w:sz w:val="24"/>
          <w:lang w:val="en-GB"/>
        </w:rPr>
        <w:t>.</w:t>
      </w:r>
      <w:r>
        <w:rPr>
          <w:rFonts w:hint="eastAsia" w:hAnsi="宋体"/>
          <w:sz w:val="24"/>
          <w:lang w:val="en-GB"/>
        </w:rPr>
        <w:t>4</w:t>
      </w:r>
      <w:r>
        <w:rPr>
          <w:rFonts w:hAnsi="宋体"/>
          <w:sz w:val="24"/>
          <w:lang w:val="en-GB"/>
        </w:rPr>
        <w:t>.3住宅建筑所在居住街坊内人均集中绿地面积</w:t>
      </w:r>
      <w:r>
        <w:rPr>
          <w:rFonts w:hint="eastAsia" w:hAnsi="宋体"/>
          <w:sz w:val="24"/>
          <w:lang w:val="en-GB"/>
        </w:rPr>
        <w:t>（Ag）；</w:t>
      </w:r>
    </w:p>
    <w:p>
      <w:pPr>
        <w:spacing w:line="360" w:lineRule="auto"/>
        <w:rPr>
          <w:rFonts w:hAnsi="宋体"/>
          <w:sz w:val="24"/>
          <w:lang w:val="en-GB"/>
        </w:rPr>
      </w:pPr>
      <w:r>
        <w:rPr>
          <w:rFonts w:hint="eastAsia" w:hAnsi="宋体"/>
          <w:sz w:val="24"/>
          <w:lang w:val="en-GB"/>
        </w:rPr>
        <w:t>2</w:t>
      </w:r>
      <w:r>
        <w:rPr>
          <w:rFonts w:hAnsi="宋体"/>
          <w:sz w:val="24"/>
          <w:lang w:val="en-GB"/>
        </w:rPr>
        <w:t>.</w:t>
      </w:r>
      <w:r>
        <w:rPr>
          <w:rFonts w:hint="eastAsia" w:hAnsi="宋体"/>
          <w:sz w:val="24"/>
          <w:lang w:val="en-GB"/>
        </w:rPr>
        <w:t>4</w:t>
      </w:r>
      <w:r>
        <w:rPr>
          <w:rFonts w:hAnsi="宋体"/>
          <w:sz w:val="24"/>
          <w:lang w:val="en-GB"/>
        </w:rPr>
        <w:t xml:space="preserve">.4 </w:t>
      </w:r>
      <w:r>
        <w:rPr>
          <w:rFonts w:hint="eastAsia" w:hAnsi="宋体"/>
          <w:sz w:val="24"/>
          <w:lang w:val="en-GB"/>
        </w:rPr>
        <w:t>绿化设置位置；</w:t>
      </w:r>
    </w:p>
    <w:p>
      <w:pPr>
        <w:spacing w:line="360" w:lineRule="auto"/>
        <w:rPr>
          <w:rFonts w:hAnsi="宋体"/>
          <w:sz w:val="24"/>
          <w:lang w:val="en-GB"/>
        </w:rPr>
      </w:pPr>
      <w:r>
        <w:rPr>
          <w:rFonts w:hint="eastAsia" w:hAnsi="宋体"/>
          <w:sz w:val="24"/>
          <w:lang w:val="en-GB"/>
        </w:rPr>
        <w:t>2</w:t>
      </w:r>
      <w:r>
        <w:rPr>
          <w:rFonts w:hAnsi="宋体"/>
          <w:sz w:val="24"/>
          <w:lang w:val="en-GB"/>
        </w:rPr>
        <w:t>.</w:t>
      </w:r>
      <w:r>
        <w:rPr>
          <w:rFonts w:hint="eastAsia" w:hAnsi="宋体"/>
          <w:sz w:val="24"/>
          <w:lang w:val="en-GB"/>
        </w:rPr>
        <w:t>4</w:t>
      </w:r>
      <w:r>
        <w:rPr>
          <w:rFonts w:hAnsi="宋体"/>
          <w:sz w:val="24"/>
          <w:lang w:val="en-GB"/>
        </w:rPr>
        <w:t xml:space="preserve">.5 </w:t>
      </w:r>
      <w:r>
        <w:rPr>
          <w:rFonts w:hint="eastAsia" w:hAnsi="宋体"/>
          <w:sz w:val="24"/>
          <w:lang w:val="en-GB"/>
        </w:rPr>
        <w:t>室外绿化设计实施要求：（1）施工图中明确要求；（2）提供景观图；</w:t>
      </w:r>
    </w:p>
    <w:p>
      <w:pPr>
        <w:spacing w:line="360" w:lineRule="auto"/>
        <w:rPr>
          <w:rFonts w:hAnsi="宋体"/>
          <w:sz w:val="24"/>
          <w:lang w:val="en-GB"/>
        </w:rPr>
      </w:pPr>
      <w:r>
        <w:rPr>
          <w:rFonts w:hint="eastAsia" w:hAnsi="宋体"/>
          <w:sz w:val="24"/>
          <w:lang w:val="en-GB"/>
        </w:rPr>
        <w:t>2</w:t>
      </w:r>
      <w:r>
        <w:rPr>
          <w:rFonts w:hAnsi="宋体"/>
          <w:sz w:val="24"/>
          <w:lang w:val="en-GB"/>
        </w:rPr>
        <w:t>.</w:t>
      </w:r>
      <w:r>
        <w:rPr>
          <w:rFonts w:hint="eastAsia" w:hAnsi="宋体"/>
          <w:sz w:val="24"/>
          <w:lang w:val="en-GB"/>
        </w:rPr>
        <w:t>4</w:t>
      </w:r>
      <w:r>
        <w:rPr>
          <w:rFonts w:hAnsi="宋体"/>
          <w:sz w:val="24"/>
          <w:lang w:val="en-GB"/>
        </w:rPr>
        <w:t xml:space="preserve">.6 </w:t>
      </w:r>
      <w:r>
        <w:rPr>
          <w:rFonts w:hint="eastAsia" w:hAnsi="宋体"/>
          <w:sz w:val="24"/>
          <w:lang w:val="en-GB"/>
        </w:rPr>
        <w:t>合理选择绿化方式，植物种植适应浙江省气候和土壤，且无毒害、易维护；</w:t>
      </w:r>
    </w:p>
    <w:p>
      <w:pPr>
        <w:spacing w:line="360" w:lineRule="auto"/>
        <w:rPr>
          <w:rFonts w:hAnsi="宋体"/>
          <w:sz w:val="24"/>
          <w:lang w:val="en-GB"/>
        </w:rPr>
      </w:pPr>
      <w:r>
        <w:rPr>
          <w:rFonts w:hint="eastAsia" w:hAnsi="宋体"/>
          <w:sz w:val="24"/>
          <w:lang w:val="en-GB"/>
        </w:rPr>
        <w:t>2</w:t>
      </w:r>
      <w:r>
        <w:rPr>
          <w:rFonts w:hAnsi="宋体"/>
          <w:sz w:val="24"/>
          <w:lang w:val="en-GB"/>
        </w:rPr>
        <w:t>.</w:t>
      </w:r>
      <w:r>
        <w:rPr>
          <w:rFonts w:hint="eastAsia" w:hAnsi="宋体"/>
          <w:sz w:val="24"/>
          <w:lang w:val="en-GB"/>
        </w:rPr>
        <w:t>4</w:t>
      </w:r>
      <w:r>
        <w:rPr>
          <w:rFonts w:hAnsi="宋体"/>
          <w:sz w:val="24"/>
          <w:lang w:val="en-GB"/>
        </w:rPr>
        <w:t xml:space="preserve">.7 </w:t>
      </w:r>
      <w:r>
        <w:rPr>
          <w:rFonts w:hint="eastAsia" w:hAnsi="宋体"/>
          <w:sz w:val="24"/>
          <w:lang w:val="en-GB"/>
        </w:rPr>
        <w:t>种植区域覆土深度和排水能力满足植物生长需求，并采用乔、灌、草结合等复层绿化方式；</w:t>
      </w:r>
    </w:p>
    <w:p>
      <w:pPr>
        <w:spacing w:line="360" w:lineRule="auto"/>
        <w:rPr>
          <w:rFonts w:hAnsi="宋体"/>
          <w:sz w:val="24"/>
          <w:lang w:val="en-GB"/>
        </w:rPr>
      </w:pPr>
      <w:r>
        <w:rPr>
          <w:rFonts w:hint="eastAsia" w:hAnsi="宋体"/>
          <w:sz w:val="24"/>
          <w:lang w:val="en-GB"/>
        </w:rPr>
        <w:t>2</w:t>
      </w:r>
      <w:r>
        <w:rPr>
          <w:rFonts w:hAnsi="宋体"/>
          <w:sz w:val="24"/>
          <w:lang w:val="en-GB"/>
        </w:rPr>
        <w:t>.</w:t>
      </w:r>
      <w:r>
        <w:rPr>
          <w:rFonts w:hint="eastAsia" w:hAnsi="宋体"/>
          <w:sz w:val="24"/>
          <w:lang w:val="en-GB"/>
        </w:rPr>
        <w:t>4</w:t>
      </w:r>
      <w:r>
        <w:rPr>
          <w:rFonts w:hAnsi="宋体"/>
          <w:sz w:val="24"/>
          <w:lang w:val="en-GB"/>
        </w:rPr>
        <w:t>.8</w:t>
      </w:r>
      <w:r>
        <w:rPr>
          <w:rFonts w:hint="eastAsia" w:hAnsi="宋体"/>
          <w:sz w:val="24"/>
          <w:lang w:val="en-GB"/>
        </w:rPr>
        <w:t>住宅建筑平均每100 m²绿地的乔木量不少于3株；</w:t>
      </w:r>
      <w:r>
        <w:rPr>
          <w:rFonts w:hint="eastAsia" w:asciiTheme="minorEastAsia" w:hAnsiTheme="minorEastAsia" w:eastAsiaTheme="minorEastAsia"/>
          <w:sz w:val="24"/>
          <w:lang w:eastAsia="zh-Hans"/>
        </w:rPr>
        <w:t>不选用移植大树，</w:t>
      </w:r>
      <w:r>
        <w:rPr>
          <w:rFonts w:hint="eastAsia" w:asciiTheme="minorEastAsia" w:hAnsiTheme="minorEastAsia" w:eastAsiaTheme="minorEastAsia"/>
          <w:sz w:val="24"/>
          <w:lang w:val="en-GB"/>
        </w:rPr>
        <w:t>种植</w:t>
      </w:r>
      <w:r>
        <w:rPr>
          <w:rFonts w:hint="eastAsia" w:asciiTheme="minorEastAsia" w:hAnsiTheme="minorEastAsia" w:eastAsiaTheme="minorEastAsia"/>
          <w:sz w:val="24"/>
        </w:rPr>
        <w:t>无须永久灌溉植物</w:t>
      </w:r>
      <w:r>
        <w:rPr>
          <w:rFonts w:hint="eastAsia" w:asciiTheme="minorEastAsia" w:hAnsiTheme="minorEastAsia" w:eastAsiaTheme="minorEastAsia"/>
          <w:sz w:val="24"/>
          <w:lang w:eastAsia="zh-Hans"/>
        </w:rPr>
        <w:t>；</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163"/>
        <w:gridCol w:w="1985"/>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spacing w:line="360" w:lineRule="auto"/>
              <w:rPr>
                <w:rFonts w:hAnsi="宋体"/>
                <w:sz w:val="24"/>
              </w:rPr>
            </w:pPr>
            <w:r>
              <w:rPr>
                <w:rFonts w:hint="eastAsia" w:hAnsi="宋体"/>
                <w:sz w:val="24"/>
              </w:rPr>
              <w:t>条文来源</w:t>
            </w:r>
          </w:p>
        </w:tc>
        <w:tc>
          <w:tcPr>
            <w:tcW w:w="2163" w:type="dxa"/>
            <w:vMerge w:val="restart"/>
          </w:tcPr>
          <w:p>
            <w:pPr>
              <w:spacing w:line="360" w:lineRule="auto"/>
              <w:jc w:val="center"/>
              <w:rPr>
                <w:rFonts w:hAnsi="宋体"/>
                <w:sz w:val="24"/>
              </w:rPr>
            </w:pPr>
            <w:r>
              <w:rPr>
                <w:rFonts w:hint="eastAsia" w:hAnsi="宋体"/>
                <w:sz w:val="24"/>
              </w:rPr>
              <w:t>GB/T 50378-201</w:t>
            </w:r>
            <w:r>
              <w:rPr>
                <w:rFonts w:hAnsi="宋体"/>
                <w:sz w:val="24"/>
              </w:rPr>
              <w:t>9</w:t>
            </w:r>
          </w:p>
        </w:tc>
        <w:tc>
          <w:tcPr>
            <w:tcW w:w="1985" w:type="dxa"/>
          </w:tcPr>
          <w:p>
            <w:pPr>
              <w:spacing w:line="360" w:lineRule="auto"/>
              <w:jc w:val="center"/>
              <w:rPr>
                <w:rFonts w:hAnsi="宋体"/>
                <w:sz w:val="24"/>
              </w:rPr>
            </w:pPr>
            <w:r>
              <w:rPr>
                <w:rFonts w:hint="eastAsia" w:hAnsi="宋体"/>
                <w:sz w:val="24"/>
              </w:rPr>
              <w:t>8</w:t>
            </w:r>
            <w:r>
              <w:rPr>
                <w:rFonts w:hAnsi="宋体"/>
                <w:sz w:val="24"/>
              </w:rPr>
              <w:t>.2.3</w:t>
            </w:r>
            <w:r>
              <w:rPr>
                <w:rFonts w:hint="eastAsia" w:hAnsi="宋体"/>
                <w:sz w:val="24"/>
              </w:rPr>
              <w:t>条-</w:t>
            </w:r>
            <w:r>
              <w:rPr>
                <w:rFonts w:hAnsi="宋体"/>
                <w:sz w:val="24"/>
              </w:rPr>
              <w:t>1</w:t>
            </w:r>
          </w:p>
        </w:tc>
        <w:tc>
          <w:tcPr>
            <w:tcW w:w="3827" w:type="dxa"/>
          </w:tcPr>
          <w:p>
            <w:pPr>
              <w:spacing w:line="360" w:lineRule="auto"/>
              <w:jc w:val="center"/>
              <w:rPr>
                <w:rFonts w:hAnsi="宋体"/>
                <w:sz w:val="24"/>
              </w:rPr>
            </w:pPr>
            <w:r>
              <w:rPr>
                <w:rFonts w:hAnsi="宋体"/>
                <w:sz w:val="24"/>
              </w:rPr>
              <w:t>1</w:t>
            </w:r>
            <w:r>
              <w:rPr>
                <w:rFonts w:hint="eastAsia" w:hAnsi="宋体"/>
                <w:sz w:val="24"/>
              </w:rPr>
              <w:t>）1</w:t>
            </w:r>
            <w:r>
              <w:rPr>
                <w:rFonts w:hAnsi="宋体"/>
                <w:sz w:val="24"/>
              </w:rPr>
              <w:t>0</w:t>
            </w:r>
            <w:r>
              <w:rPr>
                <w:rFonts w:hint="eastAsia" w:hAnsi="宋体"/>
                <w:sz w:val="24"/>
              </w:rPr>
              <w:t xml:space="preserve">分 </w:t>
            </w:r>
            <w:r>
              <w:rPr>
                <w:rFonts w:hAnsi="宋体"/>
                <w:sz w:val="24"/>
              </w:rPr>
              <w:t>2</w:t>
            </w:r>
            <w:r>
              <w:rPr>
                <w:rFonts w:hint="eastAsia" w:hAnsi="宋体"/>
                <w:sz w:val="24"/>
              </w:rPr>
              <w:t>）6分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spacing w:line="360" w:lineRule="auto"/>
              <w:rPr>
                <w:rFonts w:hAnsi="宋体"/>
                <w:sz w:val="24"/>
              </w:rPr>
            </w:pPr>
          </w:p>
        </w:tc>
        <w:tc>
          <w:tcPr>
            <w:tcW w:w="2163" w:type="dxa"/>
            <w:vMerge w:val="continue"/>
          </w:tcPr>
          <w:p>
            <w:pPr>
              <w:spacing w:line="360" w:lineRule="auto"/>
              <w:jc w:val="center"/>
              <w:rPr>
                <w:rFonts w:hAnsi="宋体"/>
                <w:sz w:val="24"/>
              </w:rPr>
            </w:pPr>
          </w:p>
        </w:tc>
        <w:tc>
          <w:tcPr>
            <w:tcW w:w="1985" w:type="dxa"/>
          </w:tcPr>
          <w:p>
            <w:pPr>
              <w:spacing w:line="360" w:lineRule="auto"/>
              <w:jc w:val="center"/>
              <w:rPr>
                <w:rFonts w:hAnsi="宋体"/>
                <w:sz w:val="24"/>
              </w:rPr>
            </w:pPr>
            <w:r>
              <w:rPr>
                <w:rFonts w:hAnsi="宋体"/>
                <w:sz w:val="24"/>
              </w:rPr>
              <w:t>9.2.4</w:t>
            </w:r>
            <w:r>
              <w:rPr>
                <w:rFonts w:hint="eastAsia" w:hAnsi="宋体"/>
                <w:sz w:val="24"/>
              </w:rPr>
              <w:t>条</w:t>
            </w:r>
          </w:p>
        </w:tc>
        <w:tc>
          <w:tcPr>
            <w:tcW w:w="3827" w:type="dxa"/>
          </w:tcPr>
          <w:p>
            <w:pPr>
              <w:spacing w:line="360" w:lineRule="auto"/>
              <w:jc w:val="center"/>
              <w:rPr>
                <w:rFonts w:hAnsi="宋体"/>
                <w:sz w:val="24"/>
              </w:rPr>
            </w:pPr>
            <w:r>
              <w:rPr>
                <w:rFonts w:hint="eastAsia" w:hAnsi="宋体"/>
                <w:sz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163" w:type="dxa"/>
            <w:vMerge w:val="restart"/>
          </w:tcPr>
          <w:p>
            <w:pPr>
              <w:spacing w:line="360" w:lineRule="auto"/>
              <w:jc w:val="center"/>
              <w:rPr>
                <w:rFonts w:hAnsi="宋体"/>
                <w:sz w:val="24"/>
              </w:rPr>
            </w:pPr>
            <w:r>
              <w:rPr>
                <w:rFonts w:hint="eastAsia" w:hAnsi="宋体"/>
                <w:sz w:val="24"/>
              </w:rPr>
              <w:t>DB 33/1092-</w:t>
            </w:r>
            <w:r>
              <w:rPr>
                <w:rFonts w:hAnsi="宋体"/>
                <w:sz w:val="24"/>
              </w:rPr>
              <w:t>2021</w:t>
            </w:r>
          </w:p>
        </w:tc>
        <w:tc>
          <w:tcPr>
            <w:tcW w:w="1985" w:type="dxa"/>
          </w:tcPr>
          <w:p>
            <w:pPr>
              <w:spacing w:line="360" w:lineRule="auto"/>
              <w:jc w:val="center"/>
              <w:rPr>
                <w:rFonts w:hAnsi="宋体"/>
                <w:sz w:val="24"/>
              </w:rPr>
            </w:pPr>
            <w:r>
              <w:rPr>
                <w:rFonts w:hint="eastAsia" w:hAnsi="宋体"/>
                <w:sz w:val="24"/>
              </w:rPr>
              <w:t>1</w:t>
            </w:r>
            <w:r>
              <w:rPr>
                <w:rFonts w:hAnsi="宋体"/>
                <w:sz w:val="24"/>
              </w:rPr>
              <w:t>0.1.3</w:t>
            </w:r>
            <w:r>
              <w:rPr>
                <w:rFonts w:hint="eastAsia" w:hAnsi="宋体"/>
                <w:sz w:val="24"/>
              </w:rPr>
              <w:t>条</w:t>
            </w:r>
          </w:p>
        </w:tc>
        <w:tc>
          <w:tcPr>
            <w:tcW w:w="3827" w:type="dxa"/>
          </w:tcPr>
          <w:p>
            <w:pPr>
              <w:spacing w:line="360" w:lineRule="auto"/>
              <w:jc w:val="center"/>
              <w:rPr>
                <w:rFonts w:hAnsi="宋体"/>
                <w:sz w:val="24"/>
              </w:rPr>
            </w:pPr>
            <w:r>
              <w:rPr>
                <w:rFonts w:hint="eastAsia" w:hAnsi="宋体"/>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163" w:type="dxa"/>
            <w:vMerge w:val="continue"/>
          </w:tcPr>
          <w:p>
            <w:pPr>
              <w:spacing w:line="360" w:lineRule="auto"/>
              <w:jc w:val="center"/>
              <w:rPr>
                <w:rFonts w:hAnsi="宋体"/>
                <w:sz w:val="24"/>
              </w:rPr>
            </w:pPr>
          </w:p>
        </w:tc>
        <w:tc>
          <w:tcPr>
            <w:tcW w:w="1985" w:type="dxa"/>
          </w:tcPr>
          <w:p>
            <w:pPr>
              <w:spacing w:line="360" w:lineRule="auto"/>
              <w:jc w:val="center"/>
              <w:rPr>
                <w:rFonts w:hAnsi="宋体"/>
                <w:sz w:val="24"/>
              </w:rPr>
            </w:pPr>
            <w:r>
              <w:rPr>
                <w:rFonts w:hint="eastAsia" w:hAnsi="宋体"/>
                <w:sz w:val="24"/>
              </w:rPr>
              <w:t>1</w:t>
            </w:r>
            <w:r>
              <w:rPr>
                <w:rFonts w:hAnsi="宋体"/>
                <w:sz w:val="24"/>
              </w:rPr>
              <w:t>0.1.4</w:t>
            </w:r>
            <w:r>
              <w:rPr>
                <w:rFonts w:hint="eastAsia" w:hAnsi="宋体"/>
                <w:sz w:val="24"/>
              </w:rPr>
              <w:t>条</w:t>
            </w:r>
          </w:p>
        </w:tc>
        <w:tc>
          <w:tcPr>
            <w:tcW w:w="3827" w:type="dxa"/>
          </w:tcPr>
          <w:p>
            <w:pPr>
              <w:spacing w:line="360" w:lineRule="auto"/>
              <w:jc w:val="center"/>
              <w:rPr>
                <w:rFonts w:hAnsi="宋体"/>
                <w:sz w:val="24"/>
              </w:rPr>
            </w:pPr>
            <w:r>
              <w:rPr>
                <w:rFonts w:hint="eastAsia" w:hAnsi="宋体"/>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163" w:type="dxa"/>
            <w:vMerge w:val="continue"/>
          </w:tcPr>
          <w:p>
            <w:pPr>
              <w:spacing w:line="360" w:lineRule="auto"/>
              <w:jc w:val="center"/>
              <w:rPr>
                <w:rFonts w:hAnsi="宋体"/>
                <w:sz w:val="24"/>
              </w:rPr>
            </w:pPr>
          </w:p>
        </w:tc>
        <w:tc>
          <w:tcPr>
            <w:tcW w:w="1985" w:type="dxa"/>
          </w:tcPr>
          <w:p>
            <w:pPr>
              <w:spacing w:line="360" w:lineRule="auto"/>
              <w:jc w:val="center"/>
              <w:rPr>
                <w:rFonts w:hAnsi="宋体"/>
                <w:sz w:val="24"/>
              </w:rPr>
            </w:pPr>
            <w:r>
              <w:rPr>
                <w:rFonts w:hint="eastAsia" w:hAnsi="宋体"/>
                <w:sz w:val="24"/>
              </w:rPr>
              <w:t>1</w:t>
            </w:r>
            <w:r>
              <w:rPr>
                <w:rFonts w:hAnsi="宋体"/>
                <w:sz w:val="24"/>
              </w:rPr>
              <w:t>0.2.3</w:t>
            </w:r>
            <w:r>
              <w:rPr>
                <w:rFonts w:hint="eastAsia" w:hAnsi="宋体"/>
                <w:sz w:val="24"/>
              </w:rPr>
              <w:t>条-</w:t>
            </w:r>
            <w:r>
              <w:rPr>
                <w:rFonts w:hAnsi="宋体"/>
                <w:sz w:val="24"/>
              </w:rPr>
              <w:t>1</w:t>
            </w:r>
          </w:p>
        </w:tc>
        <w:tc>
          <w:tcPr>
            <w:tcW w:w="3827" w:type="dxa"/>
          </w:tcPr>
          <w:p>
            <w:pPr>
              <w:spacing w:line="360" w:lineRule="auto"/>
              <w:jc w:val="center"/>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163" w:type="dxa"/>
            <w:vMerge w:val="continue"/>
          </w:tcPr>
          <w:p>
            <w:pPr>
              <w:spacing w:line="360" w:lineRule="auto"/>
              <w:jc w:val="center"/>
              <w:rPr>
                <w:rFonts w:hAnsi="宋体"/>
                <w:sz w:val="24"/>
              </w:rPr>
            </w:pPr>
          </w:p>
        </w:tc>
        <w:tc>
          <w:tcPr>
            <w:tcW w:w="1985" w:type="dxa"/>
          </w:tcPr>
          <w:p>
            <w:pPr>
              <w:spacing w:line="360" w:lineRule="auto"/>
              <w:jc w:val="center"/>
              <w:rPr>
                <w:rFonts w:hAnsi="宋体"/>
                <w:sz w:val="24"/>
              </w:rPr>
            </w:pPr>
            <w:r>
              <w:rPr>
                <w:rFonts w:hint="eastAsia" w:hAnsi="宋体"/>
                <w:sz w:val="24"/>
              </w:rPr>
              <w:t>1</w:t>
            </w:r>
            <w:r>
              <w:rPr>
                <w:rFonts w:hAnsi="宋体"/>
                <w:sz w:val="24"/>
              </w:rPr>
              <w:t>0.2.4</w:t>
            </w:r>
            <w:r>
              <w:rPr>
                <w:rFonts w:hint="eastAsia" w:hAnsi="宋体"/>
                <w:sz w:val="24"/>
              </w:rPr>
              <w:t>条-</w:t>
            </w:r>
            <w:r>
              <w:rPr>
                <w:rFonts w:hAnsi="宋体"/>
                <w:sz w:val="24"/>
              </w:rPr>
              <w:t>2</w:t>
            </w:r>
            <w:r>
              <w:rPr>
                <w:rFonts w:hint="eastAsia" w:hAnsi="宋体"/>
                <w:sz w:val="24"/>
              </w:rPr>
              <w:t>-</w:t>
            </w:r>
            <w:r>
              <w:rPr>
                <w:rFonts w:hAnsi="宋体"/>
                <w:sz w:val="24"/>
              </w:rPr>
              <w:t>3</w:t>
            </w:r>
          </w:p>
        </w:tc>
        <w:tc>
          <w:tcPr>
            <w:tcW w:w="3827" w:type="dxa"/>
          </w:tcPr>
          <w:p>
            <w:pPr>
              <w:spacing w:line="360" w:lineRule="auto"/>
              <w:jc w:val="center"/>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163" w:type="dxa"/>
            <w:vMerge w:val="continue"/>
          </w:tcPr>
          <w:p>
            <w:pPr>
              <w:spacing w:line="360" w:lineRule="auto"/>
              <w:jc w:val="center"/>
              <w:rPr>
                <w:rFonts w:hAnsi="宋体"/>
                <w:sz w:val="24"/>
              </w:rPr>
            </w:pPr>
          </w:p>
        </w:tc>
        <w:tc>
          <w:tcPr>
            <w:tcW w:w="1985" w:type="dxa"/>
          </w:tcPr>
          <w:p>
            <w:pPr>
              <w:spacing w:line="360" w:lineRule="auto"/>
              <w:jc w:val="center"/>
              <w:rPr>
                <w:rFonts w:hAnsi="宋体"/>
                <w:sz w:val="24"/>
                <w:lang w:val="en-GB"/>
              </w:rPr>
            </w:pPr>
            <w:r>
              <w:rPr>
                <w:rFonts w:hint="eastAsia" w:hAnsi="宋体"/>
                <w:sz w:val="24"/>
              </w:rPr>
              <w:t>1</w:t>
            </w:r>
            <w:r>
              <w:rPr>
                <w:rFonts w:hAnsi="宋体"/>
                <w:sz w:val="24"/>
              </w:rPr>
              <w:t>0.3.3</w:t>
            </w:r>
            <w:r>
              <w:rPr>
                <w:rFonts w:hint="eastAsia" w:hAnsi="宋体"/>
                <w:sz w:val="24"/>
              </w:rPr>
              <w:t>条-</w:t>
            </w:r>
            <w:r>
              <w:rPr>
                <w:rFonts w:hAnsi="宋体"/>
                <w:sz w:val="24"/>
              </w:rPr>
              <w:t>2</w:t>
            </w:r>
          </w:p>
        </w:tc>
        <w:tc>
          <w:tcPr>
            <w:tcW w:w="3827" w:type="dxa"/>
          </w:tcPr>
          <w:p>
            <w:pPr>
              <w:spacing w:line="360" w:lineRule="auto"/>
              <w:jc w:val="center"/>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依据材料</w:t>
            </w:r>
          </w:p>
        </w:tc>
        <w:tc>
          <w:tcPr>
            <w:tcW w:w="7975"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根据规划条件要求、相关设计文件中的相关技术经济指标（内容包括项目总用地面积、总户数、总人口、绿地面积、公共绿地面积等，根据设计指标核算绿地率及人均公共绿地面积指标），按照项目实际，填写此项内容。</w:t>
            </w:r>
          </w:p>
          <w:p>
            <w:pPr>
              <w:autoSpaceDE w:val="0"/>
              <w:autoSpaceDN w:val="0"/>
              <w:adjustRightInd w:val="0"/>
              <w:spacing w:line="360" w:lineRule="auto"/>
              <w:ind w:firstLine="480" w:firstLineChars="200"/>
              <w:jc w:val="left"/>
              <w:rPr>
                <w:rFonts w:hAnsi="宋体"/>
                <w:sz w:val="24"/>
              </w:rPr>
            </w:pPr>
            <w:r>
              <w:rPr>
                <w:rFonts w:hint="eastAsia" w:hAnsi="宋体"/>
                <w:sz w:val="24"/>
              </w:rPr>
              <w:t>设计人员应根据景观园林种植平面图和苗木表（查阅苗木表中的乔木总株数，计算每100m</w:t>
            </w:r>
            <w:r>
              <w:rPr>
                <w:rFonts w:hint="eastAsia" w:hAnsi="宋体"/>
                <w:sz w:val="24"/>
                <w:vertAlign w:val="superscript"/>
              </w:rPr>
              <w:t>2</w:t>
            </w:r>
            <w:r>
              <w:rPr>
                <w:rFonts w:hint="eastAsia" w:hAnsi="宋体"/>
                <w:sz w:val="24"/>
              </w:rPr>
              <w:t>绿地种植的乔木数量），设计图纸中表明的场地内种植区域的覆土厚度等，还应依据设计图纸中的屋顶绿化或垂直绿化的区域和面积等数据，按照项目实际情况，来填写此项内容。</w:t>
            </w:r>
          </w:p>
          <w:p>
            <w:pPr>
              <w:pStyle w:val="17"/>
              <w:spacing w:line="360" w:lineRule="auto"/>
              <w:ind w:firstLine="480" w:firstLineChars="200"/>
              <w:rPr>
                <w:rFonts w:hAnsi="宋体"/>
                <w:sz w:val="24"/>
              </w:rPr>
            </w:pPr>
            <w:r>
              <w:rPr>
                <w:rFonts w:hint="eastAsia" w:hAnsi="宋体"/>
                <w:sz w:val="24"/>
              </w:rPr>
              <w:t>值得注意的是，植物类型可以参考DB 33/1092-</w:t>
            </w:r>
            <w:r>
              <w:rPr>
                <w:rFonts w:hAnsi="宋体"/>
                <w:sz w:val="24"/>
              </w:rPr>
              <w:t xml:space="preserve">2021 </w:t>
            </w:r>
            <w:r>
              <w:rPr>
                <w:rFonts w:hint="eastAsia" w:hAnsi="宋体"/>
                <w:sz w:val="24"/>
              </w:rPr>
              <w:t>附录A</w:t>
            </w:r>
            <w:r>
              <w:rPr>
                <w:rFonts w:hAnsi="宋体"/>
                <w:sz w:val="24"/>
              </w:rPr>
              <w:t xml:space="preserve"> </w:t>
            </w:r>
            <w:r>
              <w:rPr>
                <w:rFonts w:hint="eastAsia" w:hAnsi="宋体"/>
                <w:sz w:val="24"/>
              </w:rPr>
              <w:t>浙江地区部分常用植物，</w:t>
            </w:r>
            <w:r>
              <w:rPr>
                <w:rFonts w:hAnsi="宋体"/>
                <w:sz w:val="24"/>
              </w:rPr>
              <w:t>场地 各功能区的植物配置建议详见附录 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975" w:type="dxa"/>
            <w:gridSpan w:val="3"/>
          </w:tcPr>
          <w:p>
            <w:pPr>
              <w:autoSpaceDE w:val="0"/>
              <w:autoSpaceDN w:val="0"/>
              <w:adjustRightInd w:val="0"/>
              <w:spacing w:line="360" w:lineRule="auto"/>
              <w:ind w:firstLine="360" w:firstLineChars="150"/>
              <w:jc w:val="left"/>
              <w:rPr>
                <w:rFonts w:hAnsi="宋体"/>
                <w:sz w:val="24"/>
              </w:rPr>
            </w:pPr>
            <w:r>
              <w:rPr>
                <w:rFonts w:hint="eastAsia" w:hAnsi="宋体"/>
                <w:sz w:val="24"/>
              </w:rPr>
              <w:t>如景观图未与土建施工图同时出图时，应在土建图中写明相应措施为景观设计的前置要求，并在总平面图及设计说明中表达。</w:t>
            </w:r>
          </w:p>
          <w:p>
            <w:pPr>
              <w:autoSpaceDE w:val="0"/>
              <w:autoSpaceDN w:val="0"/>
              <w:adjustRightInd w:val="0"/>
              <w:spacing w:line="360" w:lineRule="auto"/>
              <w:ind w:firstLine="360" w:firstLineChars="150"/>
              <w:jc w:val="left"/>
              <w:rPr>
                <w:rFonts w:hAnsi="宋体"/>
                <w:sz w:val="24"/>
              </w:rPr>
            </w:pPr>
            <w:r>
              <w:rPr>
                <w:rFonts w:hint="eastAsia" w:hAnsi="宋体"/>
                <w:sz w:val="24"/>
              </w:rPr>
              <w:t>绿地率和公共绿地是衡量住区环境质量的重要标志。本项内容体现了住区中不仅鼓励合理设置绿地，优化空间环境，而且更加倡导住区设置必要的公共绿地，提供户外交往空间和活动空间，提高生活质量。绿地包括建设项目用地中各类用作绿化的用地。</w:t>
            </w:r>
          </w:p>
          <w:p>
            <w:pPr>
              <w:spacing w:line="360" w:lineRule="auto"/>
              <w:ind w:firstLine="480" w:firstLineChars="200"/>
              <w:rPr>
                <w:rFonts w:hAnsi="宋体"/>
                <w:sz w:val="24"/>
              </w:rPr>
            </w:pPr>
            <w:r>
              <w:rPr>
                <w:rFonts w:hint="eastAsia" w:hAnsi="宋体"/>
                <w:sz w:val="24"/>
              </w:rPr>
              <w:t xml:space="preserve"> “室外绿化种植植物是否为乡土植物”，此条须按景观图纸进行说明与计算；如果土建施工图出图时，景观未同步设计，须施工图说明中提出对景观设计的前置要求。</w:t>
            </w:r>
          </w:p>
          <w:p>
            <w:pPr>
              <w:spacing w:line="360" w:lineRule="auto"/>
              <w:ind w:firstLine="480" w:firstLineChars="200"/>
              <w:rPr>
                <w:rFonts w:hAnsi="宋体"/>
                <w:sz w:val="24"/>
              </w:rPr>
            </w:pPr>
            <w:r>
              <w:rPr>
                <w:rFonts w:hint="eastAsia" w:hAnsi="宋体"/>
                <w:sz w:val="24"/>
              </w:rPr>
              <w:t>植物配置应充分体现本地区植物资源的特点，突出地方特色。合理的植物物种选择和搭配会对绿地植被的生长起到促进作用。种植区域的覆士深度应满足乔、灌木自然生长的需要，满足申报项目所在地有关覆土深度的控制要求。</w:t>
            </w:r>
          </w:p>
          <w:p>
            <w:pPr>
              <w:pStyle w:val="17"/>
              <w:spacing w:line="360" w:lineRule="auto"/>
              <w:ind w:firstLine="480" w:firstLineChars="200"/>
              <w:rPr>
                <w:rFonts w:hAnsi="宋体"/>
                <w:sz w:val="24"/>
              </w:rPr>
            </w:pPr>
            <w:r>
              <w:rPr>
                <w:rFonts w:hAnsi="宋体"/>
                <w:sz w:val="24"/>
              </w:rPr>
              <w:t>本地植物指数是指场地内全部植物种类中本地植物种类所占比例。本地植物包括：在本地自然生长的野生植物及其衍生品种、归化种及其衍生品种、驯化种及其衍生品种，浙江地区植物选择参照附录 A</w:t>
            </w:r>
            <w:r>
              <w:rPr>
                <w:rFonts w:hint="eastAsia" w:hAnsi="宋体"/>
                <w:sz w:val="24"/>
              </w:rPr>
              <w:t>。</w:t>
            </w:r>
            <w:r>
              <w:rPr>
                <w:rFonts w:hAnsi="宋体"/>
                <w:sz w:val="24"/>
              </w:rPr>
              <w:t xml:space="preserve">植物配植应能体现浙江省丰富的植物资源和植物景观特色。在进行种植设计时，应根据植物的生态习性配置不同的植物品种，场地各功能区的植物配置建议详见附录 B。 </w:t>
            </w:r>
          </w:p>
        </w:tc>
      </w:tr>
    </w:tbl>
    <w:p>
      <w:pPr>
        <w:spacing w:line="360" w:lineRule="auto"/>
        <w:rPr>
          <w:rFonts w:hAnsi="宋体"/>
          <w:sz w:val="24"/>
          <w:lang w:val="en-GB"/>
        </w:rPr>
      </w:pPr>
      <w:r>
        <w:rPr>
          <w:rFonts w:hint="eastAsia" w:hAnsi="宋体"/>
          <w:sz w:val="24"/>
          <w:lang w:val="en-GB"/>
        </w:rPr>
        <w:t>2.4.</w:t>
      </w:r>
      <w:r>
        <w:rPr>
          <w:rFonts w:hAnsi="宋体"/>
          <w:sz w:val="24"/>
          <w:lang w:val="en-GB"/>
        </w:rPr>
        <w:t>9</w:t>
      </w:r>
      <w:r>
        <w:rPr>
          <w:rFonts w:hint="eastAsia" w:hAnsi="宋体"/>
          <w:sz w:val="24"/>
          <w:lang w:val="en-GB"/>
        </w:rPr>
        <w:t xml:space="preserve"> 种植无须永久灌溉植物；</w:t>
      </w:r>
    </w:p>
    <w:p>
      <w:pPr>
        <w:spacing w:line="360" w:lineRule="auto"/>
        <w:rPr>
          <w:rFonts w:hAnsi="宋体"/>
          <w:sz w:val="24"/>
          <w:lang w:val="en-GB"/>
        </w:rPr>
      </w:pPr>
      <w:r>
        <w:rPr>
          <w:rFonts w:hint="eastAsia" w:hAnsi="宋体"/>
          <w:sz w:val="24"/>
          <w:lang w:val="en-GB"/>
        </w:rPr>
        <w:t>2</w:t>
      </w:r>
      <w:r>
        <w:rPr>
          <w:rFonts w:hAnsi="宋体"/>
          <w:sz w:val="24"/>
          <w:lang w:val="en-GB"/>
        </w:rPr>
        <w:t xml:space="preserve">.4.10 </w:t>
      </w:r>
      <w:r>
        <w:rPr>
          <w:rFonts w:hint="eastAsia" w:hAnsi="宋体"/>
          <w:sz w:val="24"/>
          <w:lang w:val="en-GB"/>
        </w:rPr>
        <w:t>室外景观水体设计：（1）利用水生动、植物保障水体水质；（2）利用可再生能源提供景观水体循环的动力及景观照明；</w:t>
      </w:r>
    </w:p>
    <w:p>
      <w:pPr>
        <w:spacing w:line="360" w:lineRule="auto"/>
        <w:rPr>
          <w:rFonts w:hAnsi="宋体"/>
          <w:sz w:val="24"/>
          <w:lang w:val="en-GB"/>
        </w:rPr>
      </w:pPr>
    </w:p>
    <w:p>
      <w:pPr>
        <w:pStyle w:val="87"/>
        <w:numPr>
          <w:ilvl w:val="0"/>
          <w:numId w:val="44"/>
        </w:numPr>
        <w:spacing w:line="360" w:lineRule="auto"/>
        <w:rPr>
          <w:b/>
          <w:sz w:val="24"/>
          <w:szCs w:val="24"/>
        </w:rPr>
      </w:pPr>
      <w:r>
        <w:rPr>
          <w:rFonts w:hint="eastAsia"/>
          <w:b/>
          <w:sz w:val="24"/>
          <w:szCs w:val="24"/>
        </w:rPr>
        <w:t>低影响开发的技术措施：</w:t>
      </w:r>
      <w:r>
        <w:rPr>
          <w:rFonts w:hint="eastAsia" w:asciiTheme="minorEastAsia" w:hAnsiTheme="minorEastAsia" w:eastAsiaTheme="minorEastAsia"/>
          <w:bCs/>
          <w:i/>
          <w:iCs/>
          <w:sz w:val="24"/>
          <w:szCs w:val="24"/>
        </w:rPr>
        <w:t>（填写内容应与水专业一致）</w:t>
      </w:r>
    </w:p>
    <w:p>
      <w:pPr>
        <w:spacing w:before="109" w:beforeLines="35" w:after="109" w:afterLines="35" w:line="360" w:lineRule="auto"/>
        <w:rPr>
          <w:rFonts w:hAnsi="宋体"/>
          <w:sz w:val="24"/>
        </w:rPr>
      </w:pPr>
      <w:r>
        <w:rPr>
          <w:rFonts w:hint="eastAsia" w:hAnsi="宋体"/>
          <w:sz w:val="24"/>
        </w:rPr>
        <w:t>3</w:t>
      </w:r>
      <w:r>
        <w:rPr>
          <w:rFonts w:hAnsi="宋体"/>
          <w:sz w:val="24"/>
        </w:rPr>
        <w:t xml:space="preserve">.1 </w:t>
      </w:r>
      <w:r>
        <w:rPr>
          <w:rFonts w:hint="eastAsia" w:hAnsi="宋体"/>
          <w:sz w:val="24"/>
        </w:rPr>
        <w:t>项目进行场地雨洪控制综合利用的评估和规划；场地年径流总量控制率；合理衔接和引导屋面、道路雨水进入地面生态设施，并采取相应的径流污染控制措施；</w:t>
      </w:r>
    </w:p>
    <w:tbl>
      <w:tblPr>
        <w:tblStyle w:val="45"/>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2166"/>
        <w:gridCol w:w="1843"/>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344" w:type="dxa"/>
            <w:vMerge w:val="restart"/>
          </w:tcPr>
          <w:p>
            <w:pPr>
              <w:spacing w:line="360" w:lineRule="auto"/>
              <w:rPr>
                <w:rFonts w:hAnsi="宋体"/>
                <w:sz w:val="24"/>
              </w:rPr>
            </w:pPr>
            <w:r>
              <w:rPr>
                <w:rFonts w:hint="eastAsia" w:hAnsi="宋体"/>
                <w:sz w:val="24"/>
              </w:rPr>
              <w:t>条文来源</w:t>
            </w:r>
          </w:p>
        </w:tc>
        <w:tc>
          <w:tcPr>
            <w:tcW w:w="2166" w:type="dxa"/>
            <w:vMerge w:val="restart"/>
          </w:tcPr>
          <w:p>
            <w:pPr>
              <w:spacing w:line="360" w:lineRule="auto"/>
              <w:rPr>
                <w:rFonts w:hAnsi="宋体"/>
                <w:sz w:val="24"/>
              </w:rPr>
            </w:pPr>
            <w:r>
              <w:rPr>
                <w:rFonts w:hint="eastAsia" w:hAnsi="宋体"/>
                <w:sz w:val="24"/>
              </w:rPr>
              <w:t>GB/T 50378-201</w:t>
            </w:r>
            <w:r>
              <w:rPr>
                <w:rFonts w:hAnsi="宋体"/>
                <w:sz w:val="24"/>
              </w:rPr>
              <w:t>9</w:t>
            </w:r>
          </w:p>
        </w:tc>
        <w:tc>
          <w:tcPr>
            <w:tcW w:w="1843" w:type="dxa"/>
          </w:tcPr>
          <w:p>
            <w:pPr>
              <w:spacing w:line="360" w:lineRule="auto"/>
              <w:rPr>
                <w:rFonts w:hAnsi="宋体"/>
                <w:sz w:val="24"/>
              </w:rPr>
            </w:pPr>
            <w:r>
              <w:rPr>
                <w:rFonts w:hint="eastAsia" w:hAnsi="宋体"/>
                <w:sz w:val="24"/>
              </w:rPr>
              <w:t>7</w:t>
            </w:r>
            <w:r>
              <w:rPr>
                <w:rFonts w:hAnsi="宋体"/>
                <w:sz w:val="24"/>
              </w:rPr>
              <w:t>.2.12</w:t>
            </w:r>
            <w:r>
              <w:rPr>
                <w:rFonts w:hint="eastAsia" w:hAnsi="宋体"/>
                <w:sz w:val="24"/>
              </w:rPr>
              <w:t>条-</w:t>
            </w:r>
            <w:r>
              <w:rPr>
                <w:rFonts w:hAnsi="宋体"/>
                <w:sz w:val="24"/>
              </w:rPr>
              <w:t>1</w:t>
            </w:r>
          </w:p>
        </w:tc>
        <w:tc>
          <w:tcPr>
            <w:tcW w:w="3969" w:type="dxa"/>
          </w:tcPr>
          <w:p>
            <w:pPr>
              <w:spacing w:line="360" w:lineRule="auto"/>
              <w:jc w:val="center"/>
              <w:rPr>
                <w:rFonts w:hAnsi="宋体"/>
                <w:sz w:val="24"/>
              </w:rPr>
            </w:pPr>
            <w:r>
              <w:rPr>
                <w:rFonts w:hint="eastAsia" w:hAnsi="宋体"/>
                <w:sz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344" w:type="dxa"/>
            <w:vMerge w:val="continue"/>
          </w:tcPr>
          <w:p>
            <w:pPr>
              <w:spacing w:line="360" w:lineRule="auto"/>
              <w:rPr>
                <w:rFonts w:hAnsi="宋体"/>
                <w:sz w:val="24"/>
              </w:rPr>
            </w:pPr>
          </w:p>
        </w:tc>
        <w:tc>
          <w:tcPr>
            <w:tcW w:w="2166" w:type="dxa"/>
            <w:vMerge w:val="continue"/>
          </w:tcPr>
          <w:p>
            <w:pPr>
              <w:spacing w:line="360" w:lineRule="auto"/>
              <w:rPr>
                <w:rFonts w:hAnsi="宋体"/>
                <w:sz w:val="24"/>
              </w:rPr>
            </w:pPr>
          </w:p>
        </w:tc>
        <w:tc>
          <w:tcPr>
            <w:tcW w:w="1843" w:type="dxa"/>
          </w:tcPr>
          <w:p>
            <w:pPr>
              <w:spacing w:line="360" w:lineRule="auto"/>
              <w:rPr>
                <w:rFonts w:hAnsi="宋体"/>
                <w:sz w:val="24"/>
              </w:rPr>
            </w:pPr>
            <w:r>
              <w:rPr>
                <w:rFonts w:hAnsi="宋体"/>
                <w:sz w:val="24"/>
              </w:rPr>
              <w:t>8.2.2</w:t>
            </w:r>
            <w:r>
              <w:rPr>
                <w:rFonts w:hint="eastAsia" w:hAnsi="宋体"/>
                <w:sz w:val="24"/>
              </w:rPr>
              <w:t>条</w:t>
            </w:r>
          </w:p>
        </w:tc>
        <w:tc>
          <w:tcPr>
            <w:tcW w:w="3969" w:type="dxa"/>
          </w:tcPr>
          <w:p>
            <w:pPr>
              <w:spacing w:line="360" w:lineRule="auto"/>
              <w:jc w:val="center"/>
              <w:rPr>
                <w:rFonts w:hAnsi="宋体"/>
                <w:sz w:val="24"/>
              </w:rPr>
            </w:pPr>
            <w:r>
              <w:rPr>
                <w:rFonts w:hint="eastAsia" w:hAnsi="宋体"/>
                <w:sz w:val="24"/>
              </w:rPr>
              <w:t>场地年径流总量控制率达到55％，得5分；达到70％，得10分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344" w:type="dxa"/>
            <w:vMerge w:val="continue"/>
          </w:tcPr>
          <w:p>
            <w:pPr>
              <w:spacing w:line="360" w:lineRule="auto"/>
              <w:rPr>
                <w:rFonts w:hAnsi="宋体"/>
                <w:sz w:val="24"/>
              </w:rPr>
            </w:pPr>
          </w:p>
        </w:tc>
        <w:tc>
          <w:tcPr>
            <w:tcW w:w="2166" w:type="dxa"/>
            <w:vMerge w:val="continue"/>
          </w:tcPr>
          <w:p>
            <w:pPr>
              <w:spacing w:line="360" w:lineRule="auto"/>
              <w:rPr>
                <w:rFonts w:hAnsi="宋体"/>
                <w:sz w:val="24"/>
              </w:rPr>
            </w:pPr>
          </w:p>
        </w:tc>
        <w:tc>
          <w:tcPr>
            <w:tcW w:w="1843" w:type="dxa"/>
          </w:tcPr>
          <w:p>
            <w:pPr>
              <w:spacing w:line="360" w:lineRule="auto"/>
              <w:rPr>
                <w:rFonts w:hAnsi="宋体"/>
                <w:sz w:val="24"/>
              </w:rPr>
            </w:pPr>
            <w:r>
              <w:rPr>
                <w:rFonts w:hAnsi="宋体"/>
                <w:sz w:val="24"/>
              </w:rPr>
              <w:t>8.2.5</w:t>
            </w:r>
            <w:r>
              <w:rPr>
                <w:rFonts w:hint="eastAsia" w:hAnsi="宋体"/>
                <w:sz w:val="24"/>
              </w:rPr>
              <w:t>条-</w:t>
            </w:r>
            <w:r>
              <w:rPr>
                <w:rFonts w:hAnsi="宋体"/>
                <w:sz w:val="24"/>
              </w:rPr>
              <w:t>2</w:t>
            </w:r>
          </w:p>
        </w:tc>
        <w:tc>
          <w:tcPr>
            <w:tcW w:w="3969" w:type="dxa"/>
          </w:tcPr>
          <w:p>
            <w:pPr>
              <w:spacing w:line="360" w:lineRule="auto"/>
              <w:jc w:val="center"/>
              <w:rPr>
                <w:rFonts w:hAnsi="宋体"/>
                <w:sz w:val="24"/>
              </w:rPr>
            </w:pPr>
            <w:r>
              <w:rPr>
                <w:rFonts w:hint="eastAsia" w:hAnsi="宋体"/>
                <w:sz w:val="24"/>
              </w:rPr>
              <w:t>衔接和引导不少于80％的屋面雨水进入地面生态设施，得3分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jc w:val="center"/>
        </w:trPr>
        <w:tc>
          <w:tcPr>
            <w:tcW w:w="1344" w:type="dxa"/>
            <w:vMerge w:val="continue"/>
          </w:tcPr>
          <w:p>
            <w:pPr>
              <w:spacing w:line="360" w:lineRule="auto"/>
              <w:rPr>
                <w:rFonts w:hAnsi="宋体"/>
                <w:sz w:val="24"/>
              </w:rPr>
            </w:pPr>
          </w:p>
        </w:tc>
        <w:tc>
          <w:tcPr>
            <w:tcW w:w="2166" w:type="dxa"/>
            <w:vMerge w:val="continue"/>
          </w:tcPr>
          <w:p>
            <w:pPr>
              <w:spacing w:line="360" w:lineRule="auto"/>
              <w:rPr>
                <w:rFonts w:hAnsi="宋体"/>
                <w:sz w:val="24"/>
              </w:rPr>
            </w:pPr>
          </w:p>
        </w:tc>
        <w:tc>
          <w:tcPr>
            <w:tcW w:w="1843" w:type="dxa"/>
          </w:tcPr>
          <w:p>
            <w:pPr>
              <w:spacing w:line="360" w:lineRule="auto"/>
              <w:rPr>
                <w:rFonts w:hAnsi="宋体"/>
                <w:sz w:val="24"/>
              </w:rPr>
            </w:pPr>
            <w:r>
              <w:rPr>
                <w:rFonts w:hAnsi="宋体"/>
                <w:sz w:val="24"/>
              </w:rPr>
              <w:t>8.2.5</w:t>
            </w:r>
            <w:r>
              <w:rPr>
                <w:rFonts w:hint="eastAsia" w:hAnsi="宋体"/>
                <w:sz w:val="24"/>
              </w:rPr>
              <w:t>条-</w:t>
            </w:r>
            <w:r>
              <w:rPr>
                <w:rFonts w:hAnsi="宋体"/>
                <w:sz w:val="24"/>
              </w:rPr>
              <w:t>3</w:t>
            </w:r>
          </w:p>
        </w:tc>
        <w:tc>
          <w:tcPr>
            <w:tcW w:w="3969" w:type="dxa"/>
          </w:tcPr>
          <w:p>
            <w:pPr>
              <w:spacing w:line="360" w:lineRule="auto"/>
              <w:jc w:val="center"/>
              <w:rPr>
                <w:rFonts w:hAnsi="宋体"/>
                <w:sz w:val="24"/>
              </w:rPr>
            </w:pPr>
            <w:r>
              <w:rPr>
                <w:rFonts w:hint="eastAsia" w:hAnsi="宋体"/>
                <w:sz w:val="24"/>
              </w:rPr>
              <w:t>衔接和引导不少于80％的道路雨水进入地面生态设施，得4分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1344" w:type="dxa"/>
            <w:vMerge w:val="continue"/>
          </w:tcPr>
          <w:p>
            <w:pPr>
              <w:spacing w:line="360" w:lineRule="auto"/>
              <w:rPr>
                <w:rFonts w:hAnsi="宋体"/>
                <w:sz w:val="24"/>
              </w:rPr>
            </w:pPr>
          </w:p>
        </w:tc>
        <w:tc>
          <w:tcPr>
            <w:tcW w:w="2166"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843" w:type="dxa"/>
          </w:tcPr>
          <w:p>
            <w:pPr>
              <w:spacing w:line="360" w:lineRule="auto"/>
              <w:rPr>
                <w:rFonts w:hAnsi="宋体"/>
                <w:sz w:val="24"/>
              </w:rPr>
            </w:pPr>
            <w:r>
              <w:rPr>
                <w:rFonts w:hAnsi="宋体"/>
                <w:sz w:val="24"/>
              </w:rPr>
              <w:t>7.2.13</w:t>
            </w:r>
            <w:r>
              <w:rPr>
                <w:rFonts w:hint="eastAsia" w:hAnsi="宋体"/>
                <w:sz w:val="24"/>
              </w:rPr>
              <w:t>条</w:t>
            </w:r>
          </w:p>
        </w:tc>
        <w:tc>
          <w:tcPr>
            <w:tcW w:w="3969" w:type="dxa"/>
          </w:tcPr>
          <w:p>
            <w:pPr>
              <w:spacing w:line="360" w:lineRule="auto"/>
              <w:jc w:val="center"/>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1344" w:type="dxa"/>
            <w:vMerge w:val="continue"/>
          </w:tcPr>
          <w:p>
            <w:pPr>
              <w:spacing w:line="360" w:lineRule="auto"/>
              <w:rPr>
                <w:rFonts w:hAnsi="宋体"/>
                <w:sz w:val="24"/>
              </w:rPr>
            </w:pPr>
          </w:p>
        </w:tc>
        <w:tc>
          <w:tcPr>
            <w:tcW w:w="2166" w:type="dxa"/>
            <w:vMerge w:val="continue"/>
          </w:tcPr>
          <w:p>
            <w:pPr>
              <w:spacing w:line="360" w:lineRule="auto"/>
              <w:rPr>
                <w:rFonts w:hAnsi="宋体"/>
                <w:sz w:val="24"/>
              </w:rPr>
            </w:pPr>
          </w:p>
        </w:tc>
        <w:tc>
          <w:tcPr>
            <w:tcW w:w="1843" w:type="dxa"/>
          </w:tcPr>
          <w:p>
            <w:pPr>
              <w:spacing w:line="360" w:lineRule="auto"/>
              <w:rPr>
                <w:rFonts w:hAnsi="宋体"/>
                <w:sz w:val="24"/>
              </w:rPr>
            </w:pPr>
            <w:r>
              <w:rPr>
                <w:rFonts w:hAnsi="宋体"/>
                <w:sz w:val="24"/>
              </w:rPr>
              <w:t>10.1.9</w:t>
            </w:r>
            <w:r>
              <w:rPr>
                <w:rFonts w:hint="eastAsia" w:hAnsi="宋体"/>
                <w:sz w:val="24"/>
              </w:rPr>
              <w:t>条-</w:t>
            </w:r>
            <w:r>
              <w:rPr>
                <w:rFonts w:hAnsi="宋体"/>
                <w:sz w:val="24"/>
              </w:rPr>
              <w:t>2</w:t>
            </w:r>
          </w:p>
        </w:tc>
        <w:tc>
          <w:tcPr>
            <w:tcW w:w="3969" w:type="dxa"/>
          </w:tcPr>
          <w:p>
            <w:pPr>
              <w:spacing w:line="360" w:lineRule="auto"/>
              <w:jc w:val="center"/>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1344" w:type="dxa"/>
            <w:vMerge w:val="continue"/>
          </w:tcPr>
          <w:p>
            <w:pPr>
              <w:spacing w:line="360" w:lineRule="auto"/>
              <w:rPr>
                <w:rFonts w:hAnsi="宋体"/>
                <w:sz w:val="24"/>
              </w:rPr>
            </w:pPr>
          </w:p>
        </w:tc>
        <w:tc>
          <w:tcPr>
            <w:tcW w:w="2166" w:type="dxa"/>
            <w:vMerge w:val="continue"/>
          </w:tcPr>
          <w:p>
            <w:pPr>
              <w:spacing w:line="360" w:lineRule="auto"/>
              <w:rPr>
                <w:rFonts w:hAnsi="宋体"/>
                <w:sz w:val="24"/>
              </w:rPr>
            </w:pPr>
          </w:p>
        </w:tc>
        <w:tc>
          <w:tcPr>
            <w:tcW w:w="1843" w:type="dxa"/>
          </w:tcPr>
          <w:p>
            <w:pPr>
              <w:spacing w:line="360" w:lineRule="auto"/>
              <w:rPr>
                <w:rFonts w:hAnsi="宋体"/>
                <w:sz w:val="24"/>
              </w:rPr>
            </w:pPr>
            <w:r>
              <w:rPr>
                <w:rFonts w:hint="eastAsia" w:hAnsi="宋体"/>
                <w:sz w:val="24"/>
              </w:rPr>
              <w:t>1</w:t>
            </w:r>
            <w:r>
              <w:rPr>
                <w:rFonts w:hAnsi="宋体"/>
                <w:sz w:val="24"/>
              </w:rPr>
              <w:t>0.2.1</w:t>
            </w:r>
            <w:r>
              <w:rPr>
                <w:rFonts w:hint="eastAsia" w:hAnsi="宋体"/>
                <w:sz w:val="24"/>
              </w:rPr>
              <w:t>条</w:t>
            </w:r>
          </w:p>
        </w:tc>
        <w:tc>
          <w:tcPr>
            <w:tcW w:w="3969" w:type="dxa"/>
          </w:tcPr>
          <w:p>
            <w:pPr>
              <w:spacing w:line="360" w:lineRule="auto"/>
              <w:jc w:val="center"/>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1344" w:type="dxa"/>
            <w:vMerge w:val="continue"/>
          </w:tcPr>
          <w:p>
            <w:pPr>
              <w:spacing w:line="360" w:lineRule="auto"/>
              <w:rPr>
                <w:rFonts w:hAnsi="宋体"/>
                <w:sz w:val="24"/>
              </w:rPr>
            </w:pPr>
          </w:p>
        </w:tc>
        <w:tc>
          <w:tcPr>
            <w:tcW w:w="2166" w:type="dxa"/>
            <w:vMerge w:val="continue"/>
          </w:tcPr>
          <w:p>
            <w:pPr>
              <w:spacing w:line="360" w:lineRule="auto"/>
              <w:rPr>
                <w:rFonts w:hAnsi="宋体"/>
                <w:sz w:val="24"/>
              </w:rPr>
            </w:pPr>
          </w:p>
        </w:tc>
        <w:tc>
          <w:tcPr>
            <w:tcW w:w="1843" w:type="dxa"/>
          </w:tcPr>
          <w:p>
            <w:pPr>
              <w:spacing w:line="360" w:lineRule="auto"/>
              <w:rPr>
                <w:rFonts w:hAnsi="宋体"/>
                <w:sz w:val="24"/>
              </w:rPr>
            </w:pPr>
            <w:r>
              <w:rPr>
                <w:rFonts w:hint="eastAsia" w:hAnsi="宋体"/>
                <w:sz w:val="24"/>
              </w:rPr>
              <w:t>1</w:t>
            </w:r>
            <w:r>
              <w:rPr>
                <w:rFonts w:hAnsi="宋体"/>
                <w:sz w:val="24"/>
              </w:rPr>
              <w:t>0.3.1</w:t>
            </w:r>
            <w:r>
              <w:rPr>
                <w:rFonts w:hint="eastAsia" w:hAnsi="宋体"/>
                <w:sz w:val="24"/>
              </w:rPr>
              <w:t>条-</w:t>
            </w:r>
            <w:r>
              <w:rPr>
                <w:rFonts w:hAnsi="宋体"/>
                <w:sz w:val="24"/>
              </w:rPr>
              <w:t>2</w:t>
            </w:r>
            <w:r>
              <w:rPr>
                <w:rFonts w:hint="eastAsia" w:hAnsi="宋体"/>
                <w:sz w:val="24"/>
              </w:rPr>
              <w:t>-</w:t>
            </w:r>
            <w:r>
              <w:rPr>
                <w:rFonts w:hAnsi="宋体"/>
                <w:sz w:val="24"/>
              </w:rPr>
              <w:t>3</w:t>
            </w:r>
          </w:p>
        </w:tc>
        <w:tc>
          <w:tcPr>
            <w:tcW w:w="3969" w:type="dxa"/>
          </w:tcPr>
          <w:p>
            <w:pPr>
              <w:spacing w:line="360" w:lineRule="auto"/>
              <w:jc w:val="center"/>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1344" w:type="dxa"/>
            <w:vMerge w:val="continue"/>
          </w:tcPr>
          <w:p>
            <w:pPr>
              <w:spacing w:line="360" w:lineRule="auto"/>
              <w:rPr>
                <w:rFonts w:hAnsi="宋体"/>
                <w:sz w:val="24"/>
              </w:rPr>
            </w:pPr>
          </w:p>
        </w:tc>
        <w:tc>
          <w:tcPr>
            <w:tcW w:w="2166" w:type="dxa"/>
            <w:vMerge w:val="continue"/>
          </w:tcPr>
          <w:p>
            <w:pPr>
              <w:spacing w:line="360" w:lineRule="auto"/>
              <w:rPr>
                <w:rFonts w:hAnsi="宋体"/>
                <w:sz w:val="24"/>
              </w:rPr>
            </w:pPr>
          </w:p>
        </w:tc>
        <w:tc>
          <w:tcPr>
            <w:tcW w:w="1843" w:type="dxa"/>
          </w:tcPr>
          <w:p>
            <w:pPr>
              <w:spacing w:line="360" w:lineRule="auto"/>
              <w:rPr>
                <w:rFonts w:hAnsi="宋体"/>
                <w:sz w:val="24"/>
              </w:rPr>
            </w:pPr>
            <w:r>
              <w:rPr>
                <w:rFonts w:hint="eastAsia" w:hAnsi="宋体"/>
                <w:sz w:val="24"/>
              </w:rPr>
              <w:t>1</w:t>
            </w:r>
            <w:r>
              <w:rPr>
                <w:rFonts w:hAnsi="宋体"/>
                <w:sz w:val="24"/>
              </w:rPr>
              <w:t>0.4.1</w:t>
            </w:r>
            <w:r>
              <w:rPr>
                <w:rFonts w:hint="eastAsia" w:hAnsi="宋体"/>
                <w:sz w:val="24"/>
              </w:rPr>
              <w:t>条-</w:t>
            </w:r>
            <w:r>
              <w:rPr>
                <w:rFonts w:hAnsi="宋体"/>
                <w:sz w:val="24"/>
              </w:rPr>
              <w:t>2</w:t>
            </w:r>
            <w:r>
              <w:rPr>
                <w:rFonts w:hint="eastAsia" w:hAnsi="宋体"/>
                <w:sz w:val="24"/>
              </w:rPr>
              <w:t>-</w:t>
            </w:r>
            <w:r>
              <w:rPr>
                <w:rFonts w:hAnsi="宋体"/>
                <w:sz w:val="24"/>
              </w:rPr>
              <w:t>3</w:t>
            </w:r>
          </w:p>
        </w:tc>
        <w:tc>
          <w:tcPr>
            <w:tcW w:w="3969" w:type="dxa"/>
          </w:tcPr>
          <w:p>
            <w:pPr>
              <w:spacing w:line="360" w:lineRule="auto"/>
              <w:jc w:val="center"/>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Pr>
          <w:p>
            <w:pPr>
              <w:spacing w:line="360" w:lineRule="auto"/>
              <w:rPr>
                <w:rFonts w:hAnsi="宋体"/>
                <w:sz w:val="24"/>
              </w:rPr>
            </w:pPr>
            <w:r>
              <w:rPr>
                <w:rFonts w:hint="eastAsia" w:hAnsi="宋体"/>
                <w:sz w:val="24"/>
              </w:rPr>
              <w:t>依据材料</w:t>
            </w:r>
          </w:p>
        </w:tc>
        <w:tc>
          <w:tcPr>
            <w:tcW w:w="7978"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本项涉及与给排水专业相关内容，设计人员应事先与相关专业相互核对，统一填写。设计人员应依据项目所在的</w:t>
            </w:r>
            <w:r>
              <w:rPr>
                <w:rFonts w:hAnsi="宋体"/>
                <w:sz w:val="24"/>
              </w:rPr>
              <w:t>降雨</w:t>
            </w:r>
            <w:r>
              <w:rPr>
                <w:rFonts w:hint="eastAsia" w:hAnsi="宋体"/>
                <w:sz w:val="24"/>
              </w:rPr>
              <w:t>统计数据、设计说明书（或雨水专项规划设计报告）、设计</w:t>
            </w:r>
            <w:r>
              <w:rPr>
                <w:rFonts w:hAnsi="宋体"/>
                <w:sz w:val="24"/>
              </w:rPr>
              <w:t>控制雨量</w:t>
            </w:r>
            <w:r>
              <w:rPr>
                <w:rFonts w:hint="eastAsia" w:hAnsi="宋体"/>
                <w:sz w:val="24"/>
              </w:rPr>
              <w:t>计</w:t>
            </w:r>
            <w:r>
              <w:rPr>
                <w:rFonts w:hAnsi="宋体"/>
                <w:sz w:val="24"/>
              </w:rPr>
              <w:t>算</w:t>
            </w:r>
            <w:r>
              <w:rPr>
                <w:rFonts w:hint="eastAsia" w:hAnsi="宋体"/>
                <w:sz w:val="24"/>
              </w:rPr>
              <w:t>书、施工图文件（含总图、景观设计图、室外给水总平面图等）等文件后，根据实际，填写此项内容。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4" w:type="dxa"/>
          </w:tcPr>
          <w:p>
            <w:pPr>
              <w:spacing w:line="360" w:lineRule="auto"/>
              <w:rPr>
                <w:rFonts w:hAnsi="宋体"/>
                <w:sz w:val="24"/>
              </w:rPr>
            </w:pPr>
            <w:r>
              <w:rPr>
                <w:rFonts w:hint="eastAsia" w:hAnsi="宋体"/>
                <w:sz w:val="24"/>
              </w:rPr>
              <w:t>备注</w:t>
            </w:r>
          </w:p>
        </w:tc>
        <w:tc>
          <w:tcPr>
            <w:tcW w:w="7978"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如景观图未与土建施工图同时出图时，应在土建图中写明相应措施为景观设计的前置要求，并在总平面图及设计说明中表达。</w:t>
            </w:r>
          </w:p>
          <w:p>
            <w:pPr>
              <w:autoSpaceDE w:val="0"/>
              <w:autoSpaceDN w:val="0"/>
              <w:adjustRightInd w:val="0"/>
              <w:spacing w:line="360" w:lineRule="auto"/>
              <w:ind w:firstLine="480" w:firstLineChars="200"/>
              <w:jc w:val="left"/>
              <w:rPr>
                <w:rFonts w:hAnsi="宋体"/>
                <w:sz w:val="24"/>
              </w:rPr>
            </w:pPr>
            <w:r>
              <w:rPr>
                <w:rFonts w:hint="eastAsia" w:hAnsi="宋体"/>
                <w:sz w:val="24"/>
              </w:rPr>
              <w:t>雨水控制及利用定义为：径流总量、径流峰值、径流污染控制设施的总称，包括雨水入渗（渗透）、收集回用、调蓄排放等。</w:t>
            </w:r>
          </w:p>
          <w:p>
            <w:pPr>
              <w:autoSpaceDE w:val="0"/>
              <w:autoSpaceDN w:val="0"/>
              <w:adjustRightInd w:val="0"/>
              <w:spacing w:line="360" w:lineRule="auto"/>
              <w:ind w:firstLine="480" w:firstLineChars="200"/>
              <w:jc w:val="left"/>
              <w:rPr>
                <w:rFonts w:hAnsi="宋体"/>
                <w:sz w:val="24"/>
              </w:rPr>
            </w:pPr>
            <w:r>
              <w:rPr>
                <w:rFonts w:hint="eastAsia" w:hAnsi="宋体"/>
                <w:sz w:val="24"/>
              </w:rPr>
              <w:t>年径流总量控制率定义为：根据多年日降雨量统计分析技术，场地内累计全年得到控制的雨水量占全年总降雨量的百分比。</w:t>
            </w:r>
          </w:p>
          <w:p>
            <w:pPr>
              <w:autoSpaceDE w:val="0"/>
              <w:autoSpaceDN w:val="0"/>
              <w:adjustRightInd w:val="0"/>
              <w:spacing w:line="360" w:lineRule="auto"/>
              <w:ind w:firstLine="480" w:firstLineChars="200"/>
              <w:jc w:val="left"/>
              <w:rPr>
                <w:rFonts w:hAnsi="宋体"/>
                <w:sz w:val="24"/>
              </w:rPr>
            </w:pPr>
            <w:r>
              <w:rPr>
                <w:rFonts w:hint="eastAsia" w:hAnsi="宋体"/>
                <w:sz w:val="24"/>
              </w:rPr>
              <w:t>本条意在对场地雨水合理地实施减排控制。雨水设计应协同场地、景观设计，采用屋顶绿化、透水铺装等措施降低地表径流量，同时利用下凹式绿地、浅草沟、雨水花园等加强雨水入渗、积蓄、降低雨水外排量，也可根据项目的用水需求收集雨水进行回用，实现减少场地雨水外排的目标，满足海绵城市的要求。</w:t>
            </w:r>
          </w:p>
          <w:p>
            <w:pPr>
              <w:autoSpaceDE w:val="0"/>
              <w:autoSpaceDN w:val="0"/>
              <w:adjustRightInd w:val="0"/>
              <w:spacing w:line="360" w:lineRule="auto"/>
              <w:ind w:firstLine="480" w:firstLineChars="200"/>
              <w:jc w:val="left"/>
              <w:rPr>
                <w:rFonts w:hAnsi="宋体"/>
                <w:sz w:val="24"/>
              </w:rPr>
            </w:pPr>
            <w:r>
              <w:rPr>
                <w:rFonts w:hint="eastAsia" w:hAnsi="宋体"/>
                <w:sz w:val="24"/>
              </w:rPr>
              <w:t>从区域角度看，雨水的过量收集会导致原有水体的萎缩或影响水系统的良性循环。要使硬化地面恢复到自然地貌的环境水平，最佳的雨水控制量应以雨水排放量接近自然地貌为标准。</w:t>
            </w:r>
          </w:p>
          <w:p>
            <w:pPr>
              <w:autoSpaceDE w:val="0"/>
              <w:autoSpaceDN w:val="0"/>
              <w:adjustRightInd w:val="0"/>
              <w:spacing w:line="360" w:lineRule="auto"/>
              <w:ind w:firstLine="480" w:firstLineChars="200"/>
              <w:jc w:val="left"/>
              <w:rPr>
                <w:rFonts w:hAnsi="宋体"/>
                <w:sz w:val="24"/>
              </w:rPr>
            </w:pPr>
            <w:r>
              <w:rPr>
                <w:rFonts w:hint="eastAsia" w:hAnsi="宋体"/>
                <w:sz w:val="24"/>
              </w:rPr>
              <w:t>综合径流系数可根据《民用建筑雨水控制与利用设计导则》第3章要求计算，浙江省各地市年径流总量控制率对应的日降雨量可按《民用建筑雨水控制与利用设计导则》附录B取值。</w:t>
            </w:r>
          </w:p>
          <w:p>
            <w:pPr>
              <w:autoSpaceDE w:val="0"/>
              <w:autoSpaceDN w:val="0"/>
              <w:adjustRightInd w:val="0"/>
              <w:spacing w:line="360" w:lineRule="auto"/>
              <w:ind w:firstLine="480" w:firstLineChars="200"/>
              <w:jc w:val="left"/>
              <w:rPr>
                <w:rFonts w:hAnsi="宋体"/>
                <w:sz w:val="24"/>
              </w:rPr>
            </w:pPr>
            <w:r>
              <w:rPr>
                <w:rFonts w:hint="eastAsia" w:hAnsi="宋体"/>
                <w:sz w:val="24"/>
              </w:rPr>
              <w:t>海绵城市低影响开发控制性指标应满足当地海绵城市专项规划实施方案要求。</w:t>
            </w:r>
          </w:p>
          <w:p>
            <w:pPr>
              <w:autoSpaceDE w:val="0"/>
              <w:autoSpaceDN w:val="0"/>
              <w:adjustRightInd w:val="0"/>
              <w:spacing w:line="360" w:lineRule="auto"/>
              <w:ind w:firstLine="480" w:firstLineChars="200"/>
              <w:jc w:val="left"/>
              <w:rPr>
                <w:rFonts w:hAnsi="宋体"/>
                <w:sz w:val="24"/>
              </w:rPr>
            </w:pPr>
            <w:r>
              <w:rPr>
                <w:rFonts w:hint="eastAsia" w:hAnsi="宋体"/>
                <w:sz w:val="24"/>
              </w:rPr>
              <w:t>海绵城市低影响开发的技术措施应与给排水专业保持一致。</w:t>
            </w:r>
          </w:p>
        </w:tc>
      </w:tr>
    </w:tbl>
    <w:p>
      <w:pPr>
        <w:pStyle w:val="88"/>
        <w:numPr>
          <w:ilvl w:val="0"/>
          <w:numId w:val="0"/>
        </w:numPr>
        <w:spacing w:line="360" w:lineRule="auto"/>
        <w:rPr>
          <w:sz w:val="24"/>
          <w:szCs w:val="24"/>
        </w:rPr>
      </w:pPr>
      <w:r>
        <w:rPr>
          <w:rFonts w:hint="eastAsia"/>
          <w:sz w:val="24"/>
          <w:szCs w:val="24"/>
        </w:rPr>
        <w:t>3</w:t>
      </w:r>
      <w:r>
        <w:rPr>
          <w:sz w:val="24"/>
          <w:szCs w:val="24"/>
        </w:rPr>
        <w:t>.2</w:t>
      </w:r>
      <w:r>
        <w:rPr>
          <w:rFonts w:hint="eastAsia"/>
          <w:sz w:val="24"/>
          <w:szCs w:val="24"/>
        </w:rPr>
        <w:t>采取水资源回收与利用措施：</w:t>
      </w:r>
      <w:r>
        <w:rPr>
          <w:sz w:val="24"/>
          <w:szCs w:val="24"/>
        </w:rPr>
        <w:t xml:space="preserve"> </w:t>
      </w:r>
    </w:p>
    <w:p>
      <w:pPr>
        <w:spacing w:line="360" w:lineRule="auto"/>
        <w:rPr>
          <w:rFonts w:hAnsi="宋体"/>
          <w:sz w:val="24"/>
        </w:rPr>
      </w:pPr>
      <w:r>
        <w:rPr>
          <w:rFonts w:hint="eastAsia" w:hAnsi="宋体"/>
          <w:sz w:val="24"/>
        </w:rPr>
        <w:t>采用下列有调蓄雨水功能的绿地和水体；</w:t>
      </w:r>
    </w:p>
    <w:p>
      <w:pPr>
        <w:spacing w:line="360" w:lineRule="auto"/>
        <w:rPr>
          <w:rFonts w:hAnsi="宋体"/>
          <w:sz w:val="24"/>
        </w:rPr>
      </w:pPr>
      <w:r>
        <w:rPr>
          <w:rFonts w:hint="eastAsia" w:hAnsi="宋体"/>
          <w:sz w:val="24"/>
        </w:rPr>
        <w:t>有调蓄水功能的绿地和水体的面积之和占绿地面积的比例达到30％。</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2167"/>
        <w:gridCol w:w="1985"/>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1343" w:type="dxa"/>
            <w:vMerge w:val="restart"/>
          </w:tcPr>
          <w:p>
            <w:pPr>
              <w:spacing w:line="360" w:lineRule="auto"/>
              <w:rPr>
                <w:rFonts w:hAnsi="宋体"/>
                <w:sz w:val="24"/>
              </w:rPr>
            </w:pPr>
            <w:r>
              <w:rPr>
                <w:rFonts w:hint="eastAsia" w:hAnsi="宋体"/>
                <w:sz w:val="24"/>
              </w:rPr>
              <w:t>条文来源</w:t>
            </w:r>
          </w:p>
        </w:tc>
        <w:tc>
          <w:tcPr>
            <w:tcW w:w="2167" w:type="dxa"/>
          </w:tcPr>
          <w:p>
            <w:pPr>
              <w:spacing w:line="360" w:lineRule="auto"/>
              <w:jc w:val="center"/>
              <w:rPr>
                <w:rFonts w:hAnsi="宋体"/>
                <w:sz w:val="24"/>
              </w:rPr>
            </w:pPr>
            <w:r>
              <w:rPr>
                <w:rFonts w:hint="eastAsia" w:hAnsi="宋体"/>
                <w:sz w:val="24"/>
              </w:rPr>
              <w:t>GB/T 50378-201</w:t>
            </w:r>
            <w:r>
              <w:rPr>
                <w:rFonts w:hAnsi="宋体"/>
                <w:sz w:val="24"/>
              </w:rPr>
              <w:t>9</w:t>
            </w:r>
          </w:p>
        </w:tc>
        <w:tc>
          <w:tcPr>
            <w:tcW w:w="1985" w:type="dxa"/>
          </w:tcPr>
          <w:p>
            <w:pPr>
              <w:spacing w:line="360" w:lineRule="auto"/>
              <w:jc w:val="center"/>
              <w:rPr>
                <w:rFonts w:hAnsi="宋体"/>
                <w:sz w:val="24"/>
              </w:rPr>
            </w:pPr>
            <w:r>
              <w:rPr>
                <w:rFonts w:hAnsi="宋体"/>
                <w:sz w:val="24"/>
              </w:rPr>
              <w:t>8.2.5</w:t>
            </w:r>
            <w:r>
              <w:rPr>
                <w:rFonts w:hint="eastAsia" w:hAnsi="宋体"/>
                <w:sz w:val="24"/>
              </w:rPr>
              <w:t>条-</w:t>
            </w:r>
            <w:r>
              <w:rPr>
                <w:rFonts w:hAnsi="宋体"/>
                <w:sz w:val="24"/>
              </w:rPr>
              <w:t>1</w:t>
            </w:r>
          </w:p>
        </w:tc>
        <w:tc>
          <w:tcPr>
            <w:tcW w:w="3827" w:type="dxa"/>
          </w:tcPr>
          <w:p>
            <w:pPr>
              <w:spacing w:line="360" w:lineRule="auto"/>
              <w:jc w:val="center"/>
              <w:rPr>
                <w:rFonts w:hAnsi="宋体"/>
                <w:sz w:val="24"/>
              </w:rPr>
            </w:pPr>
            <w:r>
              <w:rPr>
                <w:rFonts w:hint="eastAsia" w:hAnsi="宋体"/>
                <w:sz w:val="24"/>
              </w:rPr>
              <w:t>下凹式绿地、雨水花园等有调蓄雨水功能的绿地和水体的面积之和占绿地面积的比例达到40％，得3分；达到60％，得5分；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167" w:type="dxa"/>
            <w:vMerge w:val="restart"/>
          </w:tcPr>
          <w:p>
            <w:pPr>
              <w:spacing w:line="360" w:lineRule="auto"/>
              <w:jc w:val="center"/>
              <w:rPr>
                <w:rFonts w:hAnsi="宋体"/>
                <w:sz w:val="24"/>
              </w:rPr>
            </w:pPr>
            <w:r>
              <w:rPr>
                <w:rFonts w:hint="eastAsia" w:hAnsi="宋体"/>
                <w:sz w:val="24"/>
              </w:rPr>
              <w:t>DB 33/1092-20</w:t>
            </w:r>
            <w:r>
              <w:rPr>
                <w:rFonts w:hAnsi="宋体"/>
                <w:sz w:val="24"/>
              </w:rPr>
              <w:t>21</w:t>
            </w:r>
          </w:p>
        </w:tc>
        <w:tc>
          <w:tcPr>
            <w:tcW w:w="1985" w:type="dxa"/>
          </w:tcPr>
          <w:p>
            <w:pPr>
              <w:spacing w:line="360" w:lineRule="auto"/>
              <w:jc w:val="center"/>
              <w:rPr>
                <w:rFonts w:hAnsi="宋体"/>
                <w:sz w:val="24"/>
              </w:rPr>
            </w:pPr>
            <w:r>
              <w:rPr>
                <w:rFonts w:hint="eastAsia" w:hAnsi="宋体"/>
                <w:sz w:val="24"/>
              </w:rPr>
              <w:t>1</w:t>
            </w:r>
            <w:r>
              <w:rPr>
                <w:rFonts w:hAnsi="宋体"/>
                <w:sz w:val="24"/>
              </w:rPr>
              <w:t>0.2.1</w:t>
            </w:r>
            <w:r>
              <w:rPr>
                <w:rFonts w:hint="eastAsia" w:hAnsi="宋体"/>
                <w:sz w:val="24"/>
              </w:rPr>
              <w:t>条-</w:t>
            </w:r>
            <w:r>
              <w:rPr>
                <w:rFonts w:hAnsi="宋体"/>
                <w:sz w:val="24"/>
              </w:rPr>
              <w:t>5</w:t>
            </w:r>
            <w:r>
              <w:rPr>
                <w:rFonts w:hint="eastAsia" w:hAnsi="宋体"/>
                <w:sz w:val="24"/>
              </w:rPr>
              <w:t>-</w:t>
            </w:r>
            <w:r>
              <w:rPr>
                <w:rFonts w:hAnsi="宋体"/>
                <w:sz w:val="24"/>
              </w:rPr>
              <w:t>1</w:t>
            </w:r>
          </w:p>
        </w:tc>
        <w:tc>
          <w:tcPr>
            <w:tcW w:w="3827" w:type="dxa"/>
          </w:tcPr>
          <w:p>
            <w:pPr>
              <w:spacing w:line="360" w:lineRule="auto"/>
              <w:jc w:val="center"/>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167" w:type="dxa"/>
            <w:vMerge w:val="continue"/>
          </w:tcPr>
          <w:p>
            <w:pPr>
              <w:spacing w:line="360" w:lineRule="auto"/>
              <w:jc w:val="center"/>
              <w:rPr>
                <w:rFonts w:hAnsi="宋体"/>
                <w:sz w:val="24"/>
              </w:rPr>
            </w:pPr>
          </w:p>
        </w:tc>
        <w:tc>
          <w:tcPr>
            <w:tcW w:w="1985" w:type="dxa"/>
          </w:tcPr>
          <w:p>
            <w:pPr>
              <w:spacing w:line="360" w:lineRule="auto"/>
              <w:jc w:val="center"/>
              <w:rPr>
                <w:rFonts w:hAnsi="宋体"/>
                <w:sz w:val="24"/>
              </w:rPr>
            </w:pPr>
            <w:r>
              <w:rPr>
                <w:rFonts w:hint="eastAsia" w:hAnsi="宋体"/>
                <w:sz w:val="24"/>
              </w:rPr>
              <w:t>1</w:t>
            </w:r>
            <w:r>
              <w:rPr>
                <w:rFonts w:hAnsi="宋体"/>
                <w:sz w:val="24"/>
              </w:rPr>
              <w:t>0.3.1</w:t>
            </w:r>
            <w:r>
              <w:rPr>
                <w:rFonts w:hint="eastAsia" w:hAnsi="宋体"/>
                <w:sz w:val="24"/>
              </w:rPr>
              <w:t>条-</w:t>
            </w:r>
            <w:r>
              <w:rPr>
                <w:rFonts w:hAnsi="宋体"/>
                <w:sz w:val="24"/>
              </w:rPr>
              <w:t>1</w:t>
            </w:r>
          </w:p>
        </w:tc>
        <w:tc>
          <w:tcPr>
            <w:tcW w:w="3827" w:type="dxa"/>
          </w:tcPr>
          <w:p>
            <w:pPr>
              <w:spacing w:line="360" w:lineRule="auto"/>
              <w:jc w:val="center"/>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167" w:type="dxa"/>
            <w:vMerge w:val="continue"/>
          </w:tcPr>
          <w:p>
            <w:pPr>
              <w:spacing w:line="360" w:lineRule="auto"/>
              <w:jc w:val="center"/>
              <w:rPr>
                <w:rFonts w:hAnsi="宋体"/>
                <w:sz w:val="24"/>
              </w:rPr>
            </w:pPr>
          </w:p>
        </w:tc>
        <w:tc>
          <w:tcPr>
            <w:tcW w:w="1985" w:type="dxa"/>
          </w:tcPr>
          <w:p>
            <w:pPr>
              <w:spacing w:line="360" w:lineRule="auto"/>
              <w:jc w:val="center"/>
              <w:rPr>
                <w:rFonts w:hAnsi="宋体"/>
                <w:sz w:val="24"/>
              </w:rPr>
            </w:pPr>
            <w:r>
              <w:rPr>
                <w:rFonts w:hint="eastAsia" w:hAnsi="宋体"/>
                <w:sz w:val="24"/>
              </w:rPr>
              <w:t>1</w:t>
            </w:r>
            <w:r>
              <w:rPr>
                <w:rFonts w:hAnsi="宋体"/>
                <w:sz w:val="24"/>
              </w:rPr>
              <w:t>0.4.1</w:t>
            </w:r>
            <w:r>
              <w:rPr>
                <w:rFonts w:hint="eastAsia" w:hAnsi="宋体"/>
                <w:sz w:val="24"/>
              </w:rPr>
              <w:t>条-</w:t>
            </w:r>
            <w:r>
              <w:rPr>
                <w:rFonts w:hAnsi="宋体"/>
                <w:sz w:val="24"/>
              </w:rPr>
              <w:t>1</w:t>
            </w:r>
          </w:p>
        </w:tc>
        <w:tc>
          <w:tcPr>
            <w:tcW w:w="3827" w:type="dxa"/>
          </w:tcPr>
          <w:p>
            <w:pPr>
              <w:spacing w:line="360" w:lineRule="auto"/>
              <w:jc w:val="center"/>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spacing w:line="360" w:lineRule="auto"/>
              <w:rPr>
                <w:rFonts w:hAnsi="宋体"/>
                <w:sz w:val="24"/>
              </w:rPr>
            </w:pPr>
            <w:r>
              <w:rPr>
                <w:rFonts w:hint="eastAsia" w:hAnsi="宋体"/>
                <w:sz w:val="24"/>
              </w:rPr>
              <w:t>依据材料</w:t>
            </w:r>
          </w:p>
        </w:tc>
        <w:tc>
          <w:tcPr>
            <w:tcW w:w="7979"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本项涉及与给排水专业相关内容，设计人员应事先与相关专业相互核对，统一填写。设计人员根据项目的地形图、场地规划设计文件、施工图文件（含总图、景观设计图、室外给排水总平面图、计算书等），依据场地雨水综合利用方案或雨水专项规划设计、场地雨水综合利用方案或雨水专项规划设计，选用的水资源利用措施，根据给排水专业计算结果，在相关图纸中应有体现，并据实填写本条内容（场地大于10hm</w:t>
            </w:r>
            <w:r>
              <w:rPr>
                <w:rFonts w:hint="eastAsia" w:hAnsi="宋体"/>
                <w:sz w:val="24"/>
                <w:vertAlign w:val="superscript"/>
              </w:rPr>
              <w:t>2</w:t>
            </w:r>
            <w:r>
              <w:rPr>
                <w:rFonts w:hint="eastAsia" w:hAnsi="宋体"/>
                <w:sz w:val="24"/>
              </w:rPr>
              <w:t>的应提供雨水专项规划设计），按照项目实际，填写此项内容。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spacing w:line="360" w:lineRule="auto"/>
              <w:rPr>
                <w:rFonts w:hAnsi="宋体"/>
                <w:sz w:val="24"/>
              </w:rPr>
            </w:pPr>
            <w:r>
              <w:rPr>
                <w:rFonts w:hint="eastAsia" w:hAnsi="宋体"/>
                <w:sz w:val="24"/>
              </w:rPr>
              <w:t>备注</w:t>
            </w:r>
          </w:p>
        </w:tc>
        <w:tc>
          <w:tcPr>
            <w:tcW w:w="7979"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如景观图未与土建施工图同时出图时，应在土建图中写明相应措施为景观设计的前置要求，并在总平面图及设计说明中表达。</w:t>
            </w:r>
          </w:p>
          <w:p>
            <w:pPr>
              <w:autoSpaceDE w:val="0"/>
              <w:autoSpaceDN w:val="0"/>
              <w:adjustRightInd w:val="0"/>
              <w:spacing w:line="360" w:lineRule="auto"/>
              <w:ind w:firstLine="480" w:firstLineChars="200"/>
              <w:jc w:val="left"/>
              <w:rPr>
                <w:rFonts w:hAnsi="宋体"/>
                <w:sz w:val="24"/>
              </w:rPr>
            </w:pPr>
            <w:r>
              <w:rPr>
                <w:rFonts w:hint="eastAsia" w:hAnsi="宋体"/>
                <w:sz w:val="24"/>
              </w:rPr>
              <w:t>场地开发应遵循低影响开发原则，合理利用场地空间设置绿色雨水基础设施。绿色雨水基础设施有雨水花园、下凹式绿地、屋顶绿化、植被浅沟、雨水截流设施、渗透设施、雨水塘、雨水湿地、景观水体、多功能调蓄设施等。绿色雨水基础设施有别于传统的灰色雨水设施（雨水口、雨水管道等），能够以自然的方式控制城市雨水径流、减少城市洪涝灾害、控制径流污染、保护水环境。</w:t>
            </w:r>
          </w:p>
          <w:p>
            <w:pPr>
              <w:autoSpaceDE w:val="0"/>
              <w:autoSpaceDN w:val="0"/>
              <w:adjustRightInd w:val="0"/>
              <w:spacing w:line="360" w:lineRule="auto"/>
              <w:ind w:firstLine="480" w:firstLineChars="200"/>
              <w:jc w:val="left"/>
              <w:rPr>
                <w:rFonts w:hAnsi="宋体"/>
                <w:sz w:val="24"/>
              </w:rPr>
            </w:pPr>
            <w:r>
              <w:rPr>
                <w:rFonts w:hint="eastAsia" w:hAnsi="宋体"/>
                <w:sz w:val="24"/>
              </w:rPr>
              <w:t>利用场地的河流、湖泊、水塘、湿地、低洼地作为雨水调蓄设施，或利用场地内设计景观（如景观绿地和景观水体）来调蓄雨水，可达到有限土地资源多功能开发的目标。能调蓄雨水的景观绿地包括下凹式绿地、雨水花园、树池、水塘等。</w:t>
            </w:r>
          </w:p>
        </w:tc>
      </w:tr>
    </w:tbl>
    <w:p>
      <w:pPr>
        <w:pStyle w:val="88"/>
        <w:numPr>
          <w:ilvl w:val="0"/>
          <w:numId w:val="0"/>
        </w:numPr>
        <w:spacing w:line="360" w:lineRule="auto"/>
        <w:rPr>
          <w:sz w:val="24"/>
          <w:szCs w:val="24"/>
        </w:rPr>
      </w:pPr>
      <w:r>
        <w:rPr>
          <w:rFonts w:hint="eastAsia"/>
          <w:sz w:val="24"/>
          <w:szCs w:val="24"/>
        </w:rPr>
        <w:t>3</w:t>
      </w:r>
      <w:r>
        <w:rPr>
          <w:sz w:val="24"/>
          <w:szCs w:val="24"/>
        </w:rPr>
        <w:t xml:space="preserve">.3 </w:t>
      </w:r>
      <w:r>
        <w:rPr>
          <w:rFonts w:hint="eastAsia" w:cstheme="minorBidi"/>
          <w:sz w:val="24"/>
          <w:szCs w:val="24"/>
        </w:rPr>
        <w:t>场地设置透水地面；透水铺装面积；硬质铺装地面中透水铺装的比例；项目</w:t>
      </w:r>
      <w:r>
        <w:rPr>
          <w:rFonts w:cstheme="minorBidi"/>
          <w:sz w:val="24"/>
          <w:szCs w:val="24"/>
        </w:rPr>
        <w:t>公共服务设施</w:t>
      </w:r>
      <w:r>
        <w:rPr>
          <w:rFonts w:hint="eastAsia" w:cstheme="minorBidi"/>
          <w:sz w:val="24"/>
          <w:szCs w:val="24"/>
        </w:rPr>
        <w:t>。</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2309"/>
        <w:gridCol w:w="2126"/>
        <w:gridCol w:w="3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 w:hRule="atLeast"/>
        </w:trPr>
        <w:tc>
          <w:tcPr>
            <w:tcW w:w="1343" w:type="dxa"/>
            <w:vMerge w:val="restart"/>
          </w:tcPr>
          <w:p>
            <w:pPr>
              <w:spacing w:line="360" w:lineRule="auto"/>
              <w:rPr>
                <w:rFonts w:hAnsi="宋体"/>
                <w:sz w:val="24"/>
              </w:rPr>
            </w:pPr>
            <w:r>
              <w:rPr>
                <w:rFonts w:hint="eastAsia" w:hAnsi="宋体"/>
                <w:sz w:val="24"/>
              </w:rPr>
              <w:t>条文来源</w:t>
            </w:r>
          </w:p>
        </w:tc>
        <w:tc>
          <w:tcPr>
            <w:tcW w:w="2309" w:type="dxa"/>
          </w:tcPr>
          <w:p>
            <w:pPr>
              <w:spacing w:line="360" w:lineRule="auto"/>
              <w:rPr>
                <w:rFonts w:hAnsi="宋体"/>
                <w:sz w:val="24"/>
              </w:rPr>
            </w:pPr>
            <w:r>
              <w:rPr>
                <w:rFonts w:hint="eastAsia" w:hAnsi="宋体"/>
                <w:sz w:val="24"/>
              </w:rPr>
              <w:t>GB/T 50378-201</w:t>
            </w:r>
            <w:r>
              <w:rPr>
                <w:rFonts w:hAnsi="宋体"/>
                <w:sz w:val="24"/>
              </w:rPr>
              <w:t>9</w:t>
            </w:r>
          </w:p>
        </w:tc>
        <w:tc>
          <w:tcPr>
            <w:tcW w:w="2126" w:type="dxa"/>
          </w:tcPr>
          <w:p>
            <w:pPr>
              <w:spacing w:line="360" w:lineRule="auto"/>
              <w:jc w:val="center"/>
              <w:rPr>
                <w:rFonts w:hAnsi="宋体"/>
                <w:sz w:val="24"/>
              </w:rPr>
            </w:pPr>
            <w:r>
              <w:rPr>
                <w:rFonts w:hAnsi="宋体"/>
                <w:sz w:val="24"/>
              </w:rPr>
              <w:t>8.2.5</w:t>
            </w:r>
            <w:r>
              <w:rPr>
                <w:rFonts w:hint="eastAsia" w:hAnsi="宋体"/>
                <w:sz w:val="24"/>
              </w:rPr>
              <w:t>条-</w:t>
            </w:r>
            <w:r>
              <w:rPr>
                <w:rFonts w:hAnsi="宋体"/>
                <w:sz w:val="24"/>
              </w:rPr>
              <w:t>4</w:t>
            </w:r>
          </w:p>
        </w:tc>
        <w:tc>
          <w:tcPr>
            <w:tcW w:w="3544" w:type="dxa"/>
          </w:tcPr>
          <w:p>
            <w:pPr>
              <w:spacing w:line="360" w:lineRule="auto"/>
              <w:jc w:val="center"/>
              <w:rPr>
                <w:rFonts w:hAnsi="宋体"/>
                <w:sz w:val="24"/>
              </w:rPr>
            </w:pPr>
            <w:r>
              <w:rPr>
                <w:rFonts w:hint="eastAsia" w:hAnsi="宋体"/>
                <w:sz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309"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2126" w:type="dxa"/>
          </w:tcPr>
          <w:p>
            <w:pPr>
              <w:spacing w:line="360" w:lineRule="auto"/>
              <w:jc w:val="center"/>
              <w:rPr>
                <w:rFonts w:hAnsi="宋体"/>
                <w:sz w:val="24"/>
              </w:rPr>
            </w:pPr>
            <w:r>
              <w:rPr>
                <w:rFonts w:hint="eastAsia" w:hAnsi="宋体"/>
                <w:sz w:val="24"/>
              </w:rPr>
              <w:t>10.2.1条-5-</w:t>
            </w:r>
            <w:r>
              <w:rPr>
                <w:rFonts w:hAnsi="宋体"/>
                <w:sz w:val="24"/>
              </w:rPr>
              <w:t>4</w:t>
            </w:r>
          </w:p>
        </w:tc>
        <w:tc>
          <w:tcPr>
            <w:tcW w:w="3544" w:type="dxa"/>
          </w:tcPr>
          <w:p>
            <w:pPr>
              <w:spacing w:line="360" w:lineRule="auto"/>
              <w:jc w:val="center"/>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309" w:type="dxa"/>
            <w:vMerge w:val="continue"/>
          </w:tcPr>
          <w:p>
            <w:pPr>
              <w:spacing w:line="360" w:lineRule="auto"/>
              <w:rPr>
                <w:rFonts w:hAnsi="宋体"/>
                <w:sz w:val="24"/>
              </w:rPr>
            </w:pPr>
          </w:p>
        </w:tc>
        <w:tc>
          <w:tcPr>
            <w:tcW w:w="2126" w:type="dxa"/>
          </w:tcPr>
          <w:p>
            <w:pPr>
              <w:spacing w:line="360" w:lineRule="auto"/>
              <w:jc w:val="center"/>
              <w:rPr>
                <w:rFonts w:hAnsi="宋体"/>
                <w:sz w:val="24"/>
              </w:rPr>
            </w:pPr>
            <w:r>
              <w:rPr>
                <w:rFonts w:hint="eastAsia" w:hAnsi="宋体"/>
                <w:sz w:val="24"/>
              </w:rPr>
              <w:t>1</w:t>
            </w:r>
            <w:r>
              <w:rPr>
                <w:rFonts w:hAnsi="宋体"/>
                <w:sz w:val="24"/>
              </w:rPr>
              <w:t>0.3.1</w:t>
            </w:r>
            <w:r>
              <w:rPr>
                <w:rFonts w:hint="eastAsia" w:hAnsi="宋体"/>
                <w:sz w:val="24"/>
              </w:rPr>
              <w:t>条-</w:t>
            </w:r>
            <w:r>
              <w:rPr>
                <w:rFonts w:hAnsi="宋体"/>
                <w:sz w:val="24"/>
              </w:rPr>
              <w:t>4</w:t>
            </w:r>
          </w:p>
        </w:tc>
        <w:tc>
          <w:tcPr>
            <w:tcW w:w="3544" w:type="dxa"/>
          </w:tcPr>
          <w:p>
            <w:pPr>
              <w:spacing w:line="360" w:lineRule="auto"/>
              <w:jc w:val="center"/>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309" w:type="dxa"/>
            <w:vMerge w:val="continue"/>
          </w:tcPr>
          <w:p>
            <w:pPr>
              <w:spacing w:line="360" w:lineRule="auto"/>
              <w:rPr>
                <w:rFonts w:hAnsi="宋体"/>
                <w:sz w:val="24"/>
              </w:rPr>
            </w:pPr>
          </w:p>
        </w:tc>
        <w:tc>
          <w:tcPr>
            <w:tcW w:w="2126" w:type="dxa"/>
          </w:tcPr>
          <w:p>
            <w:pPr>
              <w:spacing w:line="360" w:lineRule="auto"/>
              <w:jc w:val="center"/>
              <w:rPr>
                <w:rFonts w:hAnsi="宋体"/>
                <w:sz w:val="24"/>
              </w:rPr>
            </w:pPr>
            <w:r>
              <w:rPr>
                <w:rFonts w:hint="eastAsia" w:hAnsi="宋体"/>
                <w:sz w:val="24"/>
              </w:rPr>
              <w:t>1</w:t>
            </w:r>
            <w:r>
              <w:rPr>
                <w:rFonts w:hAnsi="宋体"/>
                <w:sz w:val="24"/>
              </w:rPr>
              <w:t>0.4.1</w:t>
            </w:r>
            <w:r>
              <w:rPr>
                <w:rFonts w:hint="eastAsia" w:hAnsi="宋体"/>
                <w:sz w:val="24"/>
              </w:rPr>
              <w:t>条-</w:t>
            </w:r>
            <w:r>
              <w:rPr>
                <w:rFonts w:hAnsi="宋体"/>
                <w:sz w:val="24"/>
              </w:rPr>
              <w:t>4</w:t>
            </w:r>
          </w:p>
        </w:tc>
        <w:tc>
          <w:tcPr>
            <w:tcW w:w="3544" w:type="dxa"/>
          </w:tcPr>
          <w:p>
            <w:pPr>
              <w:spacing w:line="360" w:lineRule="auto"/>
              <w:jc w:val="center"/>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spacing w:line="360" w:lineRule="auto"/>
              <w:rPr>
                <w:rFonts w:hAnsi="宋体"/>
                <w:sz w:val="24"/>
              </w:rPr>
            </w:pPr>
            <w:r>
              <w:rPr>
                <w:rFonts w:hint="eastAsia" w:hAnsi="宋体"/>
                <w:sz w:val="24"/>
              </w:rPr>
              <w:t>依据材料</w:t>
            </w:r>
          </w:p>
        </w:tc>
        <w:tc>
          <w:tcPr>
            <w:tcW w:w="7979"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本项涉及与给排水专业相关内容，设计人员应事先与相关专业相互核对，统一填写。设计人员根据项目的地形图、场地规划设计文件、施工图文件（含总图、景观设计图、室外给排水总平面图、计算书等），依据场地雨水综合利用方案或雨水专项规划设计、场地雨水综合利用方案或雨水专项规划设计（场地大于10hm</w:t>
            </w:r>
            <w:r>
              <w:rPr>
                <w:rFonts w:hint="eastAsia" w:hAnsi="宋体"/>
                <w:sz w:val="24"/>
                <w:vertAlign w:val="superscript"/>
              </w:rPr>
              <w:t>2</w:t>
            </w:r>
            <w:r>
              <w:rPr>
                <w:rFonts w:hint="eastAsia" w:hAnsi="宋体"/>
                <w:sz w:val="24"/>
              </w:rPr>
              <w:t>的应提供雨水专项规划设计），按照项目实际，填写此项内容。</w:t>
            </w:r>
          </w:p>
          <w:p>
            <w:pPr>
              <w:autoSpaceDE w:val="0"/>
              <w:autoSpaceDN w:val="0"/>
              <w:adjustRightInd w:val="0"/>
              <w:spacing w:line="360" w:lineRule="auto"/>
              <w:ind w:firstLine="480" w:firstLineChars="200"/>
              <w:jc w:val="left"/>
              <w:rPr>
                <w:rFonts w:hAnsi="宋体"/>
                <w:sz w:val="24"/>
              </w:rPr>
            </w:pPr>
            <w:r>
              <w:rPr>
                <w:rFonts w:hint="eastAsia" w:hAnsi="宋体"/>
                <w:sz w:val="24"/>
              </w:rPr>
              <w:t>值得注意的是，设计师有场地铺装图，并标明室外透水铺装地面位置、面积、铺装材料。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spacing w:line="360" w:lineRule="auto"/>
              <w:rPr>
                <w:rFonts w:hAnsi="宋体"/>
                <w:sz w:val="24"/>
              </w:rPr>
            </w:pPr>
            <w:r>
              <w:rPr>
                <w:rFonts w:hint="eastAsia" w:hAnsi="宋体"/>
                <w:sz w:val="24"/>
              </w:rPr>
              <w:t>备注</w:t>
            </w:r>
          </w:p>
        </w:tc>
        <w:tc>
          <w:tcPr>
            <w:tcW w:w="7979"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如景观图未与土建施工图同时出图时，应在土建图中写明相应措施为景观设计的前置要求，并在总平面图及设计说明中表达。</w:t>
            </w:r>
          </w:p>
          <w:p>
            <w:pPr>
              <w:autoSpaceDE w:val="0"/>
              <w:autoSpaceDN w:val="0"/>
              <w:adjustRightInd w:val="0"/>
              <w:spacing w:line="360" w:lineRule="auto"/>
              <w:ind w:firstLine="480" w:firstLineChars="200"/>
              <w:jc w:val="left"/>
              <w:rPr>
                <w:rFonts w:hAnsi="宋体"/>
                <w:sz w:val="24"/>
              </w:rPr>
            </w:pPr>
            <w:r>
              <w:rPr>
                <w:rFonts w:hint="eastAsia" w:hAnsi="宋体"/>
                <w:sz w:val="24"/>
              </w:rPr>
              <w:t>雨水下渗也是消减径流和径流污染的重要途径之一。本条 “硬质铺装地面”指场地中停车场、道路和室外活动场地等，不包括建筑占地（屋面）、绿地、水面等。通常停车场、道路和室外活动场地等，有一定承载力要求，多采用石材、砖、混凝土、砾石等为铺地材料，透水性能较差，雨水无法人渗，形成大量地面径流，增加城市排水系统的压力。“透水铺装”是指采用如植草砖、透水沥青、透水混凝土、透水地砖等透水铺装系统，既能满足路用及铺地强度和耐久性要求，又能使雨水通过本身与铺装下基层相通的渗水路径直接渗入下部土壤的地面铺装。当透水铺装下为地下室顶板时，若地下室顶板设有疏水板及导水管等可将渗透雨水导人与地下室顶板接壤的实士，或地下室顶板上覆土深度能满足当地园林绿化部门要求时，仍可认定其为透水铺装地面。评价时以场地中硬质铺装地面中透水铺装所占的面积比例为依据。</w:t>
            </w:r>
          </w:p>
        </w:tc>
      </w:tr>
    </w:tbl>
    <w:p>
      <w:pPr>
        <w:spacing w:line="360" w:lineRule="auto"/>
        <w:rPr>
          <w:rFonts w:hAnsi="宋体"/>
          <w:sz w:val="24"/>
        </w:rPr>
      </w:pPr>
    </w:p>
    <w:p>
      <w:pPr>
        <w:pStyle w:val="87"/>
        <w:numPr>
          <w:ilvl w:val="0"/>
          <w:numId w:val="44"/>
        </w:numPr>
        <w:spacing w:line="360" w:lineRule="auto"/>
        <w:rPr>
          <w:b/>
          <w:sz w:val="24"/>
          <w:szCs w:val="24"/>
        </w:rPr>
      </w:pPr>
      <w:r>
        <w:rPr>
          <w:rFonts w:hint="eastAsia"/>
          <w:b/>
          <w:sz w:val="24"/>
          <w:szCs w:val="24"/>
        </w:rPr>
        <w:t>项目</w:t>
      </w:r>
      <w:r>
        <w:rPr>
          <w:b/>
          <w:sz w:val="24"/>
          <w:szCs w:val="24"/>
        </w:rPr>
        <w:t>公共服务设施</w:t>
      </w:r>
      <w:r>
        <w:rPr>
          <w:rFonts w:hint="eastAsia"/>
          <w:b/>
          <w:sz w:val="24"/>
          <w:szCs w:val="24"/>
        </w:rPr>
        <w:t>：</w:t>
      </w:r>
      <w:r>
        <w:rPr>
          <w:b/>
          <w:sz w:val="24"/>
          <w:szCs w:val="24"/>
        </w:rPr>
        <w:t xml:space="preserve"> </w:t>
      </w:r>
    </w:p>
    <w:p>
      <w:pPr>
        <w:pStyle w:val="87"/>
        <w:numPr>
          <w:ilvl w:val="0"/>
          <w:numId w:val="0"/>
        </w:numPr>
        <w:spacing w:line="360" w:lineRule="auto"/>
        <w:rPr>
          <w:rFonts w:cstheme="minorBidi"/>
          <w:sz w:val="24"/>
          <w:szCs w:val="24"/>
        </w:rPr>
      </w:pPr>
      <w:r>
        <w:rPr>
          <w:rFonts w:hint="eastAsia" w:cstheme="minorBidi"/>
          <w:sz w:val="24"/>
          <w:szCs w:val="24"/>
        </w:rPr>
        <w:t>4.1公共服务设施按规划配建：</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5"/>
        <w:gridCol w:w="2165"/>
        <w:gridCol w:w="1843"/>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345" w:type="dxa"/>
            <w:vMerge w:val="restart"/>
          </w:tcPr>
          <w:p>
            <w:pPr>
              <w:spacing w:line="360" w:lineRule="auto"/>
              <w:rPr>
                <w:rFonts w:hAnsi="宋体"/>
                <w:sz w:val="24"/>
              </w:rPr>
            </w:pPr>
            <w:r>
              <w:rPr>
                <w:rFonts w:hint="eastAsia" w:hAnsi="宋体"/>
                <w:sz w:val="24"/>
              </w:rPr>
              <w:t>条文来源</w:t>
            </w:r>
          </w:p>
        </w:tc>
        <w:tc>
          <w:tcPr>
            <w:tcW w:w="2165" w:type="dxa"/>
          </w:tcPr>
          <w:p>
            <w:pPr>
              <w:spacing w:line="360" w:lineRule="auto"/>
              <w:rPr>
                <w:rFonts w:hAnsi="宋体"/>
                <w:sz w:val="24"/>
              </w:rPr>
            </w:pPr>
            <w:r>
              <w:rPr>
                <w:rFonts w:hint="eastAsia" w:hAnsi="宋体"/>
                <w:sz w:val="24"/>
              </w:rPr>
              <w:t>GB/T 50378-201</w:t>
            </w:r>
            <w:r>
              <w:rPr>
                <w:rFonts w:hAnsi="宋体"/>
                <w:sz w:val="24"/>
              </w:rPr>
              <w:t>9</w:t>
            </w:r>
          </w:p>
        </w:tc>
        <w:tc>
          <w:tcPr>
            <w:tcW w:w="1843" w:type="dxa"/>
          </w:tcPr>
          <w:p>
            <w:pPr>
              <w:spacing w:line="360" w:lineRule="auto"/>
              <w:rPr>
                <w:rFonts w:hAnsi="宋体"/>
                <w:sz w:val="24"/>
              </w:rPr>
            </w:pPr>
            <w:r>
              <w:rPr>
                <w:rFonts w:hint="eastAsia" w:hAnsi="宋体"/>
                <w:sz w:val="24"/>
              </w:rPr>
              <w:t>6</w:t>
            </w:r>
            <w:r>
              <w:rPr>
                <w:rFonts w:hAnsi="宋体"/>
                <w:sz w:val="24"/>
              </w:rPr>
              <w:t>.2.3</w:t>
            </w:r>
            <w:r>
              <w:rPr>
                <w:rFonts w:hint="eastAsia" w:hAnsi="宋体"/>
                <w:sz w:val="24"/>
              </w:rPr>
              <w:t>条-</w:t>
            </w:r>
            <w:r>
              <w:rPr>
                <w:rFonts w:hAnsi="宋体"/>
                <w:sz w:val="24"/>
              </w:rPr>
              <w:t>1</w:t>
            </w:r>
          </w:p>
        </w:tc>
        <w:tc>
          <w:tcPr>
            <w:tcW w:w="3969" w:type="dxa"/>
          </w:tcPr>
          <w:p>
            <w:pPr>
              <w:spacing w:line="360" w:lineRule="auto"/>
              <w:rPr>
                <w:rFonts w:hAnsi="宋体"/>
                <w:sz w:val="24"/>
              </w:rPr>
            </w:pPr>
            <w:r>
              <w:rPr>
                <w:rFonts w:hint="eastAsia" w:hAnsi="宋体"/>
                <w:sz w:val="24"/>
              </w:rPr>
              <w:t>满足要求中的</w:t>
            </w:r>
            <w:r>
              <w:rPr>
                <w:rFonts w:hAnsi="宋体"/>
                <w:sz w:val="24"/>
              </w:rPr>
              <w:t>4</w:t>
            </w:r>
            <w:r>
              <w:rPr>
                <w:rFonts w:hint="eastAsia" w:hAnsi="宋体"/>
                <w:sz w:val="24"/>
              </w:rPr>
              <w:t>项，</w:t>
            </w:r>
            <w:r>
              <w:rPr>
                <w:rFonts w:hAnsi="宋体"/>
                <w:sz w:val="24"/>
              </w:rPr>
              <w:t>5</w:t>
            </w:r>
            <w:r>
              <w:rPr>
                <w:rFonts w:hint="eastAsia" w:hAnsi="宋体"/>
                <w:sz w:val="24"/>
              </w:rPr>
              <w:t>分；</w:t>
            </w:r>
          </w:p>
          <w:p>
            <w:pPr>
              <w:spacing w:line="360" w:lineRule="auto"/>
              <w:rPr>
                <w:rFonts w:hAnsi="宋体"/>
                <w:sz w:val="24"/>
              </w:rPr>
            </w:pPr>
            <w:r>
              <w:rPr>
                <w:rFonts w:hint="eastAsia" w:hAnsi="宋体"/>
                <w:sz w:val="24"/>
              </w:rPr>
              <w:t>满足要求中的</w:t>
            </w:r>
            <w:r>
              <w:rPr>
                <w:rFonts w:hAnsi="宋体"/>
                <w:sz w:val="24"/>
              </w:rPr>
              <w:t>6</w:t>
            </w:r>
            <w:r>
              <w:rPr>
                <w:rFonts w:hint="eastAsia" w:hAnsi="宋体"/>
                <w:sz w:val="24"/>
              </w:rPr>
              <w:t>项，</w:t>
            </w:r>
            <w:r>
              <w:rPr>
                <w:rFonts w:hAnsi="宋体"/>
                <w:sz w:val="24"/>
              </w:rPr>
              <w:t>10</w:t>
            </w:r>
            <w:r>
              <w:rPr>
                <w:rFonts w:hint="eastAsia"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843" w:type="dxa"/>
          </w:tcPr>
          <w:p>
            <w:pPr>
              <w:spacing w:line="360" w:lineRule="auto"/>
              <w:rPr>
                <w:rFonts w:hAnsi="宋体"/>
                <w:sz w:val="24"/>
              </w:rPr>
            </w:pPr>
            <w:r>
              <w:rPr>
                <w:rFonts w:hAnsi="宋体"/>
                <w:sz w:val="24"/>
              </w:rPr>
              <w:t>4.1</w:t>
            </w:r>
            <w:r>
              <w:rPr>
                <w:rFonts w:hint="eastAsia" w:hAnsi="宋体"/>
                <w:sz w:val="24"/>
              </w:rPr>
              <w:t>.</w:t>
            </w:r>
            <w:r>
              <w:rPr>
                <w:rFonts w:hAnsi="宋体"/>
                <w:sz w:val="24"/>
              </w:rPr>
              <w:t>3</w:t>
            </w:r>
            <w:r>
              <w:rPr>
                <w:rFonts w:hint="eastAsia" w:hAnsi="宋体"/>
                <w:sz w:val="24"/>
              </w:rPr>
              <w:t>条</w:t>
            </w:r>
          </w:p>
        </w:tc>
        <w:tc>
          <w:tcPr>
            <w:tcW w:w="3969" w:type="dxa"/>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continue"/>
          </w:tcPr>
          <w:p>
            <w:pPr>
              <w:spacing w:line="360" w:lineRule="auto"/>
              <w:rPr>
                <w:rFonts w:hAnsi="宋体"/>
                <w:sz w:val="24"/>
              </w:rPr>
            </w:pPr>
          </w:p>
        </w:tc>
        <w:tc>
          <w:tcPr>
            <w:tcW w:w="1843" w:type="dxa"/>
          </w:tcPr>
          <w:p>
            <w:pPr>
              <w:spacing w:line="360" w:lineRule="auto"/>
              <w:rPr>
                <w:rFonts w:hAnsi="宋体"/>
                <w:sz w:val="24"/>
              </w:rPr>
            </w:pPr>
            <w:r>
              <w:rPr>
                <w:rFonts w:hAnsi="宋体"/>
                <w:sz w:val="24"/>
              </w:rPr>
              <w:t>4.2</w:t>
            </w:r>
            <w:r>
              <w:rPr>
                <w:rFonts w:hint="eastAsia" w:hAnsi="宋体"/>
                <w:sz w:val="24"/>
              </w:rPr>
              <w:t>.</w:t>
            </w:r>
            <w:r>
              <w:rPr>
                <w:rFonts w:hAnsi="宋体"/>
                <w:sz w:val="24"/>
              </w:rPr>
              <w:t>12</w:t>
            </w:r>
            <w:r>
              <w:rPr>
                <w:rFonts w:hint="eastAsia" w:hAnsi="宋体"/>
                <w:sz w:val="24"/>
              </w:rPr>
              <w:t>条-</w:t>
            </w:r>
            <w:r>
              <w:rPr>
                <w:rFonts w:hAnsi="宋体"/>
                <w:sz w:val="24"/>
              </w:rPr>
              <w:t>1</w:t>
            </w:r>
          </w:p>
        </w:tc>
        <w:tc>
          <w:tcPr>
            <w:tcW w:w="3969"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continue"/>
          </w:tcPr>
          <w:p>
            <w:pPr>
              <w:spacing w:line="360" w:lineRule="auto"/>
              <w:rPr>
                <w:rFonts w:hAnsi="宋体"/>
                <w:sz w:val="24"/>
              </w:rPr>
            </w:pPr>
          </w:p>
        </w:tc>
        <w:tc>
          <w:tcPr>
            <w:tcW w:w="1843" w:type="dxa"/>
          </w:tcPr>
          <w:p>
            <w:pPr>
              <w:spacing w:line="360" w:lineRule="auto"/>
              <w:rPr>
                <w:rFonts w:hAnsi="宋体"/>
                <w:sz w:val="24"/>
              </w:rPr>
            </w:pPr>
            <w:r>
              <w:rPr>
                <w:rFonts w:hAnsi="宋体"/>
                <w:sz w:val="24"/>
              </w:rPr>
              <w:t>4.4</w:t>
            </w:r>
            <w:r>
              <w:rPr>
                <w:rFonts w:hint="eastAsia" w:hAnsi="宋体"/>
                <w:sz w:val="24"/>
              </w:rPr>
              <w:t>.</w:t>
            </w:r>
            <w:r>
              <w:rPr>
                <w:rFonts w:hAnsi="宋体"/>
                <w:sz w:val="24"/>
              </w:rPr>
              <w:t>6</w:t>
            </w:r>
            <w:r>
              <w:rPr>
                <w:rFonts w:hint="eastAsia" w:hAnsi="宋体"/>
                <w:sz w:val="24"/>
              </w:rPr>
              <w:t>条-</w:t>
            </w:r>
            <w:r>
              <w:rPr>
                <w:rFonts w:hAnsi="宋体"/>
                <w:sz w:val="24"/>
              </w:rPr>
              <w:t>1</w:t>
            </w:r>
          </w:p>
        </w:tc>
        <w:tc>
          <w:tcPr>
            <w:tcW w:w="3969" w:type="dxa"/>
          </w:tcPr>
          <w:p>
            <w:pPr>
              <w:spacing w:line="360" w:lineRule="auto"/>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spacing w:line="360" w:lineRule="auto"/>
              <w:rPr>
                <w:rFonts w:hAnsi="宋体"/>
                <w:sz w:val="24"/>
              </w:rPr>
            </w:pPr>
            <w:r>
              <w:rPr>
                <w:rFonts w:hint="eastAsia" w:hAnsi="宋体"/>
                <w:sz w:val="24"/>
              </w:rPr>
              <w:t>依据材料</w:t>
            </w:r>
          </w:p>
        </w:tc>
        <w:tc>
          <w:tcPr>
            <w:tcW w:w="7977" w:type="dxa"/>
            <w:gridSpan w:val="3"/>
          </w:tcPr>
          <w:p>
            <w:pPr>
              <w:spacing w:line="360" w:lineRule="auto"/>
              <w:ind w:firstLine="480" w:firstLineChars="200"/>
              <w:rPr>
                <w:rFonts w:hAnsi="宋体"/>
                <w:sz w:val="24"/>
              </w:rPr>
            </w:pPr>
            <w:r>
              <w:rPr>
                <w:rFonts w:hint="eastAsia" w:hAnsi="宋体"/>
                <w:sz w:val="24"/>
              </w:rPr>
              <w:t>设计人员应根据项目实施的建筑总平面图、建筑平面图（含公共配套服务设施的相关楼层）、位置标识图、管理实施方案，此项的重点是项目的共享共用的设施或空间，拟向社会开放部分的规划设计与组织管理实施方案等，依照项目实际情况，来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spacing w:line="360" w:lineRule="auto"/>
              <w:rPr>
                <w:rFonts w:hAnsi="宋体"/>
                <w:sz w:val="24"/>
              </w:rPr>
            </w:pPr>
            <w:r>
              <w:rPr>
                <w:rFonts w:hint="eastAsia" w:hAnsi="宋体"/>
                <w:sz w:val="24"/>
              </w:rPr>
              <w:t>备注</w:t>
            </w:r>
          </w:p>
        </w:tc>
        <w:tc>
          <w:tcPr>
            <w:tcW w:w="7977" w:type="dxa"/>
            <w:gridSpan w:val="3"/>
          </w:tcPr>
          <w:p>
            <w:pPr>
              <w:spacing w:line="360" w:lineRule="auto"/>
              <w:ind w:firstLine="480" w:firstLineChars="200"/>
              <w:rPr>
                <w:rFonts w:hAnsi="宋体"/>
                <w:sz w:val="24"/>
              </w:rPr>
            </w:pPr>
            <w:r>
              <w:rPr>
                <w:rFonts w:hint="eastAsia" w:hAnsi="宋体"/>
                <w:sz w:val="24"/>
              </w:rPr>
              <w:t>根据《城市居住区规划设计规范》</w:t>
            </w:r>
            <w:r>
              <w:rPr>
                <w:rFonts w:hAnsi="宋体"/>
                <w:sz w:val="24"/>
              </w:rPr>
              <w:t xml:space="preserve"> </w:t>
            </w:r>
            <w:r>
              <w:rPr>
                <w:rFonts w:hint="eastAsia" w:hAnsi="宋体"/>
                <w:sz w:val="24"/>
              </w:rPr>
              <w:t>（相关公告绿地计算日照要求以此规范为准）相关规定，住区配套服务设施（也称配套公建）应包括教育、医疗卫生、文化体育、商业服务、金融邮电、社区服务、市政公用和行政管理等八类设施。公共服务设施主要指城市行政办公、文化、教育科研、体育、医疗卫生和社会福利等设施。住区配套公共服务设施，是满足居民基本的物质与精神生活所需的设施，也是保证居民居住生活品质不可缺少的重要组成部分。居民步行5min-10min可以到达，比较符合居民步行出行的要求，从而大大减少机动车的出行需求，有利于节约能源、保护环境。设施整合集中布局、协调互补和社会共享可提高使用效率、节约用地和投资。</w:t>
            </w:r>
          </w:p>
        </w:tc>
      </w:tr>
    </w:tbl>
    <w:p>
      <w:pPr>
        <w:pStyle w:val="271"/>
        <w:spacing w:line="360" w:lineRule="auto"/>
        <w:ind w:firstLine="0" w:firstLineChars="0"/>
        <w:rPr>
          <w:rFonts w:hAnsi="宋体"/>
          <w:sz w:val="24"/>
          <w:lang w:val="en-GB"/>
        </w:rPr>
      </w:pPr>
      <w:r>
        <w:rPr>
          <w:rFonts w:hint="eastAsia" w:hAnsi="宋体"/>
          <w:sz w:val="24"/>
        </w:rPr>
        <w:t>4.2</w:t>
      </w:r>
      <w:r>
        <w:rPr>
          <w:rFonts w:hint="eastAsia" w:hAnsi="宋体"/>
          <w:sz w:val="24"/>
          <w:lang w:val="en-GB"/>
        </w:rPr>
        <w:t>健身场地和空间：</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5"/>
        <w:gridCol w:w="2165"/>
        <w:gridCol w:w="1701"/>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1345" w:type="dxa"/>
            <w:vMerge w:val="restart"/>
          </w:tcPr>
          <w:p>
            <w:pPr>
              <w:spacing w:line="360" w:lineRule="auto"/>
              <w:rPr>
                <w:rFonts w:hAnsi="宋体"/>
                <w:sz w:val="24"/>
              </w:rPr>
            </w:pPr>
            <w:r>
              <w:rPr>
                <w:rFonts w:hint="eastAsia" w:hAnsi="宋体"/>
                <w:sz w:val="24"/>
              </w:rPr>
              <w:t>条文来源</w:t>
            </w:r>
          </w:p>
        </w:tc>
        <w:tc>
          <w:tcPr>
            <w:tcW w:w="2165" w:type="dxa"/>
            <w:vMerge w:val="restart"/>
          </w:tcPr>
          <w:p>
            <w:pPr>
              <w:spacing w:line="360" w:lineRule="auto"/>
              <w:rPr>
                <w:rFonts w:hAnsi="宋体"/>
                <w:sz w:val="24"/>
              </w:rPr>
            </w:pPr>
            <w:r>
              <w:rPr>
                <w:rFonts w:hint="eastAsia" w:hAnsi="宋体"/>
                <w:sz w:val="24"/>
              </w:rPr>
              <w:t>GB/T 50378-201</w:t>
            </w:r>
            <w:r>
              <w:rPr>
                <w:rFonts w:hAnsi="宋体"/>
                <w:sz w:val="24"/>
              </w:rPr>
              <w:t>9</w:t>
            </w:r>
          </w:p>
        </w:tc>
        <w:tc>
          <w:tcPr>
            <w:tcW w:w="1701" w:type="dxa"/>
          </w:tcPr>
          <w:p>
            <w:pPr>
              <w:spacing w:line="360" w:lineRule="auto"/>
              <w:rPr>
                <w:rFonts w:hAnsi="宋体"/>
                <w:sz w:val="24"/>
              </w:rPr>
            </w:pPr>
            <w:r>
              <w:rPr>
                <w:rFonts w:hint="eastAsia" w:hAnsi="宋体"/>
                <w:sz w:val="24"/>
              </w:rPr>
              <w:t>6</w:t>
            </w:r>
            <w:r>
              <w:rPr>
                <w:rFonts w:hAnsi="宋体"/>
                <w:sz w:val="24"/>
              </w:rPr>
              <w:t>.2.4</w:t>
            </w:r>
            <w:r>
              <w:rPr>
                <w:rFonts w:hint="eastAsia" w:hAnsi="宋体"/>
                <w:sz w:val="24"/>
              </w:rPr>
              <w:t>条</w:t>
            </w:r>
          </w:p>
        </w:tc>
        <w:tc>
          <w:tcPr>
            <w:tcW w:w="4111" w:type="dxa"/>
          </w:tcPr>
          <w:p>
            <w:pPr>
              <w:spacing w:line="360" w:lineRule="auto"/>
              <w:rPr>
                <w:rFonts w:hAnsi="宋体"/>
                <w:sz w:val="24"/>
              </w:rPr>
            </w:pPr>
            <w:r>
              <w:rPr>
                <w:rFonts w:hAnsi="宋体"/>
                <w:sz w:val="24"/>
              </w:rPr>
              <w:t>5</w:t>
            </w:r>
            <w:r>
              <w:rPr>
                <w:rFonts w:hint="eastAsia" w:hAnsi="宋体"/>
                <w:sz w:val="24"/>
              </w:rPr>
              <w:t>分（距离不大于300m，3分；距离不大于500m，2分的）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1345" w:type="dxa"/>
            <w:vMerge w:val="continue"/>
          </w:tcPr>
          <w:p>
            <w:pPr>
              <w:spacing w:line="360" w:lineRule="auto"/>
              <w:rPr>
                <w:rFonts w:hAnsi="宋体"/>
                <w:sz w:val="24"/>
              </w:rPr>
            </w:pPr>
          </w:p>
        </w:tc>
        <w:tc>
          <w:tcPr>
            <w:tcW w:w="2165"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6</w:t>
            </w:r>
            <w:r>
              <w:rPr>
                <w:rFonts w:hAnsi="宋体"/>
                <w:sz w:val="24"/>
              </w:rPr>
              <w:t>.2.5</w:t>
            </w:r>
            <w:r>
              <w:rPr>
                <w:rFonts w:hint="eastAsia" w:hAnsi="宋体"/>
                <w:sz w:val="24"/>
              </w:rPr>
              <w:t>条</w:t>
            </w:r>
          </w:p>
        </w:tc>
        <w:tc>
          <w:tcPr>
            <w:tcW w:w="4111" w:type="dxa"/>
          </w:tcPr>
          <w:p>
            <w:pPr>
              <w:spacing w:line="360" w:lineRule="auto"/>
              <w:rPr>
                <w:rFonts w:hAnsi="宋体"/>
                <w:sz w:val="24"/>
              </w:rPr>
            </w:pPr>
            <w:r>
              <w:rPr>
                <w:rFonts w:hint="eastAsia" w:hAnsi="宋体"/>
                <w:sz w:val="24"/>
              </w:rPr>
              <w:t>1</w:t>
            </w:r>
            <w:r>
              <w:rPr>
                <w:rFonts w:hAnsi="宋体"/>
                <w:sz w:val="24"/>
              </w:rPr>
              <w:t>0</w:t>
            </w:r>
            <w:r>
              <w:rPr>
                <w:rFonts w:hint="eastAsia" w:hAnsi="宋体"/>
                <w:sz w:val="24"/>
              </w:rPr>
              <w:t>分（满足室外健身场地面积要求，3分；满足专用健身慢行道要求，2分；满足室内健身空间的面积要求，3分； 满足楼梯间要求，2分）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701" w:type="dxa"/>
          </w:tcPr>
          <w:p>
            <w:pPr>
              <w:spacing w:line="360" w:lineRule="auto"/>
              <w:rPr>
                <w:rFonts w:hAnsi="宋体"/>
                <w:sz w:val="24"/>
              </w:rPr>
            </w:pPr>
            <w:r>
              <w:rPr>
                <w:rFonts w:hint="eastAsia" w:hAnsi="宋体"/>
                <w:sz w:val="24"/>
              </w:rPr>
              <w:t>5</w:t>
            </w:r>
            <w:r>
              <w:rPr>
                <w:rFonts w:hAnsi="宋体"/>
                <w:sz w:val="24"/>
              </w:rPr>
              <w:t>.3.1</w:t>
            </w:r>
            <w:r>
              <w:rPr>
                <w:rFonts w:hint="eastAsia" w:hAnsi="宋体"/>
                <w:sz w:val="24"/>
              </w:rPr>
              <w:t>条</w:t>
            </w:r>
          </w:p>
        </w:tc>
        <w:tc>
          <w:tcPr>
            <w:tcW w:w="4111" w:type="dxa"/>
          </w:tcPr>
          <w:p>
            <w:pPr>
              <w:spacing w:line="360" w:lineRule="auto"/>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continue"/>
          </w:tcPr>
          <w:p>
            <w:pPr>
              <w:spacing w:line="360" w:lineRule="auto"/>
              <w:rPr>
                <w:rFonts w:hAnsi="宋体"/>
                <w:sz w:val="24"/>
              </w:rPr>
            </w:pPr>
          </w:p>
        </w:tc>
        <w:tc>
          <w:tcPr>
            <w:tcW w:w="1701" w:type="dxa"/>
          </w:tcPr>
          <w:p>
            <w:pPr>
              <w:spacing w:line="360" w:lineRule="auto"/>
              <w:rPr>
                <w:rFonts w:hAnsi="宋体"/>
                <w:sz w:val="24"/>
              </w:rPr>
            </w:pPr>
            <w:r>
              <w:rPr>
                <w:rFonts w:hAnsi="宋体"/>
                <w:sz w:val="24"/>
              </w:rPr>
              <w:t>10.2.2</w:t>
            </w:r>
            <w:r>
              <w:rPr>
                <w:rFonts w:hint="eastAsia" w:hAnsi="宋体"/>
                <w:sz w:val="24"/>
              </w:rPr>
              <w:t>条</w:t>
            </w:r>
          </w:p>
        </w:tc>
        <w:tc>
          <w:tcPr>
            <w:tcW w:w="4111"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continue"/>
          </w:tcPr>
          <w:p>
            <w:pPr>
              <w:spacing w:line="360" w:lineRule="auto"/>
              <w:rPr>
                <w:rFonts w:hAnsi="宋体"/>
                <w:sz w:val="24"/>
              </w:rPr>
            </w:pPr>
          </w:p>
        </w:tc>
        <w:tc>
          <w:tcPr>
            <w:tcW w:w="1701" w:type="dxa"/>
          </w:tcPr>
          <w:p>
            <w:pPr>
              <w:spacing w:line="360" w:lineRule="auto"/>
              <w:rPr>
                <w:rFonts w:hAnsi="宋体"/>
                <w:sz w:val="24"/>
              </w:rPr>
            </w:pPr>
            <w:r>
              <w:rPr>
                <w:rFonts w:hAnsi="宋体"/>
                <w:sz w:val="24"/>
              </w:rPr>
              <w:t>10.4.2</w:t>
            </w:r>
            <w:r>
              <w:rPr>
                <w:rFonts w:hint="eastAsia" w:hAnsi="宋体"/>
                <w:sz w:val="24"/>
              </w:rPr>
              <w:t>条</w:t>
            </w:r>
          </w:p>
        </w:tc>
        <w:tc>
          <w:tcPr>
            <w:tcW w:w="4111" w:type="dxa"/>
          </w:tcPr>
          <w:p>
            <w:pPr>
              <w:spacing w:line="360" w:lineRule="auto"/>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spacing w:line="360" w:lineRule="auto"/>
              <w:rPr>
                <w:rFonts w:hAnsi="宋体"/>
                <w:sz w:val="24"/>
              </w:rPr>
            </w:pPr>
            <w:r>
              <w:rPr>
                <w:rFonts w:hint="eastAsia" w:hAnsi="宋体"/>
                <w:sz w:val="24"/>
              </w:rPr>
              <w:t>依据材料</w:t>
            </w:r>
          </w:p>
        </w:tc>
        <w:tc>
          <w:tcPr>
            <w:tcW w:w="7977" w:type="dxa"/>
            <w:gridSpan w:val="3"/>
          </w:tcPr>
          <w:p>
            <w:pPr>
              <w:spacing w:line="360" w:lineRule="auto"/>
              <w:ind w:firstLine="480" w:firstLineChars="200"/>
              <w:rPr>
                <w:rFonts w:hAnsi="宋体"/>
                <w:sz w:val="24"/>
              </w:rPr>
            </w:pPr>
            <w:r>
              <w:rPr>
                <w:rFonts w:hint="eastAsia" w:hAnsi="宋体"/>
                <w:sz w:val="24"/>
              </w:rPr>
              <w:t>设计人员应根据项目实施的建筑总平面图、建筑平面图（含公共配套服务设施的相关楼层）、位置标识图、管理实施方案、产品说明书，此项的重点是项目的共享共用的设施或空间，拟向社会开放部分的规划设计与组织管理实施方案等，依照项目实际情况，来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spacing w:line="360" w:lineRule="auto"/>
              <w:rPr>
                <w:rFonts w:hAnsi="宋体"/>
                <w:sz w:val="24"/>
              </w:rPr>
            </w:pPr>
            <w:r>
              <w:rPr>
                <w:rFonts w:hint="eastAsia" w:hAnsi="宋体"/>
                <w:sz w:val="24"/>
              </w:rPr>
              <w:t>备注</w:t>
            </w:r>
          </w:p>
        </w:tc>
        <w:tc>
          <w:tcPr>
            <w:tcW w:w="7977" w:type="dxa"/>
            <w:gridSpan w:val="3"/>
          </w:tcPr>
          <w:p>
            <w:pPr>
              <w:spacing w:line="360" w:lineRule="auto"/>
              <w:ind w:firstLine="480" w:firstLineChars="200"/>
              <w:rPr>
                <w:rFonts w:hAnsi="宋体"/>
                <w:sz w:val="24"/>
              </w:rPr>
            </w:pPr>
            <w:r>
              <w:rPr>
                <w:rFonts w:hint="eastAsia" w:hAnsi="宋体"/>
                <w:sz w:val="24"/>
              </w:rPr>
              <w:t>本项为新增内容。强调了城市公共开敞空间、运动场所的便捷性、可达性。提出步行500m应能够到达1处中型多功能运动场地(大约1300m</w:t>
            </w:r>
            <w:r>
              <w:rPr>
                <w:rFonts w:hint="eastAsia" w:hAnsi="宋体"/>
                <w:sz w:val="24"/>
                <w:vertAlign w:val="superscript"/>
              </w:rPr>
              <w:t>2</w:t>
            </w:r>
            <w:r>
              <w:rPr>
                <w:rFonts w:hint="eastAsia" w:hAnsi="宋体"/>
                <w:sz w:val="24"/>
              </w:rPr>
              <w:t>～2500m</w:t>
            </w:r>
            <w:r>
              <w:rPr>
                <w:rFonts w:hint="eastAsia" w:hAnsi="宋体"/>
                <w:sz w:val="24"/>
                <w:vertAlign w:val="superscript"/>
              </w:rPr>
              <w:t>2</w:t>
            </w:r>
            <w:r>
              <w:rPr>
                <w:rFonts w:hint="eastAsia" w:hAnsi="宋体"/>
                <w:sz w:val="24"/>
              </w:rPr>
              <w:t>，集中设置了篮球、排球、5人足球的运动场地)，或是其他对外开放的专用运动场，如学校对外开放的运动场。符合《中共中央国务院关于进一步加强城市规划建设管理工作的若干意见》提出的“合理规划建设广场、公园、步行道等公共活动空间，方便居民文体活动，促进居民交流。强化绿地服务群众日常活动的功能，使市民在居家和工作附近能够见到绿地、亲近绿地”的要求。</w:t>
            </w:r>
          </w:p>
          <w:p>
            <w:pPr>
              <w:spacing w:line="360" w:lineRule="auto"/>
              <w:ind w:firstLine="480" w:firstLineChars="200"/>
              <w:rPr>
                <w:rFonts w:hAnsi="宋体"/>
                <w:sz w:val="24"/>
              </w:rPr>
            </w:pPr>
            <w:r>
              <w:rPr>
                <w:rFonts w:hint="eastAsia" w:hAnsi="宋体"/>
                <w:sz w:val="24"/>
              </w:rPr>
              <w:t>要求设置集中的室外健身活动区。健身场地的设置位置应避免噪声扰民，并根据运动类型设置适当的隔声措施；健身场地设置应进行全龄化的设计，满足各年龄段人群的室外活动要求。</w:t>
            </w:r>
          </w:p>
          <w:p>
            <w:pPr>
              <w:spacing w:line="360" w:lineRule="auto"/>
              <w:ind w:firstLine="480" w:firstLineChars="200"/>
              <w:rPr>
                <w:rFonts w:hAnsi="宋体"/>
                <w:sz w:val="24"/>
              </w:rPr>
            </w:pPr>
            <w:r>
              <w:rPr>
                <w:rFonts w:hint="eastAsia" w:hAnsi="宋体"/>
                <w:sz w:val="24"/>
              </w:rPr>
              <w:t>健身慢行道是指在场地内设置的供人们进行行走、慢跑的专门道路。健身慢行道应尽可能避免与场地内车行道交叉，步道宜采用弹性减振、防滑和环保的材料，如塑胶、彩色陶粒等。步道宽度不少于1．25m，源自原建设部以及原国土资源部联合发布的《城市社区体育设施建设用地指标》的要求。</w:t>
            </w:r>
          </w:p>
          <w:p>
            <w:pPr>
              <w:spacing w:line="360" w:lineRule="auto"/>
              <w:ind w:firstLine="480" w:firstLineChars="200"/>
              <w:rPr>
                <w:rFonts w:hAnsi="宋体"/>
                <w:sz w:val="24"/>
              </w:rPr>
            </w:pPr>
            <w:r>
              <w:rPr>
                <w:rFonts w:hint="eastAsia" w:hAnsi="宋体"/>
                <w:sz w:val="24"/>
              </w:rPr>
              <w:t>鼓励建筑或社区中可设置健身房，或利用公共空间(如小区会所、入口大堂、休闲平台、共享空间等)设置健身区，配置一些健身器材，提供给人们全天候进行健身活动的条件，鼓励积极健康的生活方式。健康空间还包括开放共享的羽毛球室、乒乓球室。</w:t>
            </w:r>
          </w:p>
          <w:p>
            <w:pPr>
              <w:spacing w:line="360" w:lineRule="auto"/>
              <w:ind w:firstLine="480" w:firstLineChars="200"/>
              <w:rPr>
                <w:rFonts w:hAnsi="宋体"/>
                <w:sz w:val="24"/>
              </w:rPr>
            </w:pPr>
            <w:r>
              <w:rPr>
                <w:rFonts w:hint="eastAsia" w:hAnsi="宋体"/>
                <w:sz w:val="24"/>
              </w:rPr>
              <w:t>鼓励将楼梯设置在靠近主入口的地方。楼梯间内有天然采光、有良好的视野和人体感应灯，可以提高楼梯间锻炼的舒适度。</w:t>
            </w:r>
          </w:p>
        </w:tc>
      </w:tr>
    </w:tbl>
    <w:p>
      <w:pPr>
        <w:spacing w:before="109" w:beforeLines="35" w:after="109" w:afterLines="35" w:line="360" w:lineRule="auto"/>
        <w:rPr>
          <w:rFonts w:hAnsi="宋体"/>
          <w:sz w:val="24"/>
        </w:rPr>
      </w:pPr>
    </w:p>
    <w:p>
      <w:pPr>
        <w:pStyle w:val="87"/>
        <w:numPr>
          <w:ilvl w:val="0"/>
          <w:numId w:val="44"/>
        </w:numPr>
        <w:spacing w:line="360" w:lineRule="auto"/>
        <w:rPr>
          <w:b/>
          <w:sz w:val="24"/>
          <w:szCs w:val="24"/>
        </w:rPr>
      </w:pPr>
      <w:r>
        <w:rPr>
          <w:rFonts w:hint="eastAsia"/>
          <w:b/>
          <w:sz w:val="24"/>
          <w:szCs w:val="24"/>
        </w:rPr>
        <w:t>出入口与公共交通设置：</w:t>
      </w:r>
      <w:r>
        <w:rPr>
          <w:b/>
          <w:sz w:val="24"/>
          <w:szCs w:val="24"/>
        </w:rPr>
        <w:t xml:space="preserve"> </w:t>
      </w:r>
    </w:p>
    <w:p>
      <w:pPr>
        <w:pStyle w:val="271"/>
        <w:spacing w:line="360" w:lineRule="auto"/>
        <w:ind w:firstLine="0" w:firstLineChars="0"/>
        <w:rPr>
          <w:rFonts w:hAnsi="宋体"/>
          <w:sz w:val="24"/>
          <w:lang w:val="en-GB"/>
        </w:rPr>
      </w:pPr>
      <w:r>
        <w:rPr>
          <w:rFonts w:hint="eastAsia" w:hAnsi="宋体"/>
          <w:sz w:val="24"/>
        </w:rPr>
        <w:t>5.1</w:t>
      </w:r>
      <w:r>
        <w:rPr>
          <w:rFonts w:hAnsi="宋体"/>
          <w:sz w:val="24"/>
        </w:rPr>
        <w:t>场地与公共交通站点联系便捷</w:t>
      </w:r>
      <w:r>
        <w:rPr>
          <w:rFonts w:hint="eastAsia" w:hAnsi="宋体"/>
          <w:sz w:val="24"/>
          <w:lang w:val="en-GB"/>
        </w:rPr>
        <w:t>：</w:t>
      </w:r>
    </w:p>
    <w:p>
      <w:pPr>
        <w:spacing w:line="360" w:lineRule="auto"/>
        <w:rPr>
          <w:rFonts w:hAnsi="宋体"/>
          <w:sz w:val="24"/>
        </w:rPr>
      </w:pPr>
      <w:r>
        <w:rPr>
          <w:rFonts w:hint="eastAsia" w:hAnsi="宋体"/>
          <w:sz w:val="24"/>
        </w:rPr>
        <w:t>5</w:t>
      </w:r>
      <w:r>
        <w:rPr>
          <w:rFonts w:hAnsi="宋体"/>
          <w:sz w:val="24"/>
        </w:rPr>
        <w:t xml:space="preserve">.1.1 </w:t>
      </w:r>
      <w:r>
        <w:rPr>
          <w:rFonts w:hint="eastAsia" w:hAnsi="宋体"/>
          <w:sz w:val="24"/>
        </w:rPr>
        <w:t>场地</w:t>
      </w:r>
      <w:r>
        <w:rPr>
          <w:rFonts w:hAnsi="宋体"/>
          <w:sz w:val="24"/>
        </w:rPr>
        <w:t>人行</w:t>
      </w:r>
      <w:r>
        <w:rPr>
          <w:rFonts w:hint="eastAsia" w:hAnsi="宋体"/>
          <w:sz w:val="24"/>
        </w:rPr>
        <w:t>出入口设有</w:t>
      </w:r>
      <w:r>
        <w:rPr>
          <w:rFonts w:hAnsi="宋体"/>
          <w:sz w:val="24"/>
        </w:rPr>
        <w:t>公共交通站点</w:t>
      </w:r>
      <w:r>
        <w:rPr>
          <w:rFonts w:hint="eastAsia" w:hAnsi="宋体"/>
          <w:sz w:val="24"/>
        </w:rPr>
        <w:t>；</w:t>
      </w:r>
      <w:r>
        <w:rPr>
          <w:rFonts w:hint="eastAsia" w:asciiTheme="minorEastAsia" w:hAnsiTheme="minorEastAsia" w:eastAsiaTheme="minorEastAsia"/>
          <w:sz w:val="24"/>
        </w:rPr>
        <w:t>（与5</w:t>
      </w:r>
      <w:r>
        <w:rPr>
          <w:rFonts w:asciiTheme="minorEastAsia" w:hAnsiTheme="minorEastAsia" w:eastAsiaTheme="minorEastAsia"/>
          <w:sz w:val="24"/>
        </w:rPr>
        <w:t>.1.4</w:t>
      </w:r>
      <w:r>
        <w:rPr>
          <w:rFonts w:hint="eastAsia" w:asciiTheme="minorEastAsia" w:hAnsiTheme="minorEastAsia" w:eastAsiaTheme="minorEastAsia"/>
          <w:sz w:val="24"/>
        </w:rPr>
        <w:t>条两者至少可满足其一）</w:t>
      </w:r>
    </w:p>
    <w:p>
      <w:pPr>
        <w:spacing w:line="360" w:lineRule="auto"/>
        <w:rPr>
          <w:rFonts w:hAnsi="宋体"/>
          <w:sz w:val="24"/>
        </w:rPr>
      </w:pPr>
      <w:r>
        <w:rPr>
          <w:rFonts w:hint="eastAsia" w:hAnsi="宋体"/>
          <w:sz w:val="24"/>
        </w:rPr>
        <w:t>5</w:t>
      </w:r>
      <w:r>
        <w:rPr>
          <w:rFonts w:hAnsi="宋体"/>
          <w:sz w:val="24"/>
        </w:rPr>
        <w:t xml:space="preserve">.1.2 </w:t>
      </w:r>
      <w:r>
        <w:rPr>
          <w:rFonts w:hint="eastAsia" w:hAnsi="宋体"/>
          <w:sz w:val="24"/>
        </w:rPr>
        <w:t>场地</w:t>
      </w:r>
      <w:r>
        <w:rPr>
          <w:rFonts w:hAnsi="宋体"/>
          <w:sz w:val="24"/>
        </w:rPr>
        <w:t>人行</w:t>
      </w:r>
      <w:r>
        <w:rPr>
          <w:rFonts w:hint="eastAsia" w:hAnsi="宋体"/>
          <w:sz w:val="24"/>
        </w:rPr>
        <w:t>出入口设有轨道交通站；</w:t>
      </w:r>
    </w:p>
    <w:p>
      <w:pPr>
        <w:spacing w:line="360" w:lineRule="auto"/>
        <w:rPr>
          <w:rFonts w:hAnsi="宋体"/>
          <w:sz w:val="24"/>
        </w:rPr>
      </w:pPr>
      <w:r>
        <w:rPr>
          <w:rFonts w:hint="eastAsia" w:hAnsi="宋体"/>
          <w:sz w:val="24"/>
        </w:rPr>
        <w:t>5</w:t>
      </w:r>
      <w:r>
        <w:rPr>
          <w:rFonts w:hAnsi="宋体"/>
          <w:sz w:val="24"/>
        </w:rPr>
        <w:t xml:space="preserve">.1.3 </w:t>
      </w:r>
      <w:r>
        <w:rPr>
          <w:rFonts w:hint="eastAsia" w:hAnsi="宋体"/>
          <w:sz w:val="24"/>
        </w:rPr>
        <w:t>场地</w:t>
      </w:r>
      <w:r>
        <w:rPr>
          <w:rFonts w:hAnsi="宋体"/>
          <w:sz w:val="24"/>
        </w:rPr>
        <w:t>人行</w:t>
      </w:r>
      <w:r>
        <w:rPr>
          <w:rFonts w:hint="eastAsia" w:hAnsi="宋体"/>
          <w:sz w:val="24"/>
        </w:rPr>
        <w:t>出入口</w:t>
      </w:r>
      <w:r>
        <w:rPr>
          <w:rFonts w:hAnsi="宋体"/>
          <w:sz w:val="24"/>
        </w:rPr>
        <w:t>步行距离</w:t>
      </w:r>
      <w:r>
        <w:rPr>
          <w:rFonts w:hint="eastAsia" w:hAnsi="宋体"/>
          <w:sz w:val="24"/>
        </w:rPr>
        <w:t>800m范围内设有2条及以上线路的公共交通站点（含公交站和轨道交通站）；</w:t>
      </w:r>
    </w:p>
    <w:p>
      <w:pPr>
        <w:spacing w:line="360" w:lineRule="auto"/>
        <w:rPr>
          <w:rFonts w:hAnsi="宋体"/>
          <w:sz w:val="24"/>
        </w:rPr>
      </w:pPr>
      <w:r>
        <w:rPr>
          <w:rFonts w:hint="eastAsia" w:hAnsi="宋体"/>
          <w:sz w:val="24"/>
        </w:rPr>
        <w:t>5</w:t>
      </w:r>
      <w:r>
        <w:rPr>
          <w:rFonts w:hAnsi="宋体"/>
          <w:sz w:val="24"/>
        </w:rPr>
        <w:t xml:space="preserve">.1.4 </w:t>
      </w:r>
      <w:r>
        <w:rPr>
          <w:rFonts w:hint="eastAsia" w:hAnsi="宋体"/>
          <w:sz w:val="24"/>
        </w:rPr>
        <w:t>场地有</w:t>
      </w:r>
      <w:r>
        <w:rPr>
          <w:rFonts w:hAnsi="宋体"/>
          <w:sz w:val="24"/>
        </w:rPr>
        <w:t>配备联系公共交通站点的专用接驳车</w:t>
      </w:r>
      <w:r>
        <w:rPr>
          <w:rFonts w:hint="eastAsia" w:hAnsi="宋体"/>
          <w:sz w:val="24"/>
        </w:rPr>
        <w:t>。</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1"/>
        <w:gridCol w:w="2311"/>
        <w:gridCol w:w="1701"/>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1" w:type="dxa"/>
            <w:vMerge w:val="restart"/>
          </w:tcPr>
          <w:p>
            <w:pPr>
              <w:spacing w:line="360" w:lineRule="auto"/>
              <w:rPr>
                <w:rFonts w:hAnsi="宋体"/>
                <w:sz w:val="24"/>
              </w:rPr>
            </w:pPr>
            <w:r>
              <w:rPr>
                <w:rFonts w:hint="eastAsia" w:hAnsi="宋体"/>
                <w:sz w:val="24"/>
              </w:rPr>
              <w:t>条文来源</w:t>
            </w:r>
          </w:p>
        </w:tc>
        <w:tc>
          <w:tcPr>
            <w:tcW w:w="2311" w:type="dxa"/>
            <w:vMerge w:val="restart"/>
          </w:tcPr>
          <w:p>
            <w:pPr>
              <w:spacing w:line="360" w:lineRule="auto"/>
              <w:jc w:val="center"/>
              <w:rPr>
                <w:rFonts w:hAnsi="宋体"/>
                <w:sz w:val="24"/>
              </w:rPr>
            </w:pPr>
            <w:r>
              <w:rPr>
                <w:rFonts w:hint="eastAsia" w:hAnsi="宋体"/>
                <w:sz w:val="24"/>
              </w:rPr>
              <w:t>GB/T 50378-201</w:t>
            </w:r>
            <w:r>
              <w:rPr>
                <w:rFonts w:hAnsi="宋体"/>
                <w:sz w:val="24"/>
              </w:rPr>
              <w:t>9</w:t>
            </w:r>
          </w:p>
        </w:tc>
        <w:tc>
          <w:tcPr>
            <w:tcW w:w="1701" w:type="dxa"/>
          </w:tcPr>
          <w:p>
            <w:pPr>
              <w:spacing w:line="360" w:lineRule="auto"/>
              <w:jc w:val="center"/>
              <w:rPr>
                <w:rFonts w:hAnsi="宋体"/>
                <w:sz w:val="24"/>
              </w:rPr>
            </w:pPr>
            <w:r>
              <w:rPr>
                <w:rFonts w:hint="eastAsia" w:hAnsi="宋体"/>
                <w:sz w:val="24"/>
              </w:rPr>
              <w:t>6</w:t>
            </w:r>
            <w:r>
              <w:rPr>
                <w:rFonts w:hAnsi="宋体"/>
                <w:sz w:val="24"/>
              </w:rPr>
              <w:t>.1.2</w:t>
            </w:r>
            <w:r>
              <w:rPr>
                <w:rFonts w:hint="eastAsia" w:hAnsi="宋体"/>
                <w:sz w:val="24"/>
              </w:rPr>
              <w:t>条</w:t>
            </w:r>
          </w:p>
        </w:tc>
        <w:tc>
          <w:tcPr>
            <w:tcW w:w="3969" w:type="dxa"/>
          </w:tcPr>
          <w:p>
            <w:pPr>
              <w:spacing w:line="360" w:lineRule="auto"/>
              <w:jc w:val="center"/>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1" w:type="dxa"/>
            <w:vMerge w:val="continue"/>
          </w:tcPr>
          <w:p>
            <w:pPr>
              <w:spacing w:line="360" w:lineRule="auto"/>
              <w:rPr>
                <w:rFonts w:hAnsi="宋体"/>
                <w:sz w:val="24"/>
              </w:rPr>
            </w:pPr>
          </w:p>
        </w:tc>
        <w:tc>
          <w:tcPr>
            <w:tcW w:w="2311" w:type="dxa"/>
            <w:vMerge w:val="continue"/>
          </w:tcPr>
          <w:p>
            <w:pPr>
              <w:spacing w:line="360" w:lineRule="auto"/>
              <w:jc w:val="center"/>
              <w:rPr>
                <w:rFonts w:hAnsi="宋体"/>
                <w:sz w:val="24"/>
              </w:rPr>
            </w:pPr>
          </w:p>
        </w:tc>
        <w:tc>
          <w:tcPr>
            <w:tcW w:w="1701" w:type="dxa"/>
            <w:vMerge w:val="restart"/>
          </w:tcPr>
          <w:p>
            <w:pPr>
              <w:spacing w:line="360" w:lineRule="auto"/>
              <w:jc w:val="center"/>
              <w:rPr>
                <w:rFonts w:hAnsi="宋体"/>
                <w:sz w:val="24"/>
              </w:rPr>
            </w:pPr>
            <w:r>
              <w:rPr>
                <w:rFonts w:hint="eastAsia" w:hAnsi="宋体"/>
                <w:sz w:val="24"/>
              </w:rPr>
              <w:t>6</w:t>
            </w:r>
            <w:r>
              <w:rPr>
                <w:rFonts w:hAnsi="宋体"/>
                <w:sz w:val="24"/>
              </w:rPr>
              <w:t>.2.1</w:t>
            </w:r>
            <w:r>
              <w:rPr>
                <w:rFonts w:hint="eastAsia" w:hAnsi="宋体"/>
                <w:sz w:val="24"/>
              </w:rPr>
              <w:t>条</w:t>
            </w:r>
          </w:p>
          <w:p>
            <w:pPr>
              <w:spacing w:line="360" w:lineRule="auto"/>
              <w:jc w:val="center"/>
              <w:rPr>
                <w:rFonts w:hAnsi="宋体"/>
                <w:sz w:val="24"/>
              </w:rPr>
            </w:pPr>
          </w:p>
        </w:tc>
        <w:tc>
          <w:tcPr>
            <w:tcW w:w="3969" w:type="dxa"/>
          </w:tcPr>
          <w:p>
            <w:pPr>
              <w:spacing w:line="360" w:lineRule="auto"/>
              <w:jc w:val="left"/>
              <w:rPr>
                <w:rFonts w:hAnsi="宋体"/>
                <w:sz w:val="24"/>
              </w:rPr>
            </w:pPr>
            <w:r>
              <w:rPr>
                <w:rFonts w:hint="eastAsia" w:hAnsi="宋体"/>
                <w:sz w:val="24"/>
              </w:rPr>
              <w:t>到达公共交通站点不超过500m，或到达轨道交通站不大于800m，2分；到达公共交通站点不超过300m，或到达轨道交通站不大于500m，4分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1341" w:type="dxa"/>
            <w:vMerge w:val="continue"/>
          </w:tcPr>
          <w:p>
            <w:pPr>
              <w:spacing w:line="360" w:lineRule="auto"/>
              <w:rPr>
                <w:rFonts w:hAnsi="宋体"/>
                <w:sz w:val="24"/>
              </w:rPr>
            </w:pPr>
          </w:p>
        </w:tc>
        <w:tc>
          <w:tcPr>
            <w:tcW w:w="2311" w:type="dxa"/>
            <w:vMerge w:val="continue"/>
          </w:tcPr>
          <w:p>
            <w:pPr>
              <w:spacing w:line="360" w:lineRule="auto"/>
              <w:jc w:val="center"/>
              <w:rPr>
                <w:rFonts w:hAnsi="宋体"/>
                <w:sz w:val="24"/>
              </w:rPr>
            </w:pPr>
          </w:p>
        </w:tc>
        <w:tc>
          <w:tcPr>
            <w:tcW w:w="1701" w:type="dxa"/>
            <w:vMerge w:val="continue"/>
          </w:tcPr>
          <w:p>
            <w:pPr>
              <w:spacing w:line="360" w:lineRule="auto"/>
              <w:jc w:val="center"/>
              <w:rPr>
                <w:rFonts w:hAnsi="宋体"/>
                <w:sz w:val="24"/>
              </w:rPr>
            </w:pPr>
          </w:p>
        </w:tc>
        <w:tc>
          <w:tcPr>
            <w:tcW w:w="3969" w:type="dxa"/>
          </w:tcPr>
          <w:p>
            <w:pPr>
              <w:spacing w:line="360" w:lineRule="auto"/>
              <w:jc w:val="left"/>
              <w:rPr>
                <w:rFonts w:hAnsi="宋体"/>
                <w:sz w:val="24"/>
              </w:rPr>
            </w:pPr>
            <w:r>
              <w:rPr>
                <w:rFonts w:hint="eastAsia" w:hAnsi="宋体"/>
                <w:sz w:val="24"/>
              </w:rPr>
              <w:t>场地出入口800m范围内设有不少于2条线路的公共交通站点，4分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1" w:type="dxa"/>
            <w:vMerge w:val="continue"/>
          </w:tcPr>
          <w:p>
            <w:pPr>
              <w:spacing w:line="360" w:lineRule="auto"/>
              <w:rPr>
                <w:rFonts w:hAnsi="宋体"/>
                <w:sz w:val="24"/>
              </w:rPr>
            </w:pPr>
          </w:p>
        </w:tc>
        <w:tc>
          <w:tcPr>
            <w:tcW w:w="2311" w:type="dxa"/>
            <w:vMerge w:val="restart"/>
          </w:tcPr>
          <w:p>
            <w:pPr>
              <w:spacing w:line="360" w:lineRule="auto"/>
              <w:jc w:val="center"/>
              <w:rPr>
                <w:rFonts w:hAnsi="宋体"/>
                <w:sz w:val="24"/>
              </w:rPr>
            </w:pPr>
            <w:r>
              <w:rPr>
                <w:rFonts w:hint="eastAsia" w:hAnsi="宋体"/>
                <w:sz w:val="24"/>
              </w:rPr>
              <w:t>DB 33/1092-20</w:t>
            </w:r>
            <w:r>
              <w:rPr>
                <w:rFonts w:hAnsi="宋体"/>
                <w:sz w:val="24"/>
              </w:rPr>
              <w:t>21</w:t>
            </w:r>
          </w:p>
        </w:tc>
        <w:tc>
          <w:tcPr>
            <w:tcW w:w="1701" w:type="dxa"/>
          </w:tcPr>
          <w:p>
            <w:pPr>
              <w:spacing w:line="360" w:lineRule="auto"/>
              <w:jc w:val="center"/>
              <w:rPr>
                <w:rFonts w:hAnsi="宋体"/>
                <w:sz w:val="24"/>
              </w:rPr>
            </w:pPr>
            <w:r>
              <w:rPr>
                <w:rFonts w:hAnsi="宋体"/>
                <w:sz w:val="24"/>
              </w:rPr>
              <w:t>4.2.10</w:t>
            </w:r>
            <w:r>
              <w:rPr>
                <w:rFonts w:hint="eastAsia" w:hAnsi="宋体"/>
                <w:sz w:val="24"/>
              </w:rPr>
              <w:t>条</w:t>
            </w:r>
          </w:p>
        </w:tc>
        <w:tc>
          <w:tcPr>
            <w:tcW w:w="3969" w:type="dxa"/>
          </w:tcPr>
          <w:p>
            <w:pPr>
              <w:spacing w:line="360" w:lineRule="auto"/>
              <w:jc w:val="center"/>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1" w:type="dxa"/>
            <w:vMerge w:val="continue"/>
          </w:tcPr>
          <w:p>
            <w:pPr>
              <w:spacing w:line="360" w:lineRule="auto"/>
              <w:rPr>
                <w:rFonts w:hAnsi="宋体"/>
                <w:sz w:val="24"/>
              </w:rPr>
            </w:pPr>
          </w:p>
        </w:tc>
        <w:tc>
          <w:tcPr>
            <w:tcW w:w="2311" w:type="dxa"/>
            <w:vMerge w:val="continue"/>
          </w:tcPr>
          <w:p>
            <w:pPr>
              <w:spacing w:line="360" w:lineRule="auto"/>
              <w:jc w:val="center"/>
              <w:rPr>
                <w:rFonts w:hAnsi="宋体"/>
                <w:sz w:val="24"/>
              </w:rPr>
            </w:pPr>
          </w:p>
        </w:tc>
        <w:tc>
          <w:tcPr>
            <w:tcW w:w="1701" w:type="dxa"/>
          </w:tcPr>
          <w:p>
            <w:pPr>
              <w:spacing w:line="360" w:lineRule="auto"/>
              <w:jc w:val="center"/>
              <w:rPr>
                <w:rFonts w:hAnsi="宋体"/>
                <w:sz w:val="24"/>
              </w:rPr>
            </w:pPr>
            <w:r>
              <w:rPr>
                <w:rFonts w:hAnsi="宋体"/>
                <w:sz w:val="24"/>
              </w:rPr>
              <w:t>4.</w:t>
            </w:r>
            <w:r>
              <w:rPr>
                <w:rFonts w:hint="eastAsia" w:hAnsi="宋体"/>
                <w:sz w:val="24"/>
              </w:rPr>
              <w:t>3.5条</w:t>
            </w:r>
          </w:p>
        </w:tc>
        <w:tc>
          <w:tcPr>
            <w:tcW w:w="3969" w:type="dxa"/>
          </w:tcPr>
          <w:p>
            <w:pPr>
              <w:spacing w:line="360" w:lineRule="auto"/>
              <w:jc w:val="center"/>
              <w:rPr>
                <w:rFonts w:hAnsi="宋体"/>
                <w:sz w:val="24"/>
              </w:rPr>
            </w:pPr>
            <w:r>
              <w:rPr>
                <w:rFonts w:hint="eastAsia" w:hAnsi="宋体"/>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1" w:type="dxa"/>
            <w:vMerge w:val="continue"/>
          </w:tcPr>
          <w:p>
            <w:pPr>
              <w:spacing w:line="360" w:lineRule="auto"/>
              <w:rPr>
                <w:rFonts w:hAnsi="宋体"/>
                <w:sz w:val="24"/>
              </w:rPr>
            </w:pPr>
          </w:p>
        </w:tc>
        <w:tc>
          <w:tcPr>
            <w:tcW w:w="2311" w:type="dxa"/>
            <w:vMerge w:val="continue"/>
          </w:tcPr>
          <w:p>
            <w:pPr>
              <w:spacing w:line="360" w:lineRule="auto"/>
              <w:jc w:val="center"/>
              <w:rPr>
                <w:rFonts w:hAnsi="宋体"/>
                <w:sz w:val="24"/>
              </w:rPr>
            </w:pPr>
          </w:p>
        </w:tc>
        <w:tc>
          <w:tcPr>
            <w:tcW w:w="1701" w:type="dxa"/>
          </w:tcPr>
          <w:p>
            <w:pPr>
              <w:spacing w:line="360" w:lineRule="auto"/>
              <w:jc w:val="center"/>
              <w:rPr>
                <w:rFonts w:hAnsi="宋体"/>
                <w:sz w:val="24"/>
              </w:rPr>
            </w:pPr>
            <w:r>
              <w:rPr>
                <w:rFonts w:hAnsi="宋体"/>
                <w:sz w:val="24"/>
              </w:rPr>
              <w:t>4.</w:t>
            </w:r>
            <w:r>
              <w:rPr>
                <w:rFonts w:hint="eastAsia" w:hAnsi="宋体"/>
                <w:sz w:val="24"/>
              </w:rPr>
              <w:t>4.</w:t>
            </w:r>
            <w:r>
              <w:rPr>
                <w:rFonts w:hAnsi="宋体"/>
                <w:sz w:val="24"/>
              </w:rPr>
              <w:t>4</w:t>
            </w:r>
            <w:r>
              <w:rPr>
                <w:rFonts w:hint="eastAsia" w:hAnsi="宋体"/>
                <w:sz w:val="24"/>
              </w:rPr>
              <w:t>条</w:t>
            </w:r>
          </w:p>
        </w:tc>
        <w:tc>
          <w:tcPr>
            <w:tcW w:w="3969" w:type="dxa"/>
          </w:tcPr>
          <w:p>
            <w:pPr>
              <w:spacing w:line="360" w:lineRule="auto"/>
              <w:jc w:val="center"/>
              <w:rPr>
                <w:rFonts w:hAnsi="宋体"/>
                <w:sz w:val="24"/>
              </w:rPr>
            </w:pPr>
            <w:r>
              <w:rPr>
                <w:rFonts w:hint="eastAsia" w:hAnsi="宋体"/>
                <w:sz w:val="24"/>
              </w:rPr>
              <w:t>三星设计要求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spacing w:line="360" w:lineRule="auto"/>
              <w:rPr>
                <w:rFonts w:hAnsi="宋体"/>
                <w:sz w:val="24"/>
              </w:rPr>
            </w:pPr>
            <w:r>
              <w:rPr>
                <w:rFonts w:hint="eastAsia" w:hAnsi="宋体"/>
                <w:sz w:val="24"/>
              </w:rPr>
              <w:t>依据材料</w:t>
            </w:r>
          </w:p>
        </w:tc>
        <w:tc>
          <w:tcPr>
            <w:tcW w:w="7981" w:type="dxa"/>
            <w:gridSpan w:val="3"/>
          </w:tcPr>
          <w:p>
            <w:pPr>
              <w:spacing w:line="360" w:lineRule="auto"/>
              <w:ind w:firstLine="480" w:firstLineChars="200"/>
              <w:rPr>
                <w:rFonts w:hAnsi="宋体"/>
                <w:sz w:val="24"/>
              </w:rPr>
            </w:pPr>
            <w:r>
              <w:rPr>
                <w:rFonts w:hint="eastAsia" w:hAnsi="宋体"/>
                <w:sz w:val="24"/>
              </w:rPr>
              <w:t>设计人员根据项目实施的建筑总平面图、场地周边公共交通设施布局图（应标出场地到达公交站点的步行线路、场地出入口到达公交站点的距离，包括建筑与公共交通站连通的专用通道、连接口等内容），周边规划图，依照项目实际填写此项内容。</w:t>
            </w:r>
          </w:p>
          <w:p>
            <w:pPr>
              <w:spacing w:line="360" w:lineRule="auto"/>
              <w:ind w:firstLine="480" w:firstLineChars="200"/>
              <w:rPr>
                <w:rFonts w:hAnsi="宋体"/>
                <w:sz w:val="24"/>
              </w:rPr>
            </w:pPr>
            <w:r>
              <w:rPr>
                <w:rFonts w:hint="eastAsia" w:hAnsi="宋体"/>
                <w:sz w:val="24"/>
              </w:rPr>
              <w:t>另外，如项目位于新区，周边暂未开通或与公交连接，但规划有，且项目建成期内可满足，此项也可选“是”。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1" w:type="dxa"/>
          </w:tcPr>
          <w:p>
            <w:pPr>
              <w:spacing w:line="360" w:lineRule="auto"/>
              <w:rPr>
                <w:rFonts w:hAnsi="宋体"/>
                <w:sz w:val="24"/>
              </w:rPr>
            </w:pPr>
            <w:r>
              <w:rPr>
                <w:rFonts w:hint="eastAsia" w:hAnsi="宋体"/>
                <w:sz w:val="24"/>
              </w:rPr>
              <w:t>备注</w:t>
            </w:r>
          </w:p>
        </w:tc>
        <w:tc>
          <w:tcPr>
            <w:tcW w:w="7981" w:type="dxa"/>
            <w:gridSpan w:val="3"/>
          </w:tcPr>
          <w:p>
            <w:pPr>
              <w:spacing w:line="360" w:lineRule="auto"/>
              <w:ind w:firstLine="480" w:firstLineChars="200"/>
              <w:rPr>
                <w:rFonts w:hAnsi="宋体"/>
                <w:sz w:val="24"/>
              </w:rPr>
            </w:pPr>
            <w:r>
              <w:rPr>
                <w:rFonts w:hint="eastAsia" w:hAnsi="宋体"/>
                <w:sz w:val="24"/>
              </w:rPr>
              <w:t>优先发展公共交通是缓解城市交通拥堵问题的重要措施，因此建筑与公共交通联系的便捷程度很重要。为便于选择公共交通出行，在选址与场地规划中应重视建筑场地与公共交通站点的便捷联系，合理设置出入口。“有便捷的人行通道联系公共交通站点”包括：建筑外的平台直接通过天桥与公交站点相连，建筑的部分空间与地面轨道交通站点出入口直接连通，为减少到达公共交通站点的绕行距离设置了专用的人行通道，地下空间与地铁站点直接相连等。</w:t>
            </w:r>
          </w:p>
        </w:tc>
      </w:tr>
    </w:tbl>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.1.</w:t>
      </w:r>
      <w:r>
        <w:rPr>
          <w:rFonts w:hint="eastAsia" w:asciiTheme="minorEastAsia" w:hAnsiTheme="minorEastAsia" w:eastAsiaTheme="minorEastAsia"/>
          <w:sz w:val="24"/>
        </w:rPr>
        <w:t>5</w:t>
      </w:r>
      <w:r>
        <w:rPr>
          <w:rFonts w:asciiTheme="minorEastAsia" w:hAnsiTheme="minorEastAsia" w:eastAsiaTheme="minorEastAsia"/>
          <w:sz w:val="24"/>
        </w:rPr>
        <w:t>采取人车分流措施，且步行和自行车交通系统有充足的照明</w:t>
      </w:r>
      <w:r>
        <w:rPr>
          <w:rFonts w:hint="eastAsia" w:asciiTheme="minorEastAsia" w:hAnsiTheme="minorEastAsia" w:eastAsiaTheme="minorEastAsia"/>
          <w:sz w:val="24"/>
          <w:lang w:eastAsia="zh-Hans"/>
        </w:rPr>
        <w:t>；</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98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vMerge w:val="restart"/>
          </w:tcPr>
          <w:p>
            <w:pPr>
              <w:pStyle w:val="84"/>
              <w:spacing w:line="360" w:lineRule="auto"/>
              <w:rPr>
                <w:sz w:val="24"/>
                <w:lang w:eastAsia="zh-Hans"/>
              </w:rPr>
            </w:pPr>
            <w:r>
              <w:rPr>
                <w:rFonts w:hint="eastAsia"/>
                <w:sz w:val="24"/>
                <w:lang w:eastAsia="zh-Hans"/>
              </w:rPr>
              <w:t>条文来源</w:t>
            </w:r>
          </w:p>
        </w:tc>
        <w:tc>
          <w:tcPr>
            <w:tcW w:w="2022" w:type="dxa"/>
          </w:tcPr>
          <w:p>
            <w:pPr>
              <w:pStyle w:val="84"/>
              <w:spacing w:line="360" w:lineRule="auto"/>
              <w:rPr>
                <w:sz w:val="24"/>
              </w:rPr>
            </w:pPr>
            <w:r>
              <w:rPr>
                <w:rFonts w:hint="eastAsia"/>
                <w:sz w:val="24"/>
              </w:rPr>
              <w:t>GB/T 50378-201</w:t>
            </w:r>
            <w:r>
              <w:rPr>
                <w:sz w:val="24"/>
              </w:rPr>
              <w:t>9</w:t>
            </w:r>
          </w:p>
        </w:tc>
        <w:tc>
          <w:tcPr>
            <w:tcW w:w="1984" w:type="dxa"/>
          </w:tcPr>
          <w:p>
            <w:pPr>
              <w:pStyle w:val="84"/>
              <w:spacing w:line="360" w:lineRule="auto"/>
              <w:rPr>
                <w:sz w:val="24"/>
              </w:rPr>
            </w:pPr>
            <w:r>
              <w:rPr>
                <w:sz w:val="24"/>
              </w:rPr>
              <w:t>4.2.5</w:t>
            </w:r>
            <w:r>
              <w:rPr>
                <w:rFonts w:hint="eastAsia"/>
                <w:sz w:val="24"/>
                <w:lang w:eastAsia="zh-Hans"/>
              </w:rPr>
              <w:t>条</w:t>
            </w:r>
          </w:p>
        </w:tc>
        <w:tc>
          <w:tcPr>
            <w:tcW w:w="3969" w:type="dxa"/>
          </w:tcPr>
          <w:p>
            <w:pPr>
              <w:pStyle w:val="84"/>
              <w:spacing w:line="360" w:lineRule="auto"/>
              <w:rPr>
                <w:sz w:val="24"/>
                <w:lang w:eastAsia="zh-Hans"/>
              </w:rPr>
            </w:pPr>
            <w:r>
              <w:rPr>
                <w:sz w:val="24"/>
                <w:lang w:eastAsia="zh-Hans"/>
              </w:rPr>
              <w:t>8</w:t>
            </w:r>
            <w:r>
              <w:rPr>
                <w:rFonts w:hint="eastAsia"/>
                <w:sz w:val="24"/>
                <w:lang w:eastAsia="zh-Hans"/>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vMerge w:val="continue"/>
          </w:tcPr>
          <w:p>
            <w:pPr>
              <w:pStyle w:val="84"/>
              <w:spacing w:line="360" w:lineRule="auto"/>
              <w:rPr>
                <w:sz w:val="24"/>
                <w:lang w:eastAsia="zh-Hans"/>
              </w:rPr>
            </w:pPr>
          </w:p>
        </w:tc>
        <w:tc>
          <w:tcPr>
            <w:tcW w:w="2022" w:type="dxa"/>
          </w:tcPr>
          <w:p>
            <w:pPr>
              <w:pStyle w:val="84"/>
              <w:spacing w:line="360" w:lineRule="auto"/>
              <w:rPr>
                <w:sz w:val="24"/>
              </w:rPr>
            </w:pPr>
            <w:r>
              <w:rPr>
                <w:rFonts w:hint="eastAsia"/>
                <w:sz w:val="24"/>
              </w:rPr>
              <w:t>DB33/1092-</w:t>
            </w:r>
            <w:r>
              <w:rPr>
                <w:sz w:val="24"/>
              </w:rPr>
              <w:t>2021</w:t>
            </w:r>
          </w:p>
        </w:tc>
        <w:tc>
          <w:tcPr>
            <w:tcW w:w="1984" w:type="dxa"/>
          </w:tcPr>
          <w:p>
            <w:pPr>
              <w:pStyle w:val="84"/>
              <w:spacing w:line="360" w:lineRule="auto"/>
              <w:rPr>
                <w:sz w:val="24"/>
              </w:rPr>
            </w:pPr>
            <w:r>
              <w:rPr>
                <w:sz w:val="24"/>
              </w:rPr>
              <w:t>4.2.10</w:t>
            </w:r>
            <w:r>
              <w:rPr>
                <w:rFonts w:hint="eastAsia"/>
                <w:sz w:val="24"/>
              </w:rPr>
              <w:t>条</w:t>
            </w:r>
            <w:r>
              <w:rPr>
                <w:sz w:val="24"/>
              </w:rPr>
              <w:t>-4</w:t>
            </w:r>
          </w:p>
        </w:tc>
        <w:tc>
          <w:tcPr>
            <w:tcW w:w="3969" w:type="dxa"/>
          </w:tcPr>
          <w:p>
            <w:pPr>
              <w:pStyle w:val="84"/>
              <w:spacing w:line="360" w:lineRule="auto"/>
              <w:rPr>
                <w:sz w:val="24"/>
                <w:lang w:eastAsia="zh-Hans"/>
              </w:rPr>
            </w:pPr>
            <w:r>
              <w:rPr>
                <w:rFonts w:hint="eastAsia"/>
                <w:sz w:val="24"/>
                <w:lang w:eastAsia="zh-Hans"/>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347" w:type="dxa"/>
          </w:tcPr>
          <w:p>
            <w:pPr>
              <w:pStyle w:val="84"/>
              <w:spacing w:line="360" w:lineRule="auto"/>
              <w:rPr>
                <w:sz w:val="24"/>
              </w:rPr>
            </w:pPr>
            <w:r>
              <w:rPr>
                <w:rFonts w:hint="eastAsia"/>
                <w:sz w:val="24"/>
              </w:rPr>
              <w:t>依据材料</w:t>
            </w:r>
          </w:p>
        </w:tc>
        <w:tc>
          <w:tcPr>
            <w:tcW w:w="7975" w:type="dxa"/>
            <w:gridSpan w:val="3"/>
          </w:tcPr>
          <w:p>
            <w:pPr>
              <w:pStyle w:val="84"/>
              <w:spacing w:line="360" w:lineRule="auto"/>
              <w:ind w:firstLine="480" w:firstLineChars="200"/>
              <w:jc w:val="left"/>
              <w:rPr>
                <w:sz w:val="24"/>
              </w:rPr>
            </w:pPr>
            <w:r>
              <w:rPr>
                <w:rFonts w:hint="eastAsia"/>
                <w:sz w:val="24"/>
              </w:rPr>
              <w:t>设计人员此条应根据</w:t>
            </w:r>
            <w:r>
              <w:rPr>
                <w:rFonts w:hint="eastAsia"/>
                <w:sz w:val="24"/>
                <w:lang w:eastAsia="zh-Hans"/>
              </w:rPr>
              <w:t>照明设计文件和人车分流专项设计文件，依照项目</w:t>
            </w:r>
            <w:r>
              <w:rPr>
                <w:rFonts w:hint="eastAsia"/>
                <w:sz w:val="24"/>
              </w:rPr>
              <w:t>实际</w:t>
            </w:r>
            <w:r>
              <w:rPr>
                <w:rFonts w:hint="eastAsia"/>
                <w:sz w:val="24"/>
                <w:lang w:eastAsia="zh-Hans"/>
              </w:rPr>
              <w:t>情况</w:t>
            </w:r>
            <w:r>
              <w:rPr>
                <w:rFonts w:hint="eastAsia"/>
                <w:sz w:val="24"/>
              </w:rPr>
              <w:t>进行填写：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7975" w:type="dxa"/>
            <w:gridSpan w:val="3"/>
          </w:tcPr>
          <w:p>
            <w:pPr>
              <w:pStyle w:val="84"/>
              <w:spacing w:line="360" w:lineRule="auto"/>
              <w:ind w:firstLine="480" w:firstLineChars="200"/>
              <w:jc w:val="left"/>
              <w:rPr>
                <w:sz w:val="24"/>
              </w:rPr>
            </w:pPr>
            <w:r>
              <w:rPr>
                <w:rFonts w:hint="eastAsia"/>
                <w:sz w:val="24"/>
                <w:lang w:eastAsia="zh-Hans"/>
              </w:rPr>
              <w:t>场地内的交通状况直接关系着使用者的人身安全。人车分流将行人和机动车分离开，互不干扰，可避免人车争路的情况，充分保障行人尤其是老人和儿童的安全。提供完善的人行道路网络可鼓励公众步行，也是建立以行人为本的城市的先决条件。步行 和自行车交通系统如果照明不足，往往会导致人们产生不安全感，特别是在空旷或比较空旷的公共区域。充足的照明可以消除不安全感，对降低犯罪率、防止发生交通事故、提高夜间行人的安全性有重要作用。步行和自行车交通系统照明应以路面平均照度、 路面最小照度和垂直照度为评价指标，其照明标准值应不低于现行行业标准《城市道路照明设计标准》CJJ 45的有关要求。</w:t>
            </w:r>
          </w:p>
        </w:tc>
      </w:tr>
    </w:tbl>
    <w:p>
      <w:pPr>
        <w:spacing w:line="360" w:lineRule="auto"/>
        <w:ind w:firstLine="420"/>
        <w:rPr>
          <w:sz w:val="24"/>
          <w:lang w:eastAsia="zh-Hans"/>
        </w:rPr>
      </w:pPr>
      <w:r>
        <w:rPr>
          <w:rFonts w:hint="eastAsia" w:asciiTheme="minorEastAsia" w:hAnsiTheme="minorEastAsia" w:eastAsiaTheme="minorEastAsia"/>
          <w:sz w:val="24"/>
        </w:rPr>
        <w:t>5</w:t>
      </w:r>
      <w:r>
        <w:rPr>
          <w:rFonts w:asciiTheme="minorEastAsia" w:hAnsiTheme="minorEastAsia" w:eastAsiaTheme="minorEastAsia"/>
          <w:sz w:val="24"/>
        </w:rPr>
        <w:t>.1.</w:t>
      </w:r>
      <w:r>
        <w:rPr>
          <w:rFonts w:hint="eastAsia" w:asciiTheme="minorEastAsia" w:hAnsiTheme="minorEastAsia" w:eastAsiaTheme="minorEastAsia"/>
          <w:sz w:val="24"/>
        </w:rPr>
        <w:t>6</w:t>
      </w:r>
      <w:r>
        <w:rPr>
          <w:rFonts w:hint="eastAsia"/>
          <w:sz w:val="24"/>
        </w:rPr>
        <w:t>场地内各出入口位置及通道进行明显的导向标示设计</w:t>
      </w:r>
      <w:r>
        <w:rPr>
          <w:rFonts w:hint="eastAsia"/>
          <w:sz w:val="24"/>
          <w:lang w:eastAsia="zh-Hans"/>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984"/>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vMerge w:val="restart"/>
          </w:tcPr>
          <w:p>
            <w:pPr>
              <w:pStyle w:val="84"/>
              <w:spacing w:line="360" w:lineRule="auto"/>
              <w:rPr>
                <w:sz w:val="24"/>
                <w:lang w:eastAsia="zh-Hans"/>
              </w:rPr>
            </w:pPr>
            <w:r>
              <w:rPr>
                <w:rFonts w:hint="eastAsia"/>
                <w:sz w:val="24"/>
                <w:lang w:eastAsia="zh-Hans"/>
              </w:rPr>
              <w:t>条文来源</w:t>
            </w:r>
          </w:p>
        </w:tc>
        <w:tc>
          <w:tcPr>
            <w:tcW w:w="2022" w:type="dxa"/>
          </w:tcPr>
          <w:p>
            <w:pPr>
              <w:pStyle w:val="84"/>
              <w:spacing w:line="360" w:lineRule="auto"/>
              <w:rPr>
                <w:sz w:val="24"/>
              </w:rPr>
            </w:pPr>
            <w:r>
              <w:rPr>
                <w:rFonts w:hint="eastAsia"/>
                <w:sz w:val="24"/>
              </w:rPr>
              <w:t>GB/T 50378-201</w:t>
            </w:r>
            <w:r>
              <w:rPr>
                <w:sz w:val="24"/>
              </w:rPr>
              <w:t>9</w:t>
            </w:r>
          </w:p>
        </w:tc>
        <w:tc>
          <w:tcPr>
            <w:tcW w:w="1984" w:type="dxa"/>
          </w:tcPr>
          <w:p>
            <w:pPr>
              <w:pStyle w:val="84"/>
              <w:spacing w:line="360" w:lineRule="auto"/>
              <w:rPr>
                <w:sz w:val="24"/>
              </w:rPr>
            </w:pPr>
            <w:r>
              <w:rPr>
                <w:sz w:val="24"/>
              </w:rPr>
              <w:t>8.1.5</w:t>
            </w:r>
            <w:r>
              <w:rPr>
                <w:rFonts w:hint="eastAsia"/>
                <w:sz w:val="24"/>
                <w:lang w:eastAsia="zh-Hans"/>
              </w:rPr>
              <w:t>条</w:t>
            </w:r>
          </w:p>
        </w:tc>
        <w:tc>
          <w:tcPr>
            <w:tcW w:w="3827"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vMerge w:val="continue"/>
          </w:tcPr>
          <w:p>
            <w:pPr>
              <w:pStyle w:val="84"/>
              <w:spacing w:line="360" w:lineRule="auto"/>
              <w:rPr>
                <w:sz w:val="24"/>
                <w:lang w:eastAsia="zh-Hans"/>
              </w:rPr>
            </w:pPr>
          </w:p>
        </w:tc>
        <w:tc>
          <w:tcPr>
            <w:tcW w:w="2022" w:type="dxa"/>
          </w:tcPr>
          <w:p>
            <w:pPr>
              <w:pStyle w:val="84"/>
              <w:spacing w:line="360" w:lineRule="auto"/>
              <w:rPr>
                <w:sz w:val="24"/>
              </w:rPr>
            </w:pPr>
            <w:r>
              <w:rPr>
                <w:rFonts w:hint="eastAsia"/>
                <w:sz w:val="24"/>
              </w:rPr>
              <w:t>DB33/1092-</w:t>
            </w:r>
            <w:r>
              <w:rPr>
                <w:sz w:val="24"/>
              </w:rPr>
              <w:t>2021</w:t>
            </w:r>
          </w:p>
        </w:tc>
        <w:tc>
          <w:tcPr>
            <w:tcW w:w="1984" w:type="dxa"/>
          </w:tcPr>
          <w:p>
            <w:pPr>
              <w:pStyle w:val="84"/>
              <w:spacing w:line="360" w:lineRule="auto"/>
              <w:rPr>
                <w:sz w:val="24"/>
              </w:rPr>
            </w:pPr>
            <w:r>
              <w:rPr>
                <w:sz w:val="24"/>
              </w:rPr>
              <w:t>4.3.5</w:t>
            </w:r>
            <w:r>
              <w:rPr>
                <w:rFonts w:hint="eastAsia"/>
                <w:sz w:val="24"/>
              </w:rPr>
              <w:t>条</w:t>
            </w:r>
            <w:r>
              <w:rPr>
                <w:sz w:val="24"/>
              </w:rPr>
              <w:t>-2</w:t>
            </w:r>
          </w:p>
        </w:tc>
        <w:tc>
          <w:tcPr>
            <w:tcW w:w="3827" w:type="dxa"/>
          </w:tcPr>
          <w:p>
            <w:pPr>
              <w:pStyle w:val="84"/>
              <w:spacing w:line="360" w:lineRule="auto"/>
              <w:rPr>
                <w:sz w:val="24"/>
                <w:lang w:eastAsia="zh-Hans"/>
              </w:rPr>
            </w:pPr>
            <w:r>
              <w:rPr>
                <w:rFonts w:hint="eastAsia"/>
                <w:sz w:val="24"/>
                <w:lang w:eastAsia="zh-Hans"/>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347" w:type="dxa"/>
          </w:tcPr>
          <w:p>
            <w:pPr>
              <w:pStyle w:val="84"/>
              <w:spacing w:line="360" w:lineRule="auto"/>
              <w:rPr>
                <w:sz w:val="24"/>
              </w:rPr>
            </w:pPr>
            <w:r>
              <w:rPr>
                <w:rFonts w:hint="eastAsia"/>
                <w:sz w:val="24"/>
              </w:rPr>
              <w:t>依据材料</w:t>
            </w:r>
          </w:p>
        </w:tc>
        <w:tc>
          <w:tcPr>
            <w:tcW w:w="7833" w:type="dxa"/>
            <w:gridSpan w:val="3"/>
          </w:tcPr>
          <w:p>
            <w:pPr>
              <w:pStyle w:val="84"/>
              <w:spacing w:line="360" w:lineRule="auto"/>
              <w:ind w:firstLine="480" w:firstLineChars="200"/>
              <w:jc w:val="left"/>
              <w:rPr>
                <w:sz w:val="24"/>
              </w:rPr>
            </w:pPr>
            <w:r>
              <w:rPr>
                <w:rFonts w:hint="eastAsia"/>
                <w:sz w:val="24"/>
              </w:rPr>
              <w:t>设计人员此条应根据</w:t>
            </w:r>
            <w:r>
              <w:rPr>
                <w:rFonts w:hint="eastAsia"/>
                <w:sz w:val="24"/>
                <w:lang w:eastAsia="zh-Hans"/>
              </w:rPr>
              <w:t>相关设计文件和标识系统设计文件，依照项目</w:t>
            </w:r>
            <w:r>
              <w:rPr>
                <w:rFonts w:hint="eastAsia"/>
                <w:sz w:val="24"/>
              </w:rPr>
              <w:t>实际</w:t>
            </w:r>
            <w:r>
              <w:rPr>
                <w:rFonts w:hint="eastAsia"/>
                <w:sz w:val="24"/>
                <w:lang w:eastAsia="zh-Hans"/>
              </w:rPr>
              <w:t>情况</w:t>
            </w:r>
            <w:r>
              <w:rPr>
                <w:rFonts w:hint="eastAsia"/>
                <w:sz w:val="24"/>
              </w:rPr>
              <w:t>进行填写：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7833" w:type="dxa"/>
            <w:gridSpan w:val="3"/>
          </w:tcPr>
          <w:p>
            <w:pPr>
              <w:pStyle w:val="84"/>
              <w:spacing w:line="360" w:lineRule="auto"/>
              <w:ind w:firstLine="480" w:firstLineChars="200"/>
              <w:jc w:val="left"/>
              <w:rPr>
                <w:sz w:val="24"/>
              </w:rPr>
            </w:pPr>
            <w:r>
              <w:rPr>
                <w:rFonts w:hint="eastAsia"/>
                <w:sz w:val="24"/>
              </w:rPr>
              <w:t>设置便于识别和使用的标识系统，包括导向标识和定位标识等，能够为建筑使用者带来便捷的使用体验。标识一般有人车分流标识、停车场库定位引导标识、场地与建筑出入口定位引导标识、无障碍标识、配套设施定位标识，以及其他促进便捷使用的导向标识等。在标识系统设计和设置时，应考虑建筑使用者的识别习惯通过色彩、形式、字体、符号等整体进行设计，形成统一性和可辨识度。并考虑老年人、残障人士、儿童等不同人群对于标识的识别和感知的方式。同时，为便于标识识别，应在场地内显著位置上设置标识，并沿通行路径布置，构成完整和连续的引导系统。</w:t>
            </w:r>
          </w:p>
        </w:tc>
      </w:tr>
    </w:tbl>
    <w:p>
      <w:pPr>
        <w:spacing w:line="360" w:lineRule="auto"/>
        <w:ind w:firstLine="420"/>
        <w:rPr>
          <w:rFonts w:asciiTheme="minorEastAsia" w:hAnsiTheme="minorEastAsia" w:eastAsiaTheme="minorEastAsia"/>
          <w:sz w:val="24"/>
        </w:rPr>
      </w:pPr>
      <w:r>
        <w:rPr>
          <w:rFonts w:hint="eastAsia" w:asciiTheme="minorEastAsia" w:hAnsiTheme="minorEastAsia" w:eastAsiaTheme="minorEastAsia"/>
          <w:sz w:val="24"/>
        </w:rPr>
        <w:t>5</w:t>
      </w:r>
      <w:r>
        <w:rPr>
          <w:rFonts w:asciiTheme="minorEastAsia" w:hAnsiTheme="minorEastAsia" w:eastAsiaTheme="minorEastAsia"/>
          <w:sz w:val="24"/>
        </w:rPr>
        <w:t>.1.</w:t>
      </w:r>
      <w:r>
        <w:rPr>
          <w:rFonts w:hint="eastAsia" w:asciiTheme="minorEastAsia" w:hAnsiTheme="minorEastAsia" w:eastAsiaTheme="minorEastAsia"/>
          <w:sz w:val="24"/>
        </w:rPr>
        <w:t>7</w:t>
      </w:r>
      <w:r>
        <w:rPr>
          <w:rFonts w:asciiTheme="minorEastAsia" w:hAnsiTheme="minorEastAsia" w:eastAsiaTheme="minorEastAsia"/>
          <w:sz w:val="24"/>
        </w:rPr>
        <w:t>建设项目用地面积50万㎡</w:t>
      </w:r>
      <w:r>
        <w:rPr>
          <w:rFonts w:hint="eastAsia" w:asciiTheme="minorEastAsia" w:hAnsiTheme="minorEastAsia" w:eastAsiaTheme="minorEastAsia"/>
          <w:sz w:val="24"/>
          <w:lang w:eastAsia="zh-Hans"/>
        </w:rPr>
        <w:t>以上，</w:t>
      </w:r>
      <w:r>
        <w:rPr>
          <w:rFonts w:asciiTheme="minorEastAsia" w:hAnsiTheme="minorEastAsia" w:eastAsiaTheme="minorEastAsia"/>
          <w:sz w:val="24"/>
        </w:rPr>
        <w:t>设置内部公共交通系统</w:t>
      </w:r>
      <w:r>
        <w:rPr>
          <w:rFonts w:hint="eastAsia" w:asciiTheme="minorEastAsia" w:hAnsiTheme="minorEastAsia" w:eastAsiaTheme="minorEastAsia"/>
          <w:sz w:val="24"/>
          <w:lang w:eastAsia="zh-Hans"/>
        </w:rPr>
        <w:t>，并优先</w:t>
      </w:r>
      <w:r>
        <w:rPr>
          <w:rFonts w:asciiTheme="minorEastAsia" w:hAnsiTheme="minorEastAsia" w:eastAsiaTheme="minorEastAsia"/>
          <w:sz w:val="24"/>
        </w:rPr>
        <w:t>选择使用清洁能源的交通工具</w:t>
      </w:r>
      <w:r>
        <w:rPr>
          <w:rFonts w:hint="eastAsia" w:asciiTheme="minorEastAsia" w:hAnsiTheme="minorEastAsia" w:eastAsiaTheme="minorEastAsia"/>
          <w:sz w:val="24"/>
          <w:lang w:eastAsia="zh-Hans"/>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842"/>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 w:hRule="atLeast"/>
        </w:trPr>
        <w:tc>
          <w:tcPr>
            <w:tcW w:w="1347" w:type="dxa"/>
          </w:tcPr>
          <w:p>
            <w:pPr>
              <w:pStyle w:val="84"/>
              <w:spacing w:line="360" w:lineRule="auto"/>
              <w:rPr>
                <w:sz w:val="24"/>
                <w:lang w:eastAsia="zh-Hans"/>
              </w:rPr>
            </w:pPr>
            <w:r>
              <w:rPr>
                <w:rFonts w:hint="eastAsia"/>
                <w:sz w:val="24"/>
                <w:lang w:eastAsia="zh-Hans"/>
              </w:rPr>
              <w:t>条文来源</w:t>
            </w:r>
          </w:p>
        </w:tc>
        <w:tc>
          <w:tcPr>
            <w:tcW w:w="2022" w:type="dxa"/>
          </w:tcPr>
          <w:p>
            <w:pPr>
              <w:pStyle w:val="84"/>
              <w:spacing w:line="360" w:lineRule="auto"/>
              <w:rPr>
                <w:sz w:val="24"/>
              </w:rPr>
            </w:pPr>
            <w:r>
              <w:rPr>
                <w:rFonts w:hint="eastAsia"/>
                <w:sz w:val="24"/>
              </w:rPr>
              <w:t>DB33/1092-</w:t>
            </w:r>
            <w:r>
              <w:rPr>
                <w:sz w:val="24"/>
              </w:rPr>
              <w:t>2021</w:t>
            </w:r>
          </w:p>
        </w:tc>
        <w:tc>
          <w:tcPr>
            <w:tcW w:w="1842" w:type="dxa"/>
          </w:tcPr>
          <w:p>
            <w:pPr>
              <w:pStyle w:val="84"/>
              <w:spacing w:line="360" w:lineRule="auto"/>
              <w:rPr>
                <w:sz w:val="24"/>
              </w:rPr>
            </w:pPr>
            <w:r>
              <w:rPr>
                <w:sz w:val="24"/>
              </w:rPr>
              <w:t>4</w:t>
            </w:r>
            <w:r>
              <w:rPr>
                <w:rFonts w:hint="eastAsia"/>
                <w:sz w:val="24"/>
                <w:lang w:eastAsia="zh-Hans"/>
              </w:rPr>
              <w:t>.</w:t>
            </w:r>
            <w:r>
              <w:rPr>
                <w:sz w:val="24"/>
                <w:lang w:eastAsia="zh-Hans"/>
              </w:rPr>
              <w:t>4.4</w:t>
            </w:r>
            <w:r>
              <w:rPr>
                <w:rFonts w:hint="eastAsia"/>
                <w:sz w:val="24"/>
              </w:rPr>
              <w:t>条</w:t>
            </w:r>
            <w:r>
              <w:rPr>
                <w:sz w:val="24"/>
              </w:rPr>
              <w:t>-2</w:t>
            </w:r>
          </w:p>
        </w:tc>
        <w:tc>
          <w:tcPr>
            <w:tcW w:w="3969" w:type="dxa"/>
          </w:tcPr>
          <w:p>
            <w:pPr>
              <w:pStyle w:val="84"/>
              <w:spacing w:line="360" w:lineRule="auto"/>
              <w:rPr>
                <w:sz w:val="24"/>
                <w:lang w:eastAsia="zh-Hans"/>
              </w:rPr>
            </w:pPr>
            <w:r>
              <w:rPr>
                <w:rFonts w:hint="eastAsia"/>
                <w:sz w:val="24"/>
                <w:lang w:eastAsia="zh-Hans"/>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347" w:type="dxa"/>
          </w:tcPr>
          <w:p>
            <w:pPr>
              <w:pStyle w:val="84"/>
              <w:spacing w:line="360" w:lineRule="auto"/>
              <w:rPr>
                <w:sz w:val="24"/>
              </w:rPr>
            </w:pPr>
            <w:r>
              <w:rPr>
                <w:rFonts w:hint="eastAsia"/>
                <w:sz w:val="24"/>
              </w:rPr>
              <w:t>依据材料</w:t>
            </w:r>
          </w:p>
        </w:tc>
        <w:tc>
          <w:tcPr>
            <w:tcW w:w="7833" w:type="dxa"/>
            <w:gridSpan w:val="3"/>
          </w:tcPr>
          <w:p>
            <w:pPr>
              <w:pStyle w:val="84"/>
              <w:spacing w:line="360" w:lineRule="auto"/>
              <w:ind w:firstLine="480" w:firstLineChars="200"/>
              <w:jc w:val="left"/>
              <w:rPr>
                <w:sz w:val="24"/>
              </w:rPr>
            </w:pPr>
            <w:r>
              <w:rPr>
                <w:rFonts w:hint="eastAsia"/>
                <w:sz w:val="24"/>
              </w:rPr>
              <w:t>设计人员此条应根据</w:t>
            </w:r>
            <w:r>
              <w:rPr>
                <w:rFonts w:hint="eastAsia"/>
                <w:sz w:val="24"/>
                <w:lang w:eastAsia="zh-Hans"/>
              </w:rPr>
              <w:t>建筑总平面图、总平面交通流线分析图等相关设计文件，依照项目</w:t>
            </w:r>
            <w:r>
              <w:rPr>
                <w:rFonts w:hint="eastAsia"/>
                <w:sz w:val="24"/>
              </w:rPr>
              <w:t>实际</w:t>
            </w:r>
            <w:r>
              <w:rPr>
                <w:rFonts w:hint="eastAsia"/>
                <w:sz w:val="24"/>
                <w:lang w:eastAsia="zh-Hans"/>
              </w:rPr>
              <w:t>情况</w:t>
            </w:r>
            <w:r>
              <w:rPr>
                <w:rFonts w:hint="eastAsia"/>
                <w:sz w:val="24"/>
              </w:rPr>
              <w:t>进行填写：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7833" w:type="dxa"/>
            <w:gridSpan w:val="3"/>
          </w:tcPr>
          <w:p>
            <w:pPr>
              <w:pStyle w:val="84"/>
              <w:spacing w:line="360" w:lineRule="auto"/>
              <w:ind w:firstLine="480" w:firstLineChars="200"/>
              <w:jc w:val="left"/>
              <w:rPr>
                <w:sz w:val="24"/>
              </w:rPr>
            </w:pPr>
            <w:r>
              <w:rPr>
                <w:rFonts w:hint="eastAsia"/>
                <w:sz w:val="24"/>
              </w:rPr>
              <w:t>当建设项目的用地面积达到50万m2以上时，场地内点到点的交通距离就可能较远，超出步行的适宜范围。因此，如场地内交通量达到一定规模时，建议建设内部公共交通系统，并优先选择使用清洁能源的交通工具，以达到场地内绿色出行的目的。</w:t>
            </w:r>
          </w:p>
        </w:tc>
      </w:tr>
    </w:tbl>
    <w:p>
      <w:pPr>
        <w:spacing w:line="360" w:lineRule="auto"/>
        <w:rPr>
          <w:rFonts w:hAnsi="宋体"/>
          <w:sz w:val="24"/>
        </w:rPr>
      </w:pPr>
      <w:r>
        <w:rPr>
          <w:rFonts w:hint="eastAsia" w:hAnsi="宋体"/>
          <w:sz w:val="24"/>
        </w:rPr>
        <w:t>5</w:t>
      </w:r>
      <w:r>
        <w:rPr>
          <w:rFonts w:hAnsi="宋体"/>
          <w:sz w:val="24"/>
        </w:rPr>
        <w:t xml:space="preserve">.2 </w:t>
      </w:r>
      <w:r>
        <w:rPr>
          <w:rFonts w:hint="eastAsia" w:hAnsi="宋体"/>
          <w:sz w:val="24"/>
        </w:rPr>
        <w:t>场地停车设计</w:t>
      </w:r>
      <w:r>
        <w:rPr>
          <w:rFonts w:hint="eastAsia" w:hAnsi="宋体"/>
          <w:sz w:val="24"/>
          <w:lang w:val="en-GB"/>
        </w:rPr>
        <w:t>：</w:t>
      </w:r>
    </w:p>
    <w:p>
      <w:pPr>
        <w:spacing w:line="360" w:lineRule="auto"/>
        <w:rPr>
          <w:rFonts w:hAnsi="宋体"/>
          <w:sz w:val="24"/>
        </w:rPr>
      </w:pPr>
      <w:r>
        <w:rPr>
          <w:rFonts w:hint="eastAsia" w:hAnsi="宋体"/>
          <w:sz w:val="24"/>
        </w:rPr>
        <w:t>5</w:t>
      </w:r>
      <w:r>
        <w:rPr>
          <w:rFonts w:hAnsi="宋体"/>
          <w:sz w:val="24"/>
        </w:rPr>
        <w:t xml:space="preserve">.2.1 </w:t>
      </w:r>
      <w:r>
        <w:rPr>
          <w:rFonts w:hint="eastAsia" w:hAnsi="宋体"/>
          <w:sz w:val="24"/>
        </w:rPr>
        <w:t>机动车停车方式；</w:t>
      </w:r>
    </w:p>
    <w:p>
      <w:pPr>
        <w:spacing w:line="360" w:lineRule="auto"/>
        <w:rPr>
          <w:rFonts w:hAnsi="宋体"/>
          <w:sz w:val="24"/>
        </w:rPr>
      </w:pPr>
      <w:r>
        <w:rPr>
          <w:rFonts w:hint="eastAsia" w:hAnsi="宋体"/>
          <w:sz w:val="24"/>
        </w:rPr>
        <w:t>5</w:t>
      </w:r>
      <w:r>
        <w:rPr>
          <w:rFonts w:hAnsi="宋体"/>
          <w:sz w:val="24"/>
        </w:rPr>
        <w:t xml:space="preserve">.2.2 </w:t>
      </w:r>
      <w:r>
        <w:rPr>
          <w:rFonts w:hint="eastAsia" w:hAnsi="宋体"/>
          <w:sz w:val="24"/>
        </w:rPr>
        <w:t>机动车停车场库设置具有电动汽车充电设施或具备充电设施的安装条件的电动汽车停车位；</w:t>
      </w:r>
    </w:p>
    <w:p>
      <w:pPr>
        <w:spacing w:line="360" w:lineRule="auto"/>
        <w:rPr>
          <w:rFonts w:hAnsi="宋体"/>
          <w:sz w:val="24"/>
        </w:rPr>
      </w:pPr>
      <w:r>
        <w:rPr>
          <w:rFonts w:hint="eastAsia" w:hAnsi="宋体"/>
          <w:sz w:val="24"/>
        </w:rPr>
        <w:t>5</w:t>
      </w:r>
      <w:r>
        <w:rPr>
          <w:rFonts w:hAnsi="宋体"/>
          <w:sz w:val="24"/>
        </w:rPr>
        <w:t xml:space="preserve">.2.3 </w:t>
      </w:r>
      <w:r>
        <w:rPr>
          <w:rFonts w:hint="eastAsia" w:hAnsi="宋体"/>
          <w:sz w:val="24"/>
        </w:rPr>
        <w:t>采用错时停车方式向社会开放，提高停车场（库）使用效率；</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842"/>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restart"/>
          </w:tcPr>
          <w:p>
            <w:pPr>
              <w:spacing w:line="360" w:lineRule="auto"/>
              <w:rPr>
                <w:rFonts w:hAnsi="宋体"/>
                <w:sz w:val="24"/>
              </w:rPr>
            </w:pPr>
            <w:r>
              <w:rPr>
                <w:rFonts w:hint="eastAsia" w:hAnsi="宋体"/>
                <w:sz w:val="24"/>
              </w:rPr>
              <w:t>条文来源</w:t>
            </w:r>
          </w:p>
        </w:tc>
        <w:tc>
          <w:tcPr>
            <w:tcW w:w="2022" w:type="dxa"/>
            <w:vMerge w:val="restart"/>
          </w:tcPr>
          <w:p>
            <w:pPr>
              <w:spacing w:line="360" w:lineRule="auto"/>
              <w:rPr>
                <w:rFonts w:hAnsi="宋体"/>
                <w:sz w:val="24"/>
              </w:rPr>
            </w:pPr>
            <w:r>
              <w:rPr>
                <w:rFonts w:hint="eastAsia" w:hAnsi="宋体"/>
                <w:sz w:val="24"/>
              </w:rPr>
              <w:t>GB/T 50378-201</w:t>
            </w:r>
            <w:r>
              <w:rPr>
                <w:rFonts w:hAnsi="宋体"/>
                <w:sz w:val="24"/>
              </w:rPr>
              <w:t>9</w:t>
            </w:r>
          </w:p>
        </w:tc>
        <w:tc>
          <w:tcPr>
            <w:tcW w:w="1842" w:type="dxa"/>
          </w:tcPr>
          <w:p>
            <w:pPr>
              <w:spacing w:line="360" w:lineRule="auto"/>
              <w:rPr>
                <w:rFonts w:hAnsi="宋体"/>
                <w:sz w:val="24"/>
              </w:rPr>
            </w:pPr>
            <w:r>
              <w:rPr>
                <w:rFonts w:hint="eastAsia" w:hAnsi="宋体"/>
                <w:sz w:val="24"/>
              </w:rPr>
              <w:t>6</w:t>
            </w:r>
            <w:r>
              <w:rPr>
                <w:rFonts w:hAnsi="宋体"/>
                <w:sz w:val="24"/>
              </w:rPr>
              <w:t>.1.3</w:t>
            </w:r>
            <w:r>
              <w:rPr>
                <w:rFonts w:hint="eastAsia" w:hAnsi="宋体"/>
                <w:sz w:val="24"/>
              </w:rPr>
              <w:t>条</w:t>
            </w:r>
          </w:p>
        </w:tc>
        <w:tc>
          <w:tcPr>
            <w:tcW w:w="3969" w:type="dxa"/>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022" w:type="dxa"/>
            <w:vMerge w:val="continue"/>
          </w:tcPr>
          <w:p>
            <w:pPr>
              <w:spacing w:line="360" w:lineRule="auto"/>
              <w:rPr>
                <w:rFonts w:hAnsi="宋体"/>
                <w:sz w:val="24"/>
              </w:rPr>
            </w:pPr>
          </w:p>
        </w:tc>
        <w:tc>
          <w:tcPr>
            <w:tcW w:w="1842" w:type="dxa"/>
          </w:tcPr>
          <w:p>
            <w:pPr>
              <w:spacing w:line="360" w:lineRule="auto"/>
              <w:rPr>
                <w:rFonts w:hAnsi="宋体"/>
                <w:sz w:val="24"/>
              </w:rPr>
            </w:pPr>
            <w:r>
              <w:rPr>
                <w:rFonts w:hint="eastAsia" w:hAnsi="宋体"/>
                <w:sz w:val="24"/>
              </w:rPr>
              <w:t>6</w:t>
            </w:r>
            <w:r>
              <w:rPr>
                <w:rFonts w:hAnsi="宋体"/>
                <w:sz w:val="24"/>
              </w:rPr>
              <w:t>.2.3</w:t>
            </w:r>
            <w:r>
              <w:rPr>
                <w:rFonts w:hint="eastAsia" w:hAnsi="宋体"/>
                <w:sz w:val="24"/>
              </w:rPr>
              <w:t>条-</w:t>
            </w:r>
            <w:r>
              <w:rPr>
                <w:rFonts w:hAnsi="宋体"/>
                <w:sz w:val="24"/>
              </w:rPr>
              <w:t>1</w:t>
            </w:r>
          </w:p>
        </w:tc>
        <w:tc>
          <w:tcPr>
            <w:tcW w:w="3969" w:type="dxa"/>
          </w:tcPr>
          <w:p>
            <w:pPr>
              <w:spacing w:line="360" w:lineRule="auto"/>
              <w:rPr>
                <w:rFonts w:hAnsi="宋体"/>
                <w:sz w:val="24"/>
              </w:rPr>
            </w:pPr>
            <w:r>
              <w:rPr>
                <w:rFonts w:hint="eastAsia" w:hAnsi="宋体"/>
                <w:sz w:val="24"/>
              </w:rPr>
              <w:t>满足要求中的4项，</w:t>
            </w:r>
            <w:r>
              <w:rPr>
                <w:rFonts w:hAnsi="宋体"/>
                <w:sz w:val="24"/>
              </w:rPr>
              <w:t>5</w:t>
            </w:r>
            <w:r>
              <w:rPr>
                <w:rFonts w:hint="eastAsia" w:hAnsi="宋体"/>
                <w:sz w:val="24"/>
              </w:rPr>
              <w:t>分；</w:t>
            </w:r>
          </w:p>
          <w:p>
            <w:pPr>
              <w:spacing w:line="360" w:lineRule="auto"/>
              <w:rPr>
                <w:rFonts w:hAnsi="宋体"/>
                <w:sz w:val="24"/>
              </w:rPr>
            </w:pPr>
            <w:r>
              <w:rPr>
                <w:rFonts w:hint="eastAsia" w:hAnsi="宋体"/>
                <w:sz w:val="24"/>
              </w:rPr>
              <w:t>满足要求中的</w:t>
            </w:r>
            <w:r>
              <w:rPr>
                <w:rFonts w:hAnsi="宋体"/>
                <w:sz w:val="24"/>
              </w:rPr>
              <w:t>6</w:t>
            </w:r>
            <w:r>
              <w:rPr>
                <w:rFonts w:hint="eastAsia" w:hAnsi="宋体"/>
                <w:sz w:val="24"/>
              </w:rPr>
              <w:t>项，</w:t>
            </w:r>
            <w:r>
              <w:rPr>
                <w:rFonts w:hAnsi="宋体"/>
                <w:sz w:val="24"/>
              </w:rPr>
              <w:t>10</w:t>
            </w:r>
            <w:r>
              <w:rPr>
                <w:rFonts w:hint="eastAsia"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spacing w:line="360" w:lineRule="auto"/>
              <w:rPr>
                <w:rFonts w:hAnsi="宋体"/>
                <w:sz w:val="24"/>
              </w:rPr>
            </w:pPr>
          </w:p>
        </w:tc>
        <w:tc>
          <w:tcPr>
            <w:tcW w:w="2022" w:type="dxa"/>
            <w:vMerge w:val="continue"/>
          </w:tcPr>
          <w:p>
            <w:pPr>
              <w:spacing w:line="360" w:lineRule="auto"/>
              <w:rPr>
                <w:rFonts w:hAnsi="宋体"/>
                <w:sz w:val="24"/>
              </w:rPr>
            </w:pPr>
          </w:p>
        </w:tc>
        <w:tc>
          <w:tcPr>
            <w:tcW w:w="1842" w:type="dxa"/>
          </w:tcPr>
          <w:p>
            <w:pPr>
              <w:spacing w:line="360" w:lineRule="auto"/>
              <w:rPr>
                <w:rFonts w:hAnsi="宋体"/>
                <w:sz w:val="24"/>
              </w:rPr>
            </w:pPr>
            <w:r>
              <w:rPr>
                <w:rFonts w:hAnsi="宋体"/>
                <w:sz w:val="24"/>
              </w:rPr>
              <w:t>7.2.3</w:t>
            </w:r>
            <w:r>
              <w:rPr>
                <w:rFonts w:hint="eastAsia" w:hAnsi="宋体"/>
                <w:sz w:val="24"/>
              </w:rPr>
              <w:t>条</w:t>
            </w:r>
          </w:p>
        </w:tc>
        <w:tc>
          <w:tcPr>
            <w:tcW w:w="3969" w:type="dxa"/>
          </w:tcPr>
          <w:p>
            <w:pPr>
              <w:spacing w:line="360" w:lineRule="auto"/>
              <w:rPr>
                <w:rFonts w:hAnsi="宋体"/>
                <w:sz w:val="24"/>
              </w:rPr>
            </w:pPr>
            <w:r>
              <w:rPr>
                <w:rFonts w:hAnsi="宋体"/>
                <w:sz w:val="24"/>
              </w:rPr>
              <w:t>8</w:t>
            </w:r>
            <w:r>
              <w:rPr>
                <w:rFonts w:hint="eastAsia"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spacing w:line="360" w:lineRule="auto"/>
              <w:rPr>
                <w:rFonts w:hAnsi="宋体"/>
                <w:sz w:val="24"/>
              </w:rPr>
            </w:pPr>
          </w:p>
        </w:tc>
        <w:tc>
          <w:tcPr>
            <w:tcW w:w="2022"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842" w:type="dxa"/>
          </w:tcPr>
          <w:p>
            <w:pPr>
              <w:spacing w:line="360" w:lineRule="auto"/>
              <w:rPr>
                <w:rFonts w:hAnsi="宋体"/>
                <w:sz w:val="24"/>
              </w:rPr>
            </w:pPr>
            <w:r>
              <w:rPr>
                <w:rFonts w:hAnsi="宋体"/>
                <w:sz w:val="24"/>
              </w:rPr>
              <w:t>4.</w:t>
            </w:r>
            <w:r>
              <w:rPr>
                <w:rFonts w:hint="eastAsia" w:hAnsi="宋体"/>
                <w:sz w:val="24"/>
              </w:rPr>
              <w:t>2.1</w:t>
            </w:r>
            <w:r>
              <w:rPr>
                <w:rFonts w:hAnsi="宋体"/>
                <w:sz w:val="24"/>
              </w:rPr>
              <w:t>1</w:t>
            </w:r>
            <w:r>
              <w:rPr>
                <w:rFonts w:hint="eastAsia" w:hAnsi="宋体"/>
                <w:sz w:val="24"/>
              </w:rPr>
              <w:t>条-</w:t>
            </w:r>
            <w:r>
              <w:rPr>
                <w:rFonts w:hAnsi="宋体"/>
                <w:sz w:val="24"/>
              </w:rPr>
              <w:t>1</w:t>
            </w:r>
            <w:r>
              <w:rPr>
                <w:rFonts w:hint="eastAsia" w:hAnsi="宋体"/>
                <w:sz w:val="24"/>
              </w:rPr>
              <w:t>-</w:t>
            </w:r>
            <w:r>
              <w:rPr>
                <w:rFonts w:hAnsi="宋体"/>
                <w:sz w:val="24"/>
              </w:rPr>
              <w:t>2</w:t>
            </w:r>
          </w:p>
        </w:tc>
        <w:tc>
          <w:tcPr>
            <w:tcW w:w="3969"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spacing w:line="360" w:lineRule="auto"/>
              <w:rPr>
                <w:rFonts w:hAnsi="宋体"/>
                <w:sz w:val="24"/>
              </w:rPr>
            </w:pPr>
          </w:p>
        </w:tc>
        <w:tc>
          <w:tcPr>
            <w:tcW w:w="2022" w:type="dxa"/>
            <w:vMerge w:val="continue"/>
          </w:tcPr>
          <w:p>
            <w:pPr>
              <w:spacing w:line="360" w:lineRule="auto"/>
              <w:rPr>
                <w:rFonts w:hAnsi="宋体"/>
                <w:sz w:val="24"/>
              </w:rPr>
            </w:pPr>
          </w:p>
        </w:tc>
        <w:tc>
          <w:tcPr>
            <w:tcW w:w="1842" w:type="dxa"/>
          </w:tcPr>
          <w:p>
            <w:pPr>
              <w:spacing w:line="360" w:lineRule="auto"/>
              <w:rPr>
                <w:rFonts w:hAnsi="宋体"/>
                <w:sz w:val="24"/>
              </w:rPr>
            </w:pPr>
            <w:r>
              <w:rPr>
                <w:rFonts w:hAnsi="宋体"/>
                <w:sz w:val="24"/>
              </w:rPr>
              <w:t>4.4</w:t>
            </w:r>
            <w:r>
              <w:rPr>
                <w:rFonts w:hint="eastAsia" w:hAnsi="宋体"/>
                <w:sz w:val="24"/>
              </w:rPr>
              <w:t>.5条</w:t>
            </w:r>
          </w:p>
        </w:tc>
        <w:tc>
          <w:tcPr>
            <w:tcW w:w="3969" w:type="dxa"/>
          </w:tcPr>
          <w:p>
            <w:pPr>
              <w:spacing w:line="360" w:lineRule="auto"/>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依据材料</w:t>
            </w:r>
          </w:p>
        </w:tc>
        <w:tc>
          <w:tcPr>
            <w:tcW w:w="7833" w:type="dxa"/>
            <w:gridSpan w:val="3"/>
          </w:tcPr>
          <w:p>
            <w:pPr>
              <w:spacing w:line="360" w:lineRule="auto"/>
              <w:ind w:firstLine="480" w:firstLineChars="200"/>
              <w:rPr>
                <w:rFonts w:hAnsi="宋体"/>
                <w:sz w:val="24"/>
              </w:rPr>
            </w:pPr>
            <w:r>
              <w:rPr>
                <w:rFonts w:hint="eastAsia" w:hAnsi="宋体"/>
                <w:sz w:val="24"/>
              </w:rPr>
              <w:t>设计人员根据建筑总平面图（注明地面停车场位置），停车场（库）施工图，错时停车管理制度文件、地面交通流线分析图等，依据项目实际情况，填写此项。</w:t>
            </w:r>
          </w:p>
          <w:p>
            <w:pPr>
              <w:spacing w:line="360" w:lineRule="auto"/>
              <w:ind w:firstLine="600" w:firstLineChars="250"/>
              <w:rPr>
                <w:rFonts w:hAnsi="宋体"/>
                <w:sz w:val="24"/>
              </w:rPr>
            </w:pPr>
            <w:r>
              <w:rPr>
                <w:rFonts w:hint="eastAsia" w:hAnsi="宋体"/>
                <w:sz w:val="24"/>
              </w:rPr>
              <w:t>另外，值得注意的是，机动车停车的数量和位置应满足规划条件的要求。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833" w:type="dxa"/>
            <w:gridSpan w:val="3"/>
          </w:tcPr>
          <w:p>
            <w:pPr>
              <w:spacing w:line="360" w:lineRule="auto"/>
              <w:ind w:firstLine="480" w:firstLineChars="200"/>
              <w:rPr>
                <w:rFonts w:hAnsi="宋体"/>
                <w:sz w:val="24"/>
              </w:rPr>
            </w:pPr>
            <w:r>
              <w:rPr>
                <w:rFonts w:hint="eastAsia" w:hAnsi="宋体"/>
                <w:sz w:val="24"/>
              </w:rPr>
              <w:t>机动车停车应符合所在地控制性详细规划要求，地面停车位应按照国家和地方有关标准适度设置，并科学管理、合理组织交通流线，不应对人行、活动场所产生干扰。</w:t>
            </w:r>
          </w:p>
        </w:tc>
      </w:tr>
    </w:tbl>
    <w:p>
      <w:pPr>
        <w:spacing w:line="360" w:lineRule="auto"/>
        <w:rPr>
          <w:rFonts w:hAnsi="宋体"/>
          <w:sz w:val="24"/>
        </w:rPr>
      </w:pPr>
      <w:r>
        <w:rPr>
          <w:rFonts w:hint="eastAsia" w:hAnsi="宋体"/>
          <w:sz w:val="24"/>
        </w:rPr>
        <w:t>5</w:t>
      </w:r>
      <w:r>
        <w:rPr>
          <w:rFonts w:hAnsi="宋体"/>
          <w:sz w:val="24"/>
        </w:rPr>
        <w:t xml:space="preserve">.2.4 </w:t>
      </w:r>
      <w:r>
        <w:rPr>
          <w:rFonts w:hint="eastAsia" w:hAnsi="宋体"/>
          <w:sz w:val="24"/>
        </w:rPr>
        <w:t>自行车停车场所应位置合理、方便出入。</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842"/>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1347" w:type="dxa"/>
            <w:vMerge w:val="restart"/>
          </w:tcPr>
          <w:p>
            <w:pPr>
              <w:spacing w:line="360" w:lineRule="auto"/>
              <w:rPr>
                <w:rFonts w:hAnsi="宋体"/>
                <w:sz w:val="24"/>
              </w:rPr>
            </w:pPr>
            <w:r>
              <w:rPr>
                <w:rFonts w:hint="eastAsia" w:hAnsi="宋体"/>
                <w:sz w:val="24"/>
              </w:rPr>
              <w:t>条文来源</w:t>
            </w:r>
          </w:p>
        </w:tc>
        <w:tc>
          <w:tcPr>
            <w:tcW w:w="2022" w:type="dxa"/>
          </w:tcPr>
          <w:p>
            <w:pPr>
              <w:spacing w:line="360" w:lineRule="auto"/>
              <w:rPr>
                <w:rFonts w:hAnsi="宋体"/>
                <w:sz w:val="24"/>
              </w:rPr>
            </w:pPr>
            <w:r>
              <w:rPr>
                <w:rFonts w:hint="eastAsia" w:hAnsi="宋体"/>
                <w:sz w:val="24"/>
              </w:rPr>
              <w:t>GB/T 50378-201</w:t>
            </w:r>
            <w:r>
              <w:rPr>
                <w:rFonts w:hAnsi="宋体"/>
                <w:sz w:val="24"/>
              </w:rPr>
              <w:t>9</w:t>
            </w:r>
          </w:p>
        </w:tc>
        <w:tc>
          <w:tcPr>
            <w:tcW w:w="1842" w:type="dxa"/>
          </w:tcPr>
          <w:p>
            <w:pPr>
              <w:spacing w:line="360" w:lineRule="auto"/>
              <w:rPr>
                <w:rFonts w:hAnsi="宋体"/>
                <w:sz w:val="24"/>
              </w:rPr>
            </w:pPr>
            <w:r>
              <w:rPr>
                <w:rFonts w:hint="eastAsia" w:hAnsi="宋体"/>
                <w:sz w:val="24"/>
              </w:rPr>
              <w:t>6.1.</w:t>
            </w:r>
            <w:r>
              <w:rPr>
                <w:rFonts w:hAnsi="宋体"/>
                <w:sz w:val="24"/>
              </w:rPr>
              <w:t>4</w:t>
            </w:r>
            <w:r>
              <w:rPr>
                <w:rFonts w:hint="eastAsia" w:hAnsi="宋体"/>
                <w:sz w:val="24"/>
              </w:rPr>
              <w:t>条</w:t>
            </w:r>
          </w:p>
        </w:tc>
        <w:tc>
          <w:tcPr>
            <w:tcW w:w="3969" w:type="dxa"/>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spacing w:line="360" w:lineRule="auto"/>
              <w:rPr>
                <w:rFonts w:hAnsi="宋体"/>
                <w:sz w:val="24"/>
              </w:rPr>
            </w:pPr>
          </w:p>
        </w:tc>
        <w:tc>
          <w:tcPr>
            <w:tcW w:w="2022" w:type="dxa"/>
          </w:tcPr>
          <w:p>
            <w:pPr>
              <w:spacing w:line="360" w:lineRule="auto"/>
              <w:rPr>
                <w:rFonts w:hAnsi="宋体"/>
                <w:sz w:val="24"/>
              </w:rPr>
            </w:pPr>
            <w:r>
              <w:rPr>
                <w:rFonts w:hint="eastAsia" w:hAnsi="宋体"/>
                <w:sz w:val="24"/>
              </w:rPr>
              <w:t>DB 33/1092-20</w:t>
            </w:r>
            <w:r>
              <w:rPr>
                <w:rFonts w:hAnsi="宋体"/>
                <w:sz w:val="24"/>
              </w:rPr>
              <w:t>21</w:t>
            </w:r>
          </w:p>
        </w:tc>
        <w:tc>
          <w:tcPr>
            <w:tcW w:w="1842" w:type="dxa"/>
          </w:tcPr>
          <w:p>
            <w:pPr>
              <w:spacing w:line="360" w:lineRule="auto"/>
              <w:rPr>
                <w:rFonts w:hAnsi="宋体"/>
                <w:sz w:val="24"/>
              </w:rPr>
            </w:pPr>
            <w:r>
              <w:rPr>
                <w:rFonts w:hAnsi="宋体"/>
                <w:sz w:val="24"/>
              </w:rPr>
              <w:t>4.</w:t>
            </w:r>
            <w:r>
              <w:rPr>
                <w:rFonts w:hint="eastAsia" w:hAnsi="宋体"/>
                <w:sz w:val="24"/>
              </w:rPr>
              <w:t>2.1</w:t>
            </w:r>
            <w:r>
              <w:rPr>
                <w:rFonts w:hAnsi="宋体"/>
                <w:sz w:val="24"/>
              </w:rPr>
              <w:t>1</w:t>
            </w:r>
            <w:r>
              <w:rPr>
                <w:rFonts w:hint="eastAsia" w:hAnsi="宋体"/>
                <w:sz w:val="24"/>
              </w:rPr>
              <w:t>条-</w:t>
            </w:r>
            <w:r>
              <w:rPr>
                <w:rFonts w:hAnsi="宋体"/>
                <w:sz w:val="24"/>
              </w:rPr>
              <w:t>3</w:t>
            </w:r>
          </w:p>
        </w:tc>
        <w:tc>
          <w:tcPr>
            <w:tcW w:w="3969"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依据材料</w:t>
            </w:r>
          </w:p>
        </w:tc>
        <w:tc>
          <w:tcPr>
            <w:tcW w:w="7833" w:type="dxa"/>
            <w:gridSpan w:val="3"/>
          </w:tcPr>
          <w:p>
            <w:pPr>
              <w:spacing w:line="360" w:lineRule="auto"/>
              <w:ind w:firstLine="480" w:firstLineChars="200"/>
              <w:rPr>
                <w:rFonts w:hAnsi="宋体"/>
                <w:sz w:val="24"/>
              </w:rPr>
            </w:pPr>
            <w:r>
              <w:rPr>
                <w:rFonts w:hint="eastAsia" w:hAnsi="宋体"/>
                <w:sz w:val="24"/>
              </w:rPr>
              <w:t>设计人员依据项目实施的建筑总平面图（注明自行车库/棚位置、地面停车场位置）及相关指标数据、自行车库/棚及附属设施的施工图，根据项目实际，填写此项内容。</w:t>
            </w:r>
          </w:p>
          <w:p>
            <w:pPr>
              <w:spacing w:line="360" w:lineRule="auto"/>
              <w:ind w:firstLine="480" w:firstLineChars="200"/>
              <w:rPr>
                <w:rFonts w:hAnsi="宋体"/>
                <w:sz w:val="24"/>
              </w:rPr>
            </w:pPr>
            <w:r>
              <w:rPr>
                <w:rFonts w:hint="eastAsia" w:hAnsi="宋体"/>
                <w:sz w:val="24"/>
              </w:rPr>
              <w:t>另外，值得注意的是，设置有自行车库（棚）的自行车数量当满足或高于规划条件中的配建要求时，才可填“是”。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833" w:type="dxa"/>
            <w:gridSpan w:val="3"/>
          </w:tcPr>
          <w:p>
            <w:pPr>
              <w:spacing w:line="360" w:lineRule="auto"/>
              <w:ind w:firstLine="480" w:firstLineChars="200"/>
              <w:rPr>
                <w:rFonts w:hAnsi="宋体"/>
                <w:sz w:val="24"/>
              </w:rPr>
            </w:pPr>
            <w:r>
              <w:rPr>
                <w:rFonts w:hint="eastAsia" w:hAnsi="宋体"/>
                <w:sz w:val="24"/>
              </w:rPr>
              <w:t>如规划条件中未要求设置自行车库/棚，且没有设置自行车停车库（棚）的，本条不得分。但对于不适宜使用自行车作为交通工具的情况（例如山地城市），应供应专项说明材料；经论证，确不适宜使用自行车作为公交工具的，本款可不参评。</w:t>
            </w:r>
          </w:p>
          <w:p>
            <w:pPr>
              <w:spacing w:line="360" w:lineRule="auto"/>
              <w:ind w:firstLine="480" w:firstLineChars="200"/>
              <w:rPr>
                <w:rFonts w:hAnsi="宋体"/>
                <w:sz w:val="24"/>
              </w:rPr>
            </w:pPr>
            <w:r>
              <w:rPr>
                <w:rFonts w:hAnsi="宋体"/>
                <w:sz w:val="24"/>
              </w:rPr>
              <w:t>为使用自行车出行的人提供方便的停车场所，以此鼓励绿色出行。 自行车停车场所应规模适度、布局合理，符合使用者出行习惯。室外自行车停车场应与建筑物出入口有便捷的联系，室内自行车停车库应与楼梯、电梯等竖向交通有便捷的联系</w:t>
            </w:r>
            <w:r>
              <w:rPr>
                <w:rFonts w:hint="eastAsia" w:hAnsi="宋体"/>
                <w:sz w:val="24"/>
              </w:rPr>
              <w:t>。</w:t>
            </w:r>
          </w:p>
        </w:tc>
      </w:tr>
    </w:tbl>
    <w:p>
      <w:pPr>
        <w:spacing w:line="360" w:lineRule="auto"/>
        <w:rPr>
          <w:rFonts w:hAnsi="宋体"/>
          <w:sz w:val="24"/>
        </w:rPr>
      </w:pPr>
    </w:p>
    <w:p>
      <w:pPr>
        <w:pStyle w:val="271"/>
        <w:numPr>
          <w:ilvl w:val="0"/>
          <w:numId w:val="44"/>
        </w:numPr>
        <w:spacing w:line="360" w:lineRule="auto"/>
        <w:ind w:firstLineChars="0"/>
        <w:rPr>
          <w:rFonts w:hAnsi="宋体"/>
          <w:sz w:val="24"/>
        </w:rPr>
      </w:pPr>
      <w:r>
        <w:rPr>
          <w:rFonts w:hint="eastAsia" w:hAnsi="宋体"/>
          <w:b/>
          <w:sz w:val="24"/>
        </w:rPr>
        <w:t>无障碍与安全：</w:t>
      </w:r>
    </w:p>
    <w:p>
      <w:pPr>
        <w:spacing w:line="360" w:lineRule="auto"/>
        <w:rPr>
          <w:rFonts w:hAnsi="宋体"/>
          <w:sz w:val="24"/>
        </w:rPr>
      </w:pPr>
      <w:r>
        <w:rPr>
          <w:rFonts w:hint="eastAsia" w:hAnsi="宋体"/>
          <w:sz w:val="24"/>
        </w:rPr>
        <w:t>6</w:t>
      </w:r>
      <w:r>
        <w:rPr>
          <w:rFonts w:hAnsi="宋体"/>
          <w:sz w:val="24"/>
        </w:rPr>
        <w:t xml:space="preserve">.1 </w:t>
      </w:r>
      <w:r>
        <w:rPr>
          <w:rFonts w:hint="eastAsia" w:hAnsi="宋体"/>
          <w:sz w:val="24"/>
        </w:rPr>
        <w:t>场地内的建筑、室外场地、公共绿地、城市道路相互之间设置连贯的无障碍步行系统；</w:t>
      </w:r>
    </w:p>
    <w:p>
      <w:pPr>
        <w:spacing w:line="360" w:lineRule="auto"/>
        <w:rPr>
          <w:rFonts w:hAnsi="宋体"/>
          <w:sz w:val="24"/>
        </w:rPr>
      </w:pPr>
      <w:r>
        <w:rPr>
          <w:rFonts w:hint="eastAsia" w:hAnsi="宋体"/>
          <w:sz w:val="24"/>
        </w:rPr>
        <w:t>6</w:t>
      </w:r>
      <w:r>
        <w:rPr>
          <w:rFonts w:hAnsi="宋体"/>
          <w:sz w:val="24"/>
        </w:rPr>
        <w:t xml:space="preserve">.2 </w:t>
      </w:r>
      <w:r>
        <w:rPr>
          <w:rFonts w:hint="eastAsia" w:hAnsi="宋体"/>
          <w:sz w:val="24"/>
        </w:rPr>
        <w:t>场地内人行通道采用无障碍设计；</w:t>
      </w:r>
    </w:p>
    <w:p>
      <w:pPr>
        <w:spacing w:line="360" w:lineRule="auto"/>
        <w:rPr>
          <w:rFonts w:hAnsi="宋体"/>
          <w:sz w:val="24"/>
        </w:rPr>
      </w:pPr>
      <w:r>
        <w:rPr>
          <w:rFonts w:hint="eastAsia" w:hAnsi="宋体"/>
          <w:sz w:val="24"/>
        </w:rPr>
        <w:t>6</w:t>
      </w:r>
      <w:r>
        <w:rPr>
          <w:rFonts w:hAnsi="宋体"/>
          <w:sz w:val="24"/>
        </w:rPr>
        <w:t xml:space="preserve">.3 </w:t>
      </w:r>
      <w:r>
        <w:rPr>
          <w:rFonts w:hint="eastAsia" w:hAnsi="宋体"/>
          <w:sz w:val="24"/>
        </w:rPr>
        <w:t>机动车停车场库设置无障碍汽车停车位；</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5"/>
        <w:gridCol w:w="2307"/>
        <w:gridCol w:w="1843"/>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restart"/>
          </w:tcPr>
          <w:p>
            <w:pPr>
              <w:spacing w:line="360" w:lineRule="auto"/>
              <w:rPr>
                <w:rFonts w:hAnsi="宋体"/>
                <w:sz w:val="24"/>
              </w:rPr>
            </w:pPr>
            <w:r>
              <w:rPr>
                <w:rFonts w:hint="eastAsia" w:hAnsi="宋体"/>
                <w:sz w:val="24"/>
              </w:rPr>
              <w:t>条文来源</w:t>
            </w:r>
          </w:p>
        </w:tc>
        <w:tc>
          <w:tcPr>
            <w:tcW w:w="2307" w:type="dxa"/>
            <w:vMerge w:val="restart"/>
          </w:tcPr>
          <w:p>
            <w:pPr>
              <w:spacing w:line="360" w:lineRule="auto"/>
              <w:rPr>
                <w:rFonts w:hAnsi="宋体"/>
                <w:sz w:val="24"/>
              </w:rPr>
            </w:pPr>
            <w:r>
              <w:rPr>
                <w:rFonts w:hint="eastAsia" w:hAnsi="宋体"/>
                <w:sz w:val="24"/>
              </w:rPr>
              <w:t>GB/T 50378-201</w:t>
            </w:r>
            <w:r>
              <w:rPr>
                <w:rFonts w:hAnsi="宋体"/>
                <w:sz w:val="24"/>
              </w:rPr>
              <w:t>9</w:t>
            </w:r>
          </w:p>
        </w:tc>
        <w:tc>
          <w:tcPr>
            <w:tcW w:w="1843" w:type="dxa"/>
          </w:tcPr>
          <w:p>
            <w:pPr>
              <w:spacing w:line="360" w:lineRule="auto"/>
              <w:rPr>
                <w:rFonts w:hAnsi="宋体"/>
                <w:sz w:val="24"/>
              </w:rPr>
            </w:pPr>
            <w:r>
              <w:rPr>
                <w:rFonts w:hint="eastAsia" w:hAnsi="宋体"/>
                <w:sz w:val="24"/>
              </w:rPr>
              <w:t>6</w:t>
            </w:r>
            <w:r>
              <w:rPr>
                <w:rFonts w:hAnsi="宋体"/>
                <w:sz w:val="24"/>
              </w:rPr>
              <w:t>.1.1</w:t>
            </w:r>
            <w:r>
              <w:rPr>
                <w:rFonts w:hint="eastAsia" w:hAnsi="宋体"/>
                <w:sz w:val="24"/>
              </w:rPr>
              <w:t>条</w:t>
            </w:r>
          </w:p>
        </w:tc>
        <w:tc>
          <w:tcPr>
            <w:tcW w:w="3685" w:type="dxa"/>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307" w:type="dxa"/>
            <w:vMerge w:val="continue"/>
          </w:tcPr>
          <w:p>
            <w:pPr>
              <w:spacing w:line="360" w:lineRule="auto"/>
              <w:rPr>
                <w:rFonts w:hAnsi="宋体"/>
                <w:sz w:val="24"/>
              </w:rPr>
            </w:pPr>
          </w:p>
        </w:tc>
        <w:tc>
          <w:tcPr>
            <w:tcW w:w="1843" w:type="dxa"/>
          </w:tcPr>
          <w:p>
            <w:pPr>
              <w:spacing w:line="360" w:lineRule="auto"/>
              <w:rPr>
                <w:rFonts w:hAnsi="宋体"/>
                <w:sz w:val="24"/>
              </w:rPr>
            </w:pPr>
            <w:r>
              <w:rPr>
                <w:rFonts w:hint="eastAsia" w:hAnsi="宋体"/>
                <w:sz w:val="24"/>
              </w:rPr>
              <w:t>6</w:t>
            </w:r>
            <w:r>
              <w:rPr>
                <w:rFonts w:hAnsi="宋体"/>
                <w:sz w:val="24"/>
              </w:rPr>
              <w:t>.1.3</w:t>
            </w:r>
            <w:r>
              <w:rPr>
                <w:rFonts w:hint="eastAsia" w:hAnsi="宋体"/>
                <w:sz w:val="24"/>
              </w:rPr>
              <w:t>条</w:t>
            </w:r>
          </w:p>
        </w:tc>
        <w:tc>
          <w:tcPr>
            <w:tcW w:w="3685" w:type="dxa"/>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307"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843" w:type="dxa"/>
          </w:tcPr>
          <w:p>
            <w:pPr>
              <w:spacing w:line="360" w:lineRule="auto"/>
              <w:rPr>
                <w:rFonts w:hAnsi="宋体"/>
                <w:sz w:val="24"/>
              </w:rPr>
            </w:pPr>
            <w:r>
              <w:rPr>
                <w:rFonts w:hint="eastAsia" w:hAnsi="宋体"/>
                <w:sz w:val="24"/>
              </w:rPr>
              <w:t>4.2.1</w:t>
            </w:r>
            <w:r>
              <w:rPr>
                <w:rFonts w:hAnsi="宋体"/>
                <w:sz w:val="24"/>
              </w:rPr>
              <w:t>0</w:t>
            </w:r>
            <w:r>
              <w:rPr>
                <w:rFonts w:hint="eastAsia" w:hAnsi="宋体"/>
                <w:sz w:val="24"/>
              </w:rPr>
              <w:t>条</w:t>
            </w:r>
          </w:p>
        </w:tc>
        <w:tc>
          <w:tcPr>
            <w:tcW w:w="3685"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307" w:type="dxa"/>
            <w:vMerge w:val="continue"/>
          </w:tcPr>
          <w:p>
            <w:pPr>
              <w:spacing w:line="360" w:lineRule="auto"/>
              <w:rPr>
                <w:rFonts w:hAnsi="宋体"/>
                <w:sz w:val="24"/>
              </w:rPr>
            </w:pPr>
          </w:p>
        </w:tc>
        <w:tc>
          <w:tcPr>
            <w:tcW w:w="1843" w:type="dxa"/>
          </w:tcPr>
          <w:p>
            <w:pPr>
              <w:spacing w:line="360" w:lineRule="auto"/>
              <w:rPr>
                <w:rFonts w:hAnsi="宋体"/>
                <w:sz w:val="24"/>
              </w:rPr>
            </w:pPr>
            <w:r>
              <w:rPr>
                <w:rFonts w:hAnsi="宋体"/>
                <w:sz w:val="24"/>
              </w:rPr>
              <w:t>4.2.11</w:t>
            </w:r>
            <w:r>
              <w:rPr>
                <w:rFonts w:hint="eastAsia" w:hAnsi="宋体"/>
                <w:sz w:val="24"/>
              </w:rPr>
              <w:t>条-</w:t>
            </w:r>
            <w:r>
              <w:rPr>
                <w:rFonts w:hAnsi="宋体"/>
                <w:sz w:val="24"/>
              </w:rPr>
              <w:t>2</w:t>
            </w:r>
          </w:p>
        </w:tc>
        <w:tc>
          <w:tcPr>
            <w:tcW w:w="3685"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spacing w:line="360" w:lineRule="auto"/>
              <w:rPr>
                <w:rFonts w:hAnsi="宋体"/>
                <w:sz w:val="24"/>
              </w:rPr>
            </w:pPr>
            <w:r>
              <w:rPr>
                <w:rFonts w:hint="eastAsia" w:hAnsi="宋体"/>
                <w:sz w:val="24"/>
              </w:rPr>
              <w:t>依据材料</w:t>
            </w:r>
          </w:p>
        </w:tc>
        <w:tc>
          <w:tcPr>
            <w:tcW w:w="7835"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依据项目实施的建筑总平面图、总图的竖向及景观设计文件，根据项目实际情况，重点审查建筑的主要出入口是否满足无障碍要求，场地内的人行系统以及外部城市道路的连接是否满足无障碍要求后，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spacing w:line="360" w:lineRule="auto"/>
              <w:rPr>
                <w:rFonts w:hAnsi="宋体"/>
                <w:sz w:val="24"/>
              </w:rPr>
            </w:pPr>
            <w:r>
              <w:rPr>
                <w:rFonts w:hint="eastAsia" w:hAnsi="宋体"/>
                <w:sz w:val="24"/>
              </w:rPr>
              <w:t>备注</w:t>
            </w:r>
          </w:p>
        </w:tc>
        <w:tc>
          <w:tcPr>
            <w:tcW w:w="7835"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如果建筑场地外已有无障碍人行通道,场地内的无障碍通道人行通道必须与之联系。</w:t>
            </w:r>
          </w:p>
          <w:p>
            <w:pPr>
              <w:autoSpaceDE w:val="0"/>
              <w:autoSpaceDN w:val="0"/>
              <w:adjustRightInd w:val="0"/>
              <w:spacing w:line="360" w:lineRule="auto"/>
              <w:ind w:firstLine="480" w:firstLineChars="200"/>
              <w:jc w:val="left"/>
              <w:rPr>
                <w:rFonts w:hAnsi="宋体"/>
                <w:sz w:val="24"/>
              </w:rPr>
            </w:pPr>
            <w:r>
              <w:rPr>
                <w:rFonts w:hint="eastAsia" w:hAnsi="宋体"/>
                <w:sz w:val="24"/>
              </w:rPr>
              <w:t>场地内人行通道及场地内外联系的元障碍设计是绿色出行的重要组成部分，是保障各类人群方便、安全出行的基本设施。</w:t>
            </w:r>
          </w:p>
          <w:p>
            <w:pPr>
              <w:autoSpaceDE w:val="0"/>
              <w:autoSpaceDN w:val="0"/>
              <w:adjustRightInd w:val="0"/>
              <w:spacing w:line="360" w:lineRule="auto"/>
              <w:ind w:firstLine="480" w:firstLineChars="200"/>
              <w:jc w:val="left"/>
              <w:rPr>
                <w:rFonts w:hAnsi="宋体"/>
                <w:sz w:val="24"/>
              </w:rPr>
            </w:pPr>
            <w:r>
              <w:rPr>
                <w:rFonts w:hint="eastAsia" w:hAnsi="宋体"/>
                <w:sz w:val="24"/>
              </w:rPr>
              <w:t>根据现行国家标准《无障碍设计规范》GB 50763对不同场所无障碍停车的要求，对于居住区，居住区停车场和车库的总停车位应设置不少于0.5％的无障碍机动车停车位，若设有多个停车场和车库，宜每处设置不少于1个无障碍机动车停车位。本条要求停车场应合理设置电动洗车和无障碍汽车停车位。</w:t>
            </w:r>
          </w:p>
        </w:tc>
      </w:tr>
    </w:tbl>
    <w:p>
      <w:pPr>
        <w:spacing w:line="360" w:lineRule="auto"/>
        <w:rPr>
          <w:rFonts w:hAnsi="宋体"/>
          <w:sz w:val="24"/>
        </w:rPr>
      </w:pPr>
      <w:r>
        <w:rPr>
          <w:rFonts w:hint="eastAsia" w:hAnsi="宋体"/>
          <w:sz w:val="24"/>
        </w:rPr>
        <w:t>6</w:t>
      </w:r>
      <w:r>
        <w:rPr>
          <w:rFonts w:hAnsi="宋体"/>
          <w:sz w:val="24"/>
        </w:rPr>
        <w:t xml:space="preserve">.4 </w:t>
      </w:r>
      <w:r>
        <w:rPr>
          <w:rFonts w:hint="eastAsia" w:hAnsi="宋体"/>
          <w:sz w:val="24"/>
        </w:rPr>
        <w:t>室外活动场所、坡道、路面应采用防滑地面，防滑等级达到现行行业标准《建筑地面工程防滑技术规程》JGJ/T 331 规定的A</w:t>
      </w:r>
      <w:r>
        <w:rPr>
          <w:rFonts w:hAnsi="宋体"/>
          <w:sz w:val="24"/>
        </w:rPr>
        <w:t>d</w:t>
      </w:r>
      <w:r>
        <w:rPr>
          <w:rFonts w:hint="eastAsia" w:hAnsi="宋体"/>
          <w:sz w:val="24"/>
        </w:rPr>
        <w:t>、Aw级；</w:t>
      </w:r>
    </w:p>
    <w:p>
      <w:pPr>
        <w:spacing w:line="360" w:lineRule="auto"/>
        <w:rPr>
          <w:rFonts w:hAnsi="宋体"/>
          <w:sz w:val="24"/>
        </w:rPr>
      </w:pPr>
      <w:r>
        <w:rPr>
          <w:rFonts w:hint="eastAsia" w:hAnsi="宋体"/>
          <w:sz w:val="24"/>
        </w:rPr>
        <w:t>6</w:t>
      </w:r>
      <w:r>
        <w:rPr>
          <w:rFonts w:hAnsi="宋体"/>
          <w:sz w:val="24"/>
        </w:rPr>
        <w:t xml:space="preserve">.5 </w:t>
      </w:r>
      <w:r>
        <w:rPr>
          <w:rFonts w:hint="eastAsia" w:hAnsi="宋体"/>
          <w:sz w:val="24"/>
        </w:rPr>
        <w:t>总平面设计利用场地或景观形成可降低坠物风险的缓冲区、隔离带；</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5"/>
        <w:gridCol w:w="2307"/>
        <w:gridCol w:w="1843"/>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restart"/>
          </w:tcPr>
          <w:p>
            <w:pPr>
              <w:spacing w:line="360" w:lineRule="auto"/>
              <w:rPr>
                <w:rFonts w:hAnsi="宋体"/>
                <w:sz w:val="24"/>
              </w:rPr>
            </w:pPr>
            <w:r>
              <w:rPr>
                <w:rFonts w:hint="eastAsia" w:hAnsi="宋体"/>
                <w:sz w:val="24"/>
              </w:rPr>
              <w:t>条文来源</w:t>
            </w:r>
          </w:p>
        </w:tc>
        <w:tc>
          <w:tcPr>
            <w:tcW w:w="2307" w:type="dxa"/>
            <w:vMerge w:val="restart"/>
          </w:tcPr>
          <w:p>
            <w:pPr>
              <w:spacing w:line="360" w:lineRule="auto"/>
              <w:rPr>
                <w:rFonts w:hAnsi="宋体"/>
                <w:sz w:val="24"/>
              </w:rPr>
            </w:pPr>
            <w:r>
              <w:rPr>
                <w:rFonts w:hint="eastAsia" w:hAnsi="宋体"/>
                <w:sz w:val="24"/>
              </w:rPr>
              <w:t>GB/T 50378-201</w:t>
            </w:r>
            <w:r>
              <w:rPr>
                <w:rFonts w:hAnsi="宋体"/>
                <w:sz w:val="24"/>
              </w:rPr>
              <w:t>9</w:t>
            </w:r>
          </w:p>
        </w:tc>
        <w:tc>
          <w:tcPr>
            <w:tcW w:w="1843" w:type="dxa"/>
          </w:tcPr>
          <w:p>
            <w:pPr>
              <w:spacing w:line="360" w:lineRule="auto"/>
              <w:rPr>
                <w:rFonts w:hAnsi="宋体"/>
                <w:sz w:val="24"/>
              </w:rPr>
            </w:pPr>
            <w:r>
              <w:rPr>
                <w:rFonts w:hint="eastAsia" w:hAnsi="宋体"/>
                <w:sz w:val="24"/>
              </w:rPr>
              <w:t>4</w:t>
            </w:r>
            <w:r>
              <w:rPr>
                <w:rFonts w:hAnsi="宋体"/>
                <w:sz w:val="24"/>
              </w:rPr>
              <w:t>.2.2</w:t>
            </w:r>
            <w:r>
              <w:rPr>
                <w:rFonts w:hint="eastAsia" w:hAnsi="宋体"/>
                <w:sz w:val="24"/>
              </w:rPr>
              <w:t>条</w:t>
            </w:r>
          </w:p>
        </w:tc>
        <w:tc>
          <w:tcPr>
            <w:tcW w:w="3685" w:type="dxa"/>
          </w:tcPr>
          <w:p>
            <w:pPr>
              <w:spacing w:line="360" w:lineRule="auto"/>
              <w:rPr>
                <w:rFonts w:hAnsi="宋体"/>
                <w:sz w:val="24"/>
              </w:rPr>
            </w:pPr>
            <w:r>
              <w:rPr>
                <w:rFonts w:hint="eastAsia" w:hAnsi="宋体"/>
                <w:sz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307" w:type="dxa"/>
            <w:vMerge w:val="continue"/>
          </w:tcPr>
          <w:p>
            <w:pPr>
              <w:spacing w:line="360" w:lineRule="auto"/>
              <w:rPr>
                <w:rFonts w:hAnsi="宋体"/>
                <w:sz w:val="24"/>
              </w:rPr>
            </w:pPr>
          </w:p>
        </w:tc>
        <w:tc>
          <w:tcPr>
            <w:tcW w:w="1843" w:type="dxa"/>
          </w:tcPr>
          <w:p>
            <w:pPr>
              <w:spacing w:line="360" w:lineRule="auto"/>
              <w:rPr>
                <w:rFonts w:hAnsi="宋体"/>
                <w:sz w:val="24"/>
              </w:rPr>
            </w:pPr>
            <w:r>
              <w:rPr>
                <w:rFonts w:hint="eastAsia" w:hAnsi="宋体"/>
                <w:sz w:val="24"/>
              </w:rPr>
              <w:t>4</w:t>
            </w:r>
            <w:r>
              <w:rPr>
                <w:rFonts w:hAnsi="宋体"/>
                <w:sz w:val="24"/>
              </w:rPr>
              <w:t>.2.4</w:t>
            </w:r>
            <w:r>
              <w:rPr>
                <w:rFonts w:hint="eastAsia" w:hAnsi="宋体"/>
                <w:sz w:val="24"/>
              </w:rPr>
              <w:t>条</w:t>
            </w:r>
          </w:p>
        </w:tc>
        <w:tc>
          <w:tcPr>
            <w:tcW w:w="3685" w:type="dxa"/>
          </w:tcPr>
          <w:p>
            <w:pPr>
              <w:spacing w:line="360" w:lineRule="auto"/>
              <w:rPr>
                <w:rFonts w:hAnsi="宋体"/>
                <w:sz w:val="24"/>
              </w:rPr>
            </w:pPr>
            <w:r>
              <w:rPr>
                <w:rFonts w:hint="eastAsia" w:hAnsi="宋体"/>
                <w:sz w:val="24"/>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307"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843" w:type="dxa"/>
          </w:tcPr>
          <w:p>
            <w:pPr>
              <w:spacing w:line="360" w:lineRule="auto"/>
              <w:rPr>
                <w:rFonts w:hAnsi="宋体"/>
                <w:sz w:val="24"/>
              </w:rPr>
            </w:pPr>
            <w:r>
              <w:rPr>
                <w:rFonts w:hint="eastAsia" w:hAnsi="宋体"/>
                <w:sz w:val="24"/>
              </w:rPr>
              <w:t>4.2.1</w:t>
            </w:r>
            <w:r>
              <w:rPr>
                <w:rFonts w:hAnsi="宋体"/>
                <w:sz w:val="24"/>
              </w:rPr>
              <w:t>3</w:t>
            </w:r>
            <w:r>
              <w:rPr>
                <w:rFonts w:hint="eastAsia" w:hAnsi="宋体"/>
                <w:sz w:val="24"/>
              </w:rPr>
              <w:t>条-</w:t>
            </w:r>
            <w:r>
              <w:rPr>
                <w:rFonts w:hAnsi="宋体"/>
                <w:sz w:val="24"/>
              </w:rPr>
              <w:t>3</w:t>
            </w:r>
          </w:p>
        </w:tc>
        <w:tc>
          <w:tcPr>
            <w:tcW w:w="3685"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307" w:type="dxa"/>
            <w:vMerge w:val="continue"/>
          </w:tcPr>
          <w:p>
            <w:pPr>
              <w:spacing w:line="360" w:lineRule="auto"/>
              <w:rPr>
                <w:rFonts w:hAnsi="宋体"/>
                <w:sz w:val="24"/>
              </w:rPr>
            </w:pPr>
          </w:p>
        </w:tc>
        <w:tc>
          <w:tcPr>
            <w:tcW w:w="1843" w:type="dxa"/>
          </w:tcPr>
          <w:p>
            <w:pPr>
              <w:spacing w:line="360" w:lineRule="auto"/>
              <w:rPr>
                <w:rFonts w:hAnsi="宋体"/>
                <w:sz w:val="24"/>
              </w:rPr>
            </w:pPr>
            <w:r>
              <w:rPr>
                <w:rFonts w:hint="eastAsia" w:hAnsi="宋体"/>
                <w:sz w:val="24"/>
              </w:rPr>
              <w:t>4</w:t>
            </w:r>
            <w:r>
              <w:rPr>
                <w:rFonts w:hAnsi="宋体"/>
                <w:sz w:val="24"/>
              </w:rPr>
              <w:t>.3.6</w:t>
            </w:r>
            <w:r>
              <w:rPr>
                <w:rFonts w:hint="eastAsia" w:hAnsi="宋体"/>
                <w:sz w:val="24"/>
              </w:rPr>
              <w:t>条</w:t>
            </w:r>
          </w:p>
        </w:tc>
        <w:tc>
          <w:tcPr>
            <w:tcW w:w="3685" w:type="dxa"/>
          </w:tcPr>
          <w:p>
            <w:pPr>
              <w:spacing w:line="360" w:lineRule="auto"/>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307" w:type="dxa"/>
            <w:vMerge w:val="continue"/>
          </w:tcPr>
          <w:p>
            <w:pPr>
              <w:spacing w:line="360" w:lineRule="auto"/>
              <w:rPr>
                <w:rFonts w:hAnsi="宋体"/>
                <w:sz w:val="24"/>
              </w:rPr>
            </w:pPr>
          </w:p>
        </w:tc>
        <w:tc>
          <w:tcPr>
            <w:tcW w:w="1843" w:type="dxa"/>
          </w:tcPr>
          <w:p>
            <w:pPr>
              <w:spacing w:line="360" w:lineRule="auto"/>
              <w:rPr>
                <w:rFonts w:hAnsi="宋体"/>
                <w:sz w:val="24"/>
              </w:rPr>
            </w:pPr>
            <w:r>
              <w:rPr>
                <w:rFonts w:hAnsi="宋体"/>
                <w:sz w:val="24"/>
              </w:rPr>
              <w:t>10.1.7</w:t>
            </w:r>
            <w:r>
              <w:rPr>
                <w:rFonts w:hint="eastAsia" w:hAnsi="宋体"/>
                <w:sz w:val="24"/>
              </w:rPr>
              <w:t>条</w:t>
            </w:r>
          </w:p>
        </w:tc>
        <w:tc>
          <w:tcPr>
            <w:tcW w:w="3685" w:type="dxa"/>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spacing w:line="360" w:lineRule="auto"/>
              <w:rPr>
                <w:rFonts w:hAnsi="宋体"/>
                <w:sz w:val="24"/>
              </w:rPr>
            </w:pPr>
            <w:r>
              <w:rPr>
                <w:rFonts w:hint="eastAsia" w:hAnsi="宋体"/>
                <w:sz w:val="24"/>
              </w:rPr>
              <w:t>依据材料</w:t>
            </w:r>
          </w:p>
        </w:tc>
        <w:tc>
          <w:tcPr>
            <w:tcW w:w="7835"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设计人员依据项目实施的建筑总平面图、总图的竖向及景观设计文件，根据项目实际情况，填写此项内容。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spacing w:line="360" w:lineRule="auto"/>
              <w:rPr>
                <w:rFonts w:hAnsi="宋体"/>
                <w:sz w:val="24"/>
              </w:rPr>
            </w:pPr>
            <w:r>
              <w:rPr>
                <w:rFonts w:hint="eastAsia" w:hAnsi="宋体"/>
                <w:sz w:val="24"/>
              </w:rPr>
              <w:t>备注</w:t>
            </w:r>
          </w:p>
        </w:tc>
        <w:tc>
          <w:tcPr>
            <w:tcW w:w="7835"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阳台、外窗、窗台、防护栏杆等强化防坠设计有利于降低坠物伤人风险，阳台外窗采用高窗设计、限制窗扇开启角度、窗台与绿化种植整合设计、适度减少防护栏杆垂直杆件水平净距、安装隐形防盗网等措施，防止物品坠落伤人。此外，外窗的安全防护可与纱窗等相结合，既可以防坠物伤人，还可以防蚊防盗。</w:t>
            </w:r>
          </w:p>
          <w:p>
            <w:pPr>
              <w:autoSpaceDE w:val="0"/>
              <w:autoSpaceDN w:val="0"/>
              <w:adjustRightInd w:val="0"/>
              <w:spacing w:line="360" w:lineRule="auto"/>
              <w:ind w:firstLine="480" w:firstLineChars="200"/>
              <w:jc w:val="left"/>
              <w:rPr>
                <w:rFonts w:hAnsi="宋体"/>
                <w:sz w:val="24"/>
              </w:rPr>
            </w:pPr>
            <w:r>
              <w:rPr>
                <w:rFonts w:hint="eastAsia" w:hAnsi="宋体"/>
                <w:sz w:val="24"/>
              </w:rPr>
              <w:t>建筑防滑地面工程对于保证人身安全至关重要。光亮、光滑的室内地面，因雨雪天气造成的室外湿滑地面和浴室、厕所等湿滑地面极易导致伤害事故。按现行行业标准《建筑地面工程防滑技术规程》JGJ/T 331的规定，Aw、Bw、Cw、Dw分别表示潮湿地面防滑安全程度为高级、中高级、中级、低级，Ad、Bd、Cd、Dd分别表示干态地面防滑安全程度为高级、中高级、中级、低级。</w:t>
            </w:r>
          </w:p>
        </w:tc>
      </w:tr>
    </w:tbl>
    <w:p>
      <w:pPr>
        <w:spacing w:line="360" w:lineRule="auto"/>
        <w:rPr>
          <w:rFonts w:hAnsi="宋体"/>
          <w:sz w:val="24"/>
        </w:rPr>
      </w:pPr>
      <w:r>
        <w:rPr>
          <w:rFonts w:hint="eastAsia" w:hAnsi="宋体"/>
          <w:sz w:val="24"/>
        </w:rPr>
        <w:t>6</w:t>
      </w:r>
      <w:r>
        <w:rPr>
          <w:rFonts w:hAnsi="宋体"/>
          <w:sz w:val="24"/>
        </w:rPr>
        <w:t xml:space="preserve">.6 </w:t>
      </w:r>
      <w:r>
        <w:rPr>
          <w:rFonts w:hint="eastAsia" w:hAnsi="宋体"/>
          <w:sz w:val="24"/>
        </w:rPr>
        <w:t>室外吸烟区设置；</w:t>
      </w:r>
    </w:p>
    <w:p>
      <w:pPr>
        <w:spacing w:line="360" w:lineRule="auto"/>
        <w:rPr>
          <w:rFonts w:hAnsi="宋体"/>
          <w:sz w:val="24"/>
        </w:rPr>
      </w:pPr>
      <w:r>
        <w:rPr>
          <w:rFonts w:hint="eastAsia" w:hAnsi="宋体"/>
          <w:sz w:val="24"/>
        </w:rPr>
        <w:t>6</w:t>
      </w:r>
      <w:r>
        <w:rPr>
          <w:rFonts w:hAnsi="宋体"/>
          <w:sz w:val="24"/>
        </w:rPr>
        <w:t xml:space="preserve">.7 </w:t>
      </w:r>
      <w:r>
        <w:rPr>
          <w:rFonts w:hint="eastAsia" w:hAnsi="宋体"/>
          <w:sz w:val="24"/>
        </w:rPr>
        <w:t>场地内设计安全防护的警示和引导标识系统；</w:t>
      </w:r>
    </w:p>
    <w:p>
      <w:pPr>
        <w:spacing w:line="360" w:lineRule="auto"/>
        <w:rPr>
          <w:rFonts w:hAnsi="宋体"/>
          <w:sz w:val="24"/>
        </w:rPr>
      </w:pPr>
      <w:r>
        <w:rPr>
          <w:rFonts w:hint="eastAsia" w:hAnsi="宋体"/>
          <w:sz w:val="24"/>
        </w:rPr>
        <w:t>6</w:t>
      </w:r>
      <w:r>
        <w:rPr>
          <w:rFonts w:hAnsi="宋体"/>
          <w:sz w:val="24"/>
        </w:rPr>
        <w:t xml:space="preserve">.8 </w:t>
      </w:r>
      <w:r>
        <w:rPr>
          <w:rFonts w:hint="eastAsia" w:hAnsi="宋体"/>
          <w:sz w:val="24"/>
        </w:rPr>
        <w:t>场地内设置便于识别和使用的标识系统。</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5"/>
        <w:gridCol w:w="2165"/>
        <w:gridCol w:w="1985"/>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restart"/>
          </w:tcPr>
          <w:p>
            <w:pPr>
              <w:spacing w:line="360" w:lineRule="auto"/>
              <w:rPr>
                <w:rFonts w:hAnsi="宋体"/>
                <w:sz w:val="24"/>
              </w:rPr>
            </w:pPr>
            <w:r>
              <w:rPr>
                <w:rFonts w:hint="eastAsia" w:hAnsi="宋体"/>
                <w:sz w:val="24"/>
              </w:rPr>
              <w:t>条文来源</w:t>
            </w:r>
          </w:p>
        </w:tc>
        <w:tc>
          <w:tcPr>
            <w:tcW w:w="2165" w:type="dxa"/>
            <w:vMerge w:val="restart"/>
          </w:tcPr>
          <w:p>
            <w:pPr>
              <w:spacing w:line="360" w:lineRule="auto"/>
              <w:rPr>
                <w:rFonts w:hAnsi="宋体"/>
                <w:sz w:val="24"/>
              </w:rPr>
            </w:pPr>
            <w:r>
              <w:rPr>
                <w:rFonts w:hint="eastAsia" w:hAnsi="宋体"/>
                <w:sz w:val="24"/>
              </w:rPr>
              <w:t>GB/T 50378-201</w:t>
            </w:r>
            <w:r>
              <w:rPr>
                <w:rFonts w:hAnsi="宋体"/>
                <w:sz w:val="24"/>
              </w:rPr>
              <w:t>9</w:t>
            </w:r>
          </w:p>
        </w:tc>
        <w:tc>
          <w:tcPr>
            <w:tcW w:w="1985" w:type="dxa"/>
          </w:tcPr>
          <w:p>
            <w:pPr>
              <w:spacing w:line="360" w:lineRule="auto"/>
              <w:rPr>
                <w:rFonts w:hAnsi="宋体"/>
                <w:sz w:val="24"/>
              </w:rPr>
            </w:pPr>
            <w:r>
              <w:rPr>
                <w:rFonts w:hAnsi="宋体"/>
                <w:sz w:val="24"/>
              </w:rPr>
              <w:t>4.1.8</w:t>
            </w:r>
            <w:r>
              <w:rPr>
                <w:rFonts w:hint="eastAsia" w:hAnsi="宋体"/>
                <w:sz w:val="24"/>
              </w:rPr>
              <w:t>条</w:t>
            </w:r>
          </w:p>
        </w:tc>
        <w:tc>
          <w:tcPr>
            <w:tcW w:w="3685" w:type="dxa"/>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continue"/>
          </w:tcPr>
          <w:p>
            <w:pPr>
              <w:spacing w:line="360" w:lineRule="auto"/>
              <w:rPr>
                <w:rFonts w:hAnsi="宋体"/>
                <w:sz w:val="24"/>
              </w:rPr>
            </w:pPr>
          </w:p>
        </w:tc>
        <w:tc>
          <w:tcPr>
            <w:tcW w:w="1985" w:type="dxa"/>
          </w:tcPr>
          <w:p>
            <w:pPr>
              <w:spacing w:line="360" w:lineRule="auto"/>
              <w:rPr>
                <w:rFonts w:hAnsi="宋体"/>
                <w:sz w:val="24"/>
              </w:rPr>
            </w:pPr>
            <w:r>
              <w:rPr>
                <w:rFonts w:hAnsi="宋体"/>
                <w:sz w:val="24"/>
              </w:rPr>
              <w:t>5.1.1</w:t>
            </w:r>
            <w:r>
              <w:rPr>
                <w:rFonts w:hint="eastAsia" w:hAnsi="宋体"/>
                <w:sz w:val="24"/>
              </w:rPr>
              <w:t>条</w:t>
            </w:r>
          </w:p>
        </w:tc>
        <w:tc>
          <w:tcPr>
            <w:tcW w:w="3685" w:type="dxa"/>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continue"/>
          </w:tcPr>
          <w:p>
            <w:pPr>
              <w:spacing w:line="360" w:lineRule="auto"/>
              <w:rPr>
                <w:rFonts w:hAnsi="宋体"/>
                <w:sz w:val="24"/>
              </w:rPr>
            </w:pPr>
          </w:p>
        </w:tc>
        <w:tc>
          <w:tcPr>
            <w:tcW w:w="1985" w:type="dxa"/>
          </w:tcPr>
          <w:p>
            <w:pPr>
              <w:spacing w:line="360" w:lineRule="auto"/>
              <w:rPr>
                <w:rFonts w:hAnsi="宋体"/>
                <w:sz w:val="24"/>
              </w:rPr>
            </w:pPr>
            <w:r>
              <w:rPr>
                <w:rFonts w:hint="eastAsia" w:hAnsi="宋体"/>
                <w:sz w:val="24"/>
              </w:rPr>
              <w:t>8</w:t>
            </w:r>
            <w:r>
              <w:rPr>
                <w:rFonts w:hAnsi="宋体"/>
                <w:sz w:val="24"/>
              </w:rPr>
              <w:t>.1.5</w:t>
            </w:r>
            <w:r>
              <w:rPr>
                <w:rFonts w:hint="eastAsia" w:hAnsi="宋体"/>
                <w:sz w:val="24"/>
              </w:rPr>
              <w:t>条</w:t>
            </w:r>
          </w:p>
        </w:tc>
        <w:tc>
          <w:tcPr>
            <w:tcW w:w="3685" w:type="dxa"/>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continue"/>
          </w:tcPr>
          <w:p>
            <w:pPr>
              <w:spacing w:line="360" w:lineRule="auto"/>
              <w:rPr>
                <w:rFonts w:hAnsi="宋体"/>
                <w:sz w:val="24"/>
              </w:rPr>
            </w:pPr>
          </w:p>
        </w:tc>
        <w:tc>
          <w:tcPr>
            <w:tcW w:w="1985" w:type="dxa"/>
          </w:tcPr>
          <w:p>
            <w:pPr>
              <w:spacing w:line="360" w:lineRule="auto"/>
              <w:rPr>
                <w:rFonts w:hAnsi="宋体"/>
                <w:sz w:val="24"/>
              </w:rPr>
            </w:pPr>
            <w:r>
              <w:rPr>
                <w:rFonts w:hAnsi="宋体"/>
                <w:sz w:val="24"/>
              </w:rPr>
              <w:t>8.2.4</w:t>
            </w:r>
            <w:r>
              <w:rPr>
                <w:rFonts w:hint="eastAsia" w:hAnsi="宋体"/>
                <w:sz w:val="24"/>
              </w:rPr>
              <w:t>条-</w:t>
            </w:r>
            <w:r>
              <w:rPr>
                <w:rFonts w:hAnsi="宋体"/>
                <w:sz w:val="24"/>
              </w:rPr>
              <w:t>2</w:t>
            </w:r>
          </w:p>
        </w:tc>
        <w:tc>
          <w:tcPr>
            <w:tcW w:w="3685" w:type="dxa"/>
          </w:tcPr>
          <w:p>
            <w:pPr>
              <w:spacing w:line="360" w:lineRule="auto"/>
              <w:rPr>
                <w:rFonts w:hAnsi="宋体"/>
                <w:sz w:val="24"/>
              </w:rPr>
            </w:pPr>
            <w:r>
              <w:rPr>
                <w:rFonts w:hint="eastAsia" w:hAnsi="宋体"/>
                <w:sz w:val="24"/>
              </w:rPr>
              <w:t xml:space="preserve">4分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985" w:type="dxa"/>
          </w:tcPr>
          <w:p>
            <w:pPr>
              <w:spacing w:line="360" w:lineRule="auto"/>
              <w:rPr>
                <w:rFonts w:hAnsi="宋体"/>
                <w:sz w:val="24"/>
              </w:rPr>
            </w:pPr>
            <w:r>
              <w:rPr>
                <w:rFonts w:hint="eastAsia" w:hAnsi="宋体"/>
                <w:sz w:val="24"/>
              </w:rPr>
              <w:t>4.2.1</w:t>
            </w:r>
            <w:r>
              <w:rPr>
                <w:rFonts w:hAnsi="宋体"/>
                <w:sz w:val="24"/>
              </w:rPr>
              <w:t>3</w:t>
            </w:r>
            <w:r>
              <w:rPr>
                <w:rFonts w:hint="eastAsia" w:hAnsi="宋体"/>
                <w:sz w:val="24"/>
              </w:rPr>
              <w:t>条-</w:t>
            </w:r>
            <w:r>
              <w:rPr>
                <w:rFonts w:hAnsi="宋体"/>
                <w:sz w:val="24"/>
              </w:rPr>
              <w:t>2</w:t>
            </w:r>
          </w:p>
        </w:tc>
        <w:tc>
          <w:tcPr>
            <w:tcW w:w="3685"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continue"/>
          </w:tcPr>
          <w:p>
            <w:pPr>
              <w:spacing w:line="360" w:lineRule="auto"/>
              <w:rPr>
                <w:rFonts w:hAnsi="宋体"/>
                <w:sz w:val="24"/>
              </w:rPr>
            </w:pPr>
          </w:p>
        </w:tc>
        <w:tc>
          <w:tcPr>
            <w:tcW w:w="1985" w:type="dxa"/>
          </w:tcPr>
          <w:p>
            <w:pPr>
              <w:spacing w:line="360" w:lineRule="auto"/>
              <w:rPr>
                <w:rFonts w:hAnsi="宋体"/>
                <w:sz w:val="24"/>
              </w:rPr>
            </w:pPr>
            <w:r>
              <w:rPr>
                <w:rFonts w:hint="eastAsia" w:hAnsi="宋体"/>
                <w:sz w:val="24"/>
              </w:rPr>
              <w:t>4.2.1</w:t>
            </w:r>
            <w:r>
              <w:rPr>
                <w:rFonts w:hAnsi="宋体"/>
                <w:sz w:val="24"/>
              </w:rPr>
              <w:t>5</w:t>
            </w:r>
            <w:r>
              <w:rPr>
                <w:rFonts w:hint="eastAsia" w:hAnsi="宋体"/>
                <w:sz w:val="24"/>
              </w:rPr>
              <w:t>条</w:t>
            </w:r>
          </w:p>
        </w:tc>
        <w:tc>
          <w:tcPr>
            <w:tcW w:w="3685"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continue"/>
          </w:tcPr>
          <w:p>
            <w:pPr>
              <w:spacing w:line="360" w:lineRule="auto"/>
              <w:rPr>
                <w:rFonts w:hAnsi="宋体"/>
                <w:sz w:val="24"/>
              </w:rPr>
            </w:pPr>
          </w:p>
        </w:tc>
        <w:tc>
          <w:tcPr>
            <w:tcW w:w="1985" w:type="dxa"/>
          </w:tcPr>
          <w:p>
            <w:pPr>
              <w:spacing w:line="360" w:lineRule="auto"/>
              <w:rPr>
                <w:rFonts w:hAnsi="宋体"/>
                <w:sz w:val="24"/>
              </w:rPr>
            </w:pPr>
            <w:r>
              <w:rPr>
                <w:rFonts w:hint="eastAsia" w:hAnsi="宋体"/>
                <w:sz w:val="24"/>
              </w:rPr>
              <w:t>4</w:t>
            </w:r>
            <w:r>
              <w:rPr>
                <w:rFonts w:hAnsi="宋体"/>
                <w:sz w:val="24"/>
              </w:rPr>
              <w:t>.3.5</w:t>
            </w:r>
            <w:r>
              <w:rPr>
                <w:rFonts w:hint="eastAsia" w:hAnsi="宋体"/>
                <w:sz w:val="24"/>
              </w:rPr>
              <w:t>条-</w:t>
            </w:r>
            <w:r>
              <w:rPr>
                <w:rFonts w:hAnsi="宋体"/>
                <w:sz w:val="24"/>
              </w:rPr>
              <w:t>2</w:t>
            </w:r>
          </w:p>
        </w:tc>
        <w:tc>
          <w:tcPr>
            <w:tcW w:w="3685" w:type="dxa"/>
          </w:tcPr>
          <w:p>
            <w:pPr>
              <w:spacing w:line="360" w:lineRule="auto"/>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continue"/>
          </w:tcPr>
          <w:p>
            <w:pPr>
              <w:spacing w:line="360" w:lineRule="auto"/>
              <w:rPr>
                <w:rFonts w:hAnsi="宋体"/>
                <w:sz w:val="24"/>
              </w:rPr>
            </w:pPr>
          </w:p>
        </w:tc>
        <w:tc>
          <w:tcPr>
            <w:tcW w:w="1985" w:type="dxa"/>
          </w:tcPr>
          <w:p>
            <w:pPr>
              <w:spacing w:line="360" w:lineRule="auto"/>
              <w:rPr>
                <w:rFonts w:hAnsi="宋体"/>
                <w:sz w:val="24"/>
              </w:rPr>
            </w:pPr>
            <w:r>
              <w:rPr>
                <w:rFonts w:hAnsi="宋体"/>
                <w:sz w:val="24"/>
              </w:rPr>
              <w:t>4.3.7</w:t>
            </w:r>
            <w:r>
              <w:rPr>
                <w:rFonts w:hint="eastAsia" w:hAnsi="宋体"/>
                <w:sz w:val="24"/>
              </w:rPr>
              <w:t>条</w:t>
            </w:r>
          </w:p>
        </w:tc>
        <w:tc>
          <w:tcPr>
            <w:tcW w:w="3685" w:type="dxa"/>
          </w:tcPr>
          <w:p>
            <w:pPr>
              <w:spacing w:line="360" w:lineRule="auto"/>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spacing w:line="360" w:lineRule="auto"/>
              <w:rPr>
                <w:rFonts w:hAnsi="宋体"/>
                <w:sz w:val="24"/>
              </w:rPr>
            </w:pPr>
            <w:r>
              <w:rPr>
                <w:rFonts w:hint="eastAsia" w:hAnsi="宋体"/>
                <w:sz w:val="24"/>
              </w:rPr>
              <w:t>依据材料</w:t>
            </w:r>
          </w:p>
        </w:tc>
        <w:tc>
          <w:tcPr>
            <w:tcW w:w="7835"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设计人员依据项目实施的建筑总平面图等相关设计文件、标识系统设计与设置说明文件等相关说明文件(装修材料种类、用量，禁止吸烟措施)、预评估分析报告，根据项目实际情况，填写此项内容。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spacing w:line="360" w:lineRule="auto"/>
              <w:rPr>
                <w:rFonts w:hAnsi="宋体"/>
                <w:sz w:val="24"/>
              </w:rPr>
            </w:pPr>
            <w:r>
              <w:rPr>
                <w:rFonts w:hint="eastAsia" w:hAnsi="宋体"/>
                <w:sz w:val="24"/>
              </w:rPr>
              <w:t>备注</w:t>
            </w:r>
          </w:p>
        </w:tc>
        <w:tc>
          <w:tcPr>
            <w:tcW w:w="7835"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GB/T 50378-201</w:t>
            </w:r>
            <w:r>
              <w:rPr>
                <w:rFonts w:hAnsi="宋体"/>
                <w:sz w:val="24"/>
              </w:rPr>
              <w:t>9</w:t>
            </w:r>
            <w:r>
              <w:rPr>
                <w:rFonts w:hint="eastAsia" w:hAnsi="宋体"/>
                <w:sz w:val="24"/>
              </w:rPr>
              <w:t>第5．1．1条规定了室内禁止吸烟，同时需要为“烟民”设置专门的室外吸烟区，有效地引导有吸烟习惯的人群，走出室内，在规定的合理范围内吸烟，做到“疏堵结合”。吸烟区内须配置垃圾筒和吸烟有害健康的警示标识。</w:t>
            </w:r>
          </w:p>
          <w:p>
            <w:pPr>
              <w:autoSpaceDE w:val="0"/>
              <w:autoSpaceDN w:val="0"/>
              <w:adjustRightInd w:val="0"/>
              <w:spacing w:line="360" w:lineRule="auto"/>
              <w:ind w:firstLine="480" w:firstLineChars="200"/>
              <w:jc w:val="left"/>
              <w:rPr>
                <w:rFonts w:hAnsi="宋体"/>
                <w:sz w:val="24"/>
              </w:rPr>
            </w:pPr>
            <w:r>
              <w:rPr>
                <w:rFonts w:hint="eastAsia" w:hAnsi="宋体"/>
                <w:sz w:val="24"/>
              </w:rPr>
              <w:t>同时，为便于标识识别，应在场地内显著位置上设置标识，标识应反映一定区域范围内的建筑与设施分布情况，并提示当前位置等。建筑及场地的标识应沿通行路径布置，构成完整和连续的引导系统。</w:t>
            </w:r>
          </w:p>
        </w:tc>
      </w:tr>
    </w:tbl>
    <w:p>
      <w:pPr>
        <w:spacing w:line="360" w:lineRule="auto"/>
        <w:rPr>
          <w:rFonts w:hAnsi="宋体"/>
          <w:sz w:val="24"/>
        </w:rPr>
      </w:pPr>
    </w:p>
    <w:p>
      <w:pPr>
        <w:pStyle w:val="271"/>
        <w:numPr>
          <w:ilvl w:val="0"/>
          <w:numId w:val="44"/>
        </w:numPr>
        <w:spacing w:line="360" w:lineRule="auto"/>
        <w:ind w:firstLineChars="0"/>
        <w:rPr>
          <w:rFonts w:hAnsi="宋体"/>
          <w:sz w:val="24"/>
        </w:rPr>
      </w:pPr>
      <w:r>
        <w:rPr>
          <w:rFonts w:hint="eastAsia" w:hAnsi="宋体"/>
          <w:b/>
          <w:sz w:val="24"/>
        </w:rPr>
        <w:t>场地声环境：</w:t>
      </w:r>
    </w:p>
    <w:p>
      <w:pPr>
        <w:spacing w:line="360" w:lineRule="auto"/>
        <w:rPr>
          <w:rFonts w:hAnsi="宋体"/>
          <w:sz w:val="24"/>
        </w:rPr>
      </w:pPr>
      <w:r>
        <w:rPr>
          <w:rFonts w:hint="eastAsia" w:hAnsi="宋体"/>
          <w:sz w:val="24"/>
        </w:rPr>
        <w:t>7</w:t>
      </w:r>
      <w:r>
        <w:rPr>
          <w:rFonts w:hAnsi="宋体"/>
          <w:sz w:val="24"/>
        </w:rPr>
        <w:t xml:space="preserve">.1 </w:t>
      </w:r>
      <w:r>
        <w:rPr>
          <w:rFonts w:hint="eastAsia" w:hAnsi="宋体"/>
          <w:sz w:val="24"/>
        </w:rPr>
        <w:t>场地声环境设计符合现行国家标准《声环境质量标准》GB 3096 的要求；</w:t>
      </w:r>
    </w:p>
    <w:p>
      <w:pPr>
        <w:spacing w:line="360" w:lineRule="auto"/>
        <w:rPr>
          <w:rFonts w:hAnsi="宋体"/>
          <w:sz w:val="24"/>
        </w:rPr>
      </w:pPr>
      <w:r>
        <w:rPr>
          <w:rFonts w:hint="eastAsia" w:hAnsi="宋体"/>
          <w:sz w:val="24"/>
        </w:rPr>
        <w:t>7</w:t>
      </w:r>
      <w:r>
        <w:rPr>
          <w:rFonts w:hAnsi="宋体"/>
          <w:sz w:val="24"/>
        </w:rPr>
        <w:t xml:space="preserve">.2 </w:t>
      </w:r>
      <w:r>
        <w:rPr>
          <w:rFonts w:hint="eastAsia" w:hAnsi="宋体"/>
          <w:sz w:val="24"/>
        </w:rPr>
        <w:t>场地环境噪声值不大于现行国家标准《声环境质量标准》GB 3096的声环境功能区标准限值；</w:t>
      </w:r>
    </w:p>
    <w:p>
      <w:pPr>
        <w:spacing w:line="360" w:lineRule="auto"/>
        <w:rPr>
          <w:rFonts w:hAnsi="宋体"/>
          <w:sz w:val="24"/>
        </w:rPr>
      </w:pPr>
      <w:r>
        <w:rPr>
          <w:rFonts w:hint="eastAsia" w:hAnsi="宋体"/>
          <w:sz w:val="24"/>
        </w:rPr>
        <w:t>7</w:t>
      </w:r>
      <w:r>
        <w:rPr>
          <w:rFonts w:hAnsi="宋体"/>
          <w:sz w:val="24"/>
        </w:rPr>
        <w:t xml:space="preserve">.3 </w:t>
      </w:r>
      <w:r>
        <w:rPr>
          <w:rFonts w:hint="eastAsia" w:hAnsi="宋体"/>
          <w:sz w:val="24"/>
        </w:rPr>
        <w:t>场地内未设置未经有效处理的强噪声源；</w:t>
      </w:r>
    </w:p>
    <w:p>
      <w:pPr>
        <w:spacing w:line="360" w:lineRule="auto"/>
        <w:rPr>
          <w:rFonts w:hAnsi="宋体"/>
          <w:sz w:val="24"/>
        </w:rPr>
      </w:pPr>
      <w:r>
        <w:rPr>
          <w:rFonts w:hint="eastAsia" w:hAnsi="宋体"/>
          <w:sz w:val="24"/>
        </w:rPr>
        <w:t>7</w:t>
      </w:r>
      <w:r>
        <w:rPr>
          <w:rFonts w:hAnsi="宋体"/>
          <w:sz w:val="24"/>
        </w:rPr>
        <w:t>.4</w:t>
      </w:r>
      <w:r>
        <w:rPr>
          <w:rFonts w:hint="eastAsia" w:hAnsi="宋体"/>
          <w:sz w:val="24"/>
        </w:rPr>
        <w:t xml:space="preserve"> 噪声源改善措施：</w:t>
      </w:r>
    </w:p>
    <w:p>
      <w:pPr>
        <w:spacing w:line="360" w:lineRule="auto"/>
        <w:rPr>
          <w:rFonts w:hAnsi="宋体"/>
          <w:sz w:val="24"/>
        </w:rPr>
      </w:pPr>
      <w:r>
        <w:rPr>
          <w:rFonts w:hint="eastAsia" w:hAnsi="宋体"/>
          <w:sz w:val="24"/>
        </w:rPr>
        <w:t>7</w:t>
      </w:r>
      <w:r>
        <w:rPr>
          <w:rFonts w:hAnsi="宋体"/>
          <w:sz w:val="24"/>
        </w:rPr>
        <w:t xml:space="preserve">.4.1 </w:t>
      </w:r>
      <w:r>
        <w:rPr>
          <w:rFonts w:hint="eastAsia" w:hAnsi="宋体"/>
          <w:sz w:val="24"/>
        </w:rPr>
        <w:t>对固定噪声源采用适当的隔声和降噪措施；</w:t>
      </w:r>
    </w:p>
    <w:p>
      <w:pPr>
        <w:spacing w:line="360" w:lineRule="auto"/>
        <w:rPr>
          <w:rFonts w:hAnsi="宋体"/>
          <w:sz w:val="24"/>
        </w:rPr>
      </w:pPr>
      <w:r>
        <w:rPr>
          <w:rFonts w:hint="eastAsia" w:hAnsi="宋体"/>
          <w:sz w:val="24"/>
        </w:rPr>
        <w:t>7</w:t>
      </w:r>
      <w:r>
        <w:rPr>
          <w:rFonts w:hAnsi="宋体"/>
          <w:sz w:val="24"/>
        </w:rPr>
        <w:t xml:space="preserve">.4.2 </w:t>
      </w:r>
      <w:r>
        <w:rPr>
          <w:rFonts w:hint="eastAsia" w:hAnsi="宋体"/>
          <w:sz w:val="24"/>
        </w:rPr>
        <w:t>对交通干道的噪声采取声屏障或降噪路面等措施；</w:t>
      </w:r>
    </w:p>
    <w:p>
      <w:pPr>
        <w:spacing w:line="360" w:lineRule="auto"/>
        <w:rPr>
          <w:rFonts w:hAnsi="宋体"/>
          <w:sz w:val="24"/>
        </w:rPr>
      </w:pPr>
      <w:r>
        <w:rPr>
          <w:rFonts w:hint="eastAsia" w:hAnsi="宋体"/>
          <w:sz w:val="24"/>
        </w:rPr>
        <w:t>7</w:t>
      </w:r>
      <w:r>
        <w:rPr>
          <w:rFonts w:hAnsi="宋体"/>
          <w:sz w:val="24"/>
        </w:rPr>
        <w:t xml:space="preserve">.4.3 </w:t>
      </w:r>
      <w:r>
        <w:rPr>
          <w:rFonts w:hint="eastAsia" w:hAnsi="宋体"/>
          <w:sz w:val="24"/>
        </w:rPr>
        <w:t>将对噪声不明感的建筑物布置在场地内临近交通干道的位置，以形成周边式的声屏障；</w:t>
      </w:r>
    </w:p>
    <w:p>
      <w:pPr>
        <w:spacing w:line="360" w:lineRule="auto"/>
        <w:rPr>
          <w:rFonts w:hAnsi="宋体"/>
          <w:sz w:val="24"/>
        </w:rPr>
      </w:pPr>
      <w:r>
        <w:rPr>
          <w:rFonts w:hint="eastAsia" w:hAnsi="宋体"/>
          <w:sz w:val="24"/>
        </w:rPr>
        <w:t>7</w:t>
      </w:r>
      <w:r>
        <w:rPr>
          <w:rFonts w:hAnsi="宋体"/>
          <w:sz w:val="24"/>
        </w:rPr>
        <w:t xml:space="preserve">.4.4 </w:t>
      </w:r>
      <w:r>
        <w:rPr>
          <w:rFonts w:hint="eastAsia" w:hAnsi="宋体"/>
          <w:sz w:val="24"/>
        </w:rPr>
        <w:t>当建筑相邻高速公路或快速路，且临道路一侧退后道路红线距离小于15m时，或当建筑相邻城市干道，且临道路一侧退后用地红线距离小于12m时，进行噪声专项分析；</w:t>
      </w:r>
    </w:p>
    <w:p>
      <w:pPr>
        <w:spacing w:line="360" w:lineRule="auto"/>
        <w:rPr>
          <w:rFonts w:hAnsi="宋体"/>
          <w:sz w:val="24"/>
        </w:rPr>
      </w:pPr>
      <w:r>
        <w:rPr>
          <w:rFonts w:hint="eastAsia" w:hAnsi="宋体"/>
          <w:sz w:val="24"/>
        </w:rPr>
        <w:t>7</w:t>
      </w:r>
      <w:r>
        <w:rPr>
          <w:rFonts w:hAnsi="宋体"/>
          <w:sz w:val="24"/>
        </w:rPr>
        <w:t xml:space="preserve">.4.5 </w:t>
      </w:r>
      <w:r>
        <w:rPr>
          <w:rFonts w:hint="eastAsia" w:hAnsi="宋体"/>
          <w:sz w:val="24"/>
        </w:rPr>
        <w:t>对声环境要求高的建筑，设置于主要噪声源主导风向的上风侧，并进行噪声专项分析；</w:t>
      </w:r>
      <w:r>
        <w:rPr>
          <w:rFonts w:hAnsi="宋体"/>
          <w:sz w:val="24"/>
        </w:rPr>
        <w:t xml:space="preserve"> </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5"/>
        <w:gridCol w:w="2165"/>
        <w:gridCol w:w="1701"/>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restart"/>
          </w:tcPr>
          <w:p>
            <w:pPr>
              <w:spacing w:line="360" w:lineRule="auto"/>
              <w:rPr>
                <w:rFonts w:hAnsi="宋体"/>
                <w:sz w:val="24"/>
              </w:rPr>
            </w:pPr>
            <w:r>
              <w:rPr>
                <w:rFonts w:hint="eastAsia" w:hAnsi="宋体"/>
                <w:sz w:val="24"/>
              </w:rPr>
              <w:t>条文来源</w:t>
            </w:r>
          </w:p>
        </w:tc>
        <w:tc>
          <w:tcPr>
            <w:tcW w:w="2165" w:type="dxa"/>
          </w:tcPr>
          <w:p>
            <w:pPr>
              <w:spacing w:line="360" w:lineRule="auto"/>
              <w:rPr>
                <w:rFonts w:hAnsi="宋体"/>
                <w:sz w:val="24"/>
              </w:rPr>
            </w:pPr>
            <w:r>
              <w:rPr>
                <w:rFonts w:hint="eastAsia" w:hAnsi="宋体"/>
                <w:sz w:val="24"/>
              </w:rPr>
              <w:t>GB/T 50378-201</w:t>
            </w:r>
            <w:r>
              <w:rPr>
                <w:rFonts w:hAnsi="宋体"/>
                <w:sz w:val="24"/>
              </w:rPr>
              <w:t>9</w:t>
            </w:r>
          </w:p>
        </w:tc>
        <w:tc>
          <w:tcPr>
            <w:tcW w:w="1701" w:type="dxa"/>
          </w:tcPr>
          <w:p>
            <w:pPr>
              <w:spacing w:line="360" w:lineRule="auto"/>
              <w:rPr>
                <w:rFonts w:hAnsi="宋体"/>
                <w:sz w:val="24"/>
              </w:rPr>
            </w:pPr>
            <w:r>
              <w:rPr>
                <w:rFonts w:hAnsi="宋体"/>
                <w:sz w:val="24"/>
              </w:rPr>
              <w:t>8.</w:t>
            </w:r>
            <w:r>
              <w:rPr>
                <w:rFonts w:hint="eastAsia" w:hAnsi="宋体"/>
                <w:sz w:val="24"/>
              </w:rPr>
              <w:t>2.</w:t>
            </w:r>
            <w:r>
              <w:rPr>
                <w:rFonts w:hAnsi="宋体"/>
                <w:sz w:val="24"/>
              </w:rPr>
              <w:t>6</w:t>
            </w:r>
            <w:r>
              <w:rPr>
                <w:rFonts w:hint="eastAsia" w:hAnsi="宋体"/>
                <w:sz w:val="24"/>
              </w:rPr>
              <w:t>条</w:t>
            </w:r>
          </w:p>
        </w:tc>
        <w:tc>
          <w:tcPr>
            <w:tcW w:w="3969" w:type="dxa"/>
          </w:tcPr>
          <w:p>
            <w:pPr>
              <w:spacing w:line="360" w:lineRule="auto"/>
              <w:rPr>
                <w:rFonts w:hAnsi="宋体"/>
                <w:sz w:val="24"/>
              </w:rPr>
            </w:pPr>
            <w:r>
              <w:rPr>
                <w:rFonts w:hint="eastAsia" w:hAnsi="宋体"/>
                <w:sz w:val="24"/>
              </w:rPr>
              <w:t>环境噪声值＞2类声环境功能区标准限值，且≤3类声环境功能区标准限值，5分； 环境噪声值≤2类声环境功能区标准限值，10分。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701" w:type="dxa"/>
          </w:tcPr>
          <w:p>
            <w:pPr>
              <w:spacing w:line="360" w:lineRule="auto"/>
              <w:rPr>
                <w:rFonts w:hAnsi="宋体"/>
                <w:sz w:val="24"/>
              </w:rPr>
            </w:pPr>
            <w:r>
              <w:rPr>
                <w:rFonts w:hAnsi="宋体"/>
                <w:sz w:val="24"/>
              </w:rPr>
              <w:t>4.</w:t>
            </w:r>
            <w:r>
              <w:rPr>
                <w:rFonts w:hint="eastAsia" w:hAnsi="宋体"/>
                <w:sz w:val="24"/>
              </w:rPr>
              <w:t>2.</w:t>
            </w:r>
            <w:r>
              <w:rPr>
                <w:rFonts w:hAnsi="宋体"/>
                <w:sz w:val="24"/>
              </w:rPr>
              <w:t>8</w:t>
            </w:r>
            <w:r>
              <w:rPr>
                <w:rFonts w:hint="eastAsia" w:hAnsi="宋体"/>
                <w:sz w:val="24"/>
              </w:rPr>
              <w:t>条</w:t>
            </w:r>
          </w:p>
        </w:tc>
        <w:tc>
          <w:tcPr>
            <w:tcW w:w="3969"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4</w:t>
            </w:r>
            <w:r>
              <w:rPr>
                <w:rFonts w:hAnsi="宋体"/>
                <w:sz w:val="24"/>
              </w:rPr>
              <w:t>.3.3</w:t>
            </w:r>
            <w:r>
              <w:rPr>
                <w:rFonts w:hint="eastAsia" w:hAnsi="宋体"/>
                <w:sz w:val="24"/>
              </w:rPr>
              <w:t>条</w:t>
            </w:r>
          </w:p>
        </w:tc>
        <w:tc>
          <w:tcPr>
            <w:tcW w:w="3969" w:type="dxa"/>
          </w:tcPr>
          <w:p>
            <w:pPr>
              <w:spacing w:line="360" w:lineRule="auto"/>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5" w:type="dxa"/>
            <w:vMerge w:val="continue"/>
          </w:tcPr>
          <w:p>
            <w:pPr>
              <w:spacing w:line="360" w:lineRule="auto"/>
              <w:rPr>
                <w:rFonts w:hAnsi="宋体"/>
                <w:sz w:val="24"/>
              </w:rPr>
            </w:pPr>
          </w:p>
        </w:tc>
        <w:tc>
          <w:tcPr>
            <w:tcW w:w="2165"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4</w:t>
            </w:r>
            <w:r>
              <w:rPr>
                <w:rFonts w:hAnsi="宋体"/>
                <w:sz w:val="24"/>
              </w:rPr>
              <w:t>.4.3</w:t>
            </w:r>
            <w:r>
              <w:rPr>
                <w:rFonts w:hint="eastAsia" w:hAnsi="宋体"/>
                <w:sz w:val="24"/>
              </w:rPr>
              <w:t>条</w:t>
            </w:r>
          </w:p>
        </w:tc>
        <w:tc>
          <w:tcPr>
            <w:tcW w:w="3969" w:type="dxa"/>
          </w:tcPr>
          <w:p>
            <w:pPr>
              <w:spacing w:line="360" w:lineRule="auto"/>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spacing w:line="360" w:lineRule="auto"/>
              <w:rPr>
                <w:rFonts w:hAnsi="宋体"/>
                <w:sz w:val="24"/>
              </w:rPr>
            </w:pPr>
            <w:r>
              <w:rPr>
                <w:rFonts w:hint="eastAsia" w:hAnsi="宋体"/>
                <w:sz w:val="24"/>
              </w:rPr>
              <w:t>依据材料</w:t>
            </w:r>
          </w:p>
        </w:tc>
        <w:tc>
          <w:tcPr>
            <w:tcW w:w="7835" w:type="dxa"/>
            <w:gridSpan w:val="3"/>
          </w:tcPr>
          <w:p>
            <w:pPr>
              <w:spacing w:line="360" w:lineRule="auto"/>
              <w:ind w:firstLine="480" w:firstLineChars="200"/>
              <w:rPr>
                <w:rFonts w:hAnsi="宋体"/>
                <w:sz w:val="24"/>
              </w:rPr>
            </w:pPr>
            <w:r>
              <w:rPr>
                <w:rFonts w:hint="eastAsia" w:hAnsi="宋体"/>
                <w:sz w:val="24"/>
              </w:rPr>
              <w:t>设计人员应依据项目的环评报告(含有噪声检测及预测评价或独立的环境噪声影响测试评估报告)、相关设计文件、声环境优化报告、噪声预测分析报告，根据项目情况，填写此项内容。</w:t>
            </w:r>
          </w:p>
          <w:p>
            <w:pPr>
              <w:spacing w:line="360" w:lineRule="auto"/>
              <w:ind w:firstLine="480" w:firstLineChars="200"/>
              <w:rPr>
                <w:rFonts w:hAnsi="宋体"/>
                <w:sz w:val="24"/>
              </w:rPr>
            </w:pPr>
            <w:r>
              <w:rPr>
                <w:rFonts w:hint="eastAsia" w:hAnsi="宋体"/>
                <w:sz w:val="24"/>
              </w:rPr>
              <w:t>如果环评报告中包含噪声预测分析的相关内容，则可不单独提供噪声预测分析报告；如果没有现场测试结果、噪声预测值等，则需单独提供由第三方机构检测的噪声检测报告和（或噪声模拟计算文件）。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5" w:type="dxa"/>
          </w:tcPr>
          <w:p>
            <w:pPr>
              <w:spacing w:line="360" w:lineRule="auto"/>
              <w:rPr>
                <w:rFonts w:hAnsi="宋体"/>
                <w:sz w:val="24"/>
              </w:rPr>
            </w:pPr>
            <w:r>
              <w:rPr>
                <w:rFonts w:hint="eastAsia" w:hAnsi="宋体"/>
                <w:sz w:val="24"/>
              </w:rPr>
              <w:t>备注</w:t>
            </w:r>
          </w:p>
        </w:tc>
        <w:tc>
          <w:tcPr>
            <w:tcW w:w="7835" w:type="dxa"/>
            <w:gridSpan w:val="3"/>
          </w:tcPr>
          <w:p>
            <w:pPr>
              <w:spacing w:line="360" w:lineRule="auto"/>
              <w:ind w:firstLine="480" w:firstLineChars="200"/>
              <w:rPr>
                <w:rFonts w:hAnsi="宋体"/>
                <w:sz w:val="24"/>
              </w:rPr>
            </w:pPr>
            <w:r>
              <w:rPr>
                <w:rFonts w:hint="eastAsia" w:hAnsi="宋体"/>
                <w:sz w:val="24"/>
              </w:rPr>
              <w:t>绿色建筑设计应对场地周边的噪声现状进行检测，并对规划实施后的环境噪声进行预测，必要时采取有效措施改善环境噪声状况，使之符合现行国家标准《声环境质量标准》</w:t>
            </w:r>
            <w:r>
              <w:rPr>
                <w:rFonts w:hAnsi="宋体"/>
                <w:sz w:val="24"/>
              </w:rPr>
              <w:t>GB 3096</w:t>
            </w:r>
            <w:r>
              <w:rPr>
                <w:rFonts w:hint="eastAsia" w:hAnsi="宋体"/>
                <w:sz w:val="24"/>
              </w:rPr>
              <w:t>中对于不同声环境功能区噪声标准的规定。当拟建噪声敏感建筑不能避免临近交通干线，或不能远离固定的设备噪声源时，需要采取措施降低噪声干扰。</w:t>
            </w:r>
          </w:p>
          <w:p>
            <w:pPr>
              <w:spacing w:line="360" w:lineRule="auto"/>
              <w:ind w:firstLine="480" w:firstLineChars="200"/>
              <w:rPr>
                <w:rFonts w:hAnsi="宋体"/>
                <w:sz w:val="24"/>
              </w:rPr>
            </w:pPr>
            <w:r>
              <w:rPr>
                <w:rFonts w:hint="eastAsia" w:hAnsi="宋体"/>
                <w:sz w:val="24"/>
              </w:rPr>
              <w:t>需要说明的是，噪声监测的现状值仅作为参考，需结合场地环境条件的变化（如道路车流量的增长）进行对应的噪声改变情况预测。</w:t>
            </w:r>
          </w:p>
          <w:p>
            <w:pPr>
              <w:spacing w:line="360" w:lineRule="auto"/>
              <w:ind w:firstLine="480" w:firstLineChars="200"/>
              <w:rPr>
                <w:rFonts w:hAnsi="宋体"/>
                <w:sz w:val="24"/>
              </w:rPr>
            </w:pPr>
            <w:r>
              <w:rPr>
                <w:rFonts w:hint="eastAsia" w:hAnsi="宋体"/>
                <w:sz w:val="24"/>
              </w:rPr>
              <w:t>采用适当的隔离或降噪措施，如道路声屏障、低噪声路面、绿化降噪、限制重载车通行等隔离和降噪措施，减少环境噪声干扰。对于可能产生噪声干扰的固定的设备噪声源采取隔声和消声措施，降低环境噪声。</w:t>
            </w:r>
          </w:p>
          <w:p>
            <w:pPr>
              <w:spacing w:line="360" w:lineRule="auto"/>
              <w:ind w:firstLine="480" w:firstLineChars="200"/>
              <w:rPr>
                <w:rFonts w:hAnsi="宋体"/>
                <w:sz w:val="24"/>
              </w:rPr>
            </w:pPr>
            <w:r>
              <w:rPr>
                <w:rFonts w:hint="eastAsia" w:hAnsi="宋体"/>
                <w:sz w:val="24"/>
              </w:rPr>
              <w:t>当拟建噪声敏感建筑不能避免临近交通干线，或不能远离固定的设备噪声源时，应采取建筑隔声等措施来降低噪声干扰。</w:t>
            </w:r>
          </w:p>
          <w:p>
            <w:pPr>
              <w:spacing w:line="360" w:lineRule="auto"/>
              <w:ind w:firstLine="480" w:firstLineChars="200"/>
              <w:rPr>
                <w:rFonts w:hAnsi="宋体"/>
                <w:sz w:val="24"/>
              </w:rPr>
            </w:pPr>
            <w:r>
              <w:rPr>
                <w:rFonts w:hint="eastAsia" w:hAnsi="宋体"/>
                <w:sz w:val="24"/>
              </w:rPr>
              <w:t>声屏障是指在声源与承受接收者之间插人的一个设施，使声波的传播有一个显著的附加衰减，从而减弱了接收者所在一定区域内的噪声影响，这一设施就叫声屏障。声屏障主要用于高速公路、高架桥道路、城市轻轨地铁以及铁路等交通市政设施中的降噪处理，也可应用于工矿企业和大冷却设备等噪声产生源的降噪处理。</w:t>
            </w:r>
          </w:p>
          <w:p>
            <w:pPr>
              <w:spacing w:line="360" w:lineRule="auto"/>
              <w:ind w:firstLine="480" w:firstLineChars="200"/>
              <w:rPr>
                <w:rFonts w:hAnsi="宋体"/>
                <w:sz w:val="24"/>
              </w:rPr>
            </w:pPr>
            <w:r>
              <w:rPr>
                <w:rFonts w:hint="eastAsia" w:hAnsi="宋体"/>
                <w:sz w:val="24"/>
              </w:rPr>
              <w:t>噪声不敏感的建筑包括超市、餐饮、娱乐等。</w:t>
            </w:r>
          </w:p>
        </w:tc>
      </w:tr>
    </w:tbl>
    <w:p>
      <w:pPr>
        <w:spacing w:line="360" w:lineRule="auto"/>
        <w:rPr>
          <w:rFonts w:hAnsi="宋体"/>
          <w:sz w:val="24"/>
        </w:rPr>
      </w:pPr>
    </w:p>
    <w:p>
      <w:pPr>
        <w:pStyle w:val="271"/>
        <w:numPr>
          <w:ilvl w:val="0"/>
          <w:numId w:val="44"/>
        </w:numPr>
        <w:spacing w:line="360" w:lineRule="auto"/>
        <w:ind w:firstLineChars="0"/>
        <w:rPr>
          <w:rFonts w:hAnsi="宋体"/>
          <w:b/>
          <w:sz w:val="24"/>
        </w:rPr>
      </w:pPr>
      <w:r>
        <w:rPr>
          <w:rFonts w:hint="eastAsia" w:hAnsi="宋体"/>
          <w:b/>
          <w:sz w:val="24"/>
        </w:rPr>
        <w:t>场地风环境：</w:t>
      </w:r>
    </w:p>
    <w:p>
      <w:pPr>
        <w:spacing w:line="360" w:lineRule="auto"/>
        <w:rPr>
          <w:rFonts w:hAnsi="宋体"/>
          <w:sz w:val="24"/>
        </w:rPr>
      </w:pPr>
      <w:r>
        <w:rPr>
          <w:rFonts w:hint="eastAsia" w:hAnsi="宋体"/>
          <w:sz w:val="24"/>
        </w:rPr>
        <w:t>8</w:t>
      </w:r>
      <w:r>
        <w:rPr>
          <w:rFonts w:hAnsi="宋体"/>
          <w:sz w:val="24"/>
        </w:rPr>
        <w:t>.1</w:t>
      </w:r>
      <w:r>
        <w:rPr>
          <w:rFonts w:hint="eastAsia" w:hAnsi="宋体"/>
          <w:sz w:val="24"/>
        </w:rPr>
        <w:t xml:space="preserve"> 总平面设计对场地风环境进行模拟预测，优化建筑布局；</w:t>
      </w:r>
    </w:p>
    <w:p>
      <w:pPr>
        <w:spacing w:line="360" w:lineRule="auto"/>
        <w:rPr>
          <w:rFonts w:hAnsi="宋体"/>
          <w:sz w:val="24"/>
        </w:rPr>
      </w:pPr>
      <w:r>
        <w:rPr>
          <w:rFonts w:hint="eastAsia" w:hAnsi="宋体"/>
          <w:sz w:val="24"/>
        </w:rPr>
        <w:t>8</w:t>
      </w:r>
      <w:r>
        <w:rPr>
          <w:rFonts w:hAnsi="宋体"/>
          <w:sz w:val="24"/>
        </w:rPr>
        <w:t>.2</w:t>
      </w:r>
      <w:r>
        <w:rPr>
          <w:rFonts w:hint="eastAsia" w:hAnsi="宋体"/>
          <w:sz w:val="24"/>
        </w:rPr>
        <w:t xml:space="preserve"> 冬季典型风速和风向条件下，建筑物周围人行区1</w:t>
      </w:r>
      <w:r>
        <w:rPr>
          <w:rFonts w:hAnsi="宋体"/>
          <w:sz w:val="24"/>
        </w:rPr>
        <w:t>.5</w:t>
      </w:r>
      <w:r>
        <w:rPr>
          <w:rFonts w:hint="eastAsia" w:hAnsi="宋体"/>
          <w:sz w:val="24"/>
        </w:rPr>
        <w:t>m处风速小于5</w:t>
      </w:r>
      <w:r>
        <w:rPr>
          <w:rFonts w:hAnsi="宋体"/>
          <w:sz w:val="24"/>
        </w:rPr>
        <w:t>m/s</w:t>
      </w:r>
      <w:r>
        <w:rPr>
          <w:rFonts w:hint="eastAsia" w:hAnsi="宋体"/>
          <w:sz w:val="24"/>
        </w:rPr>
        <w:t>；</w:t>
      </w:r>
    </w:p>
    <w:p>
      <w:pPr>
        <w:spacing w:line="360" w:lineRule="auto"/>
        <w:rPr>
          <w:rFonts w:hAnsi="宋体"/>
          <w:sz w:val="24"/>
        </w:rPr>
      </w:pPr>
      <w:r>
        <w:rPr>
          <w:rFonts w:hint="eastAsia" w:hAnsi="宋体"/>
          <w:sz w:val="24"/>
        </w:rPr>
        <w:t>8</w:t>
      </w:r>
      <w:r>
        <w:rPr>
          <w:rFonts w:hAnsi="宋体"/>
          <w:sz w:val="24"/>
        </w:rPr>
        <w:t xml:space="preserve">.3 </w:t>
      </w:r>
      <w:r>
        <w:rPr>
          <w:rFonts w:hint="eastAsia" w:hAnsi="宋体"/>
          <w:sz w:val="24"/>
        </w:rPr>
        <w:t>户外休息区</w:t>
      </w:r>
      <w:r>
        <w:rPr>
          <w:rFonts w:hAnsi="宋体"/>
          <w:sz w:val="24"/>
        </w:rPr>
        <w:t>、儿童娱乐区风速小于</w:t>
      </w:r>
      <w:r>
        <w:rPr>
          <w:rFonts w:hint="eastAsia" w:hAnsi="宋体"/>
          <w:sz w:val="24"/>
        </w:rPr>
        <w:t>5</w:t>
      </w:r>
      <w:r>
        <w:rPr>
          <w:rFonts w:hAnsi="宋体"/>
          <w:sz w:val="24"/>
        </w:rPr>
        <w:t>m/s</w:t>
      </w:r>
      <w:r>
        <w:rPr>
          <w:rFonts w:hint="eastAsia" w:hAnsi="宋体"/>
          <w:sz w:val="24"/>
        </w:rPr>
        <w:t>；</w:t>
      </w:r>
    </w:p>
    <w:p>
      <w:pPr>
        <w:spacing w:line="360" w:lineRule="auto"/>
        <w:rPr>
          <w:rFonts w:hAnsi="宋体"/>
          <w:sz w:val="24"/>
        </w:rPr>
      </w:pPr>
      <w:r>
        <w:rPr>
          <w:rFonts w:hint="eastAsia" w:hAnsi="宋体"/>
          <w:sz w:val="24"/>
        </w:rPr>
        <w:t>8</w:t>
      </w:r>
      <w:r>
        <w:rPr>
          <w:rFonts w:hAnsi="宋体"/>
          <w:sz w:val="24"/>
        </w:rPr>
        <w:t xml:space="preserve">.4 </w:t>
      </w:r>
      <w:r>
        <w:rPr>
          <w:rFonts w:hint="eastAsia" w:hAnsi="宋体"/>
          <w:sz w:val="24"/>
        </w:rPr>
        <w:t>室外风速放大系数小于2；</w:t>
      </w:r>
    </w:p>
    <w:p>
      <w:pPr>
        <w:spacing w:line="360" w:lineRule="auto"/>
        <w:rPr>
          <w:rFonts w:hAnsi="宋体"/>
          <w:sz w:val="24"/>
        </w:rPr>
      </w:pPr>
      <w:r>
        <w:rPr>
          <w:rFonts w:hAnsi="宋体"/>
          <w:sz w:val="24"/>
        </w:rPr>
        <w:t xml:space="preserve">.5 </w:t>
      </w:r>
      <w:r>
        <w:rPr>
          <w:rFonts w:hint="eastAsia" w:hAnsi="宋体"/>
          <w:sz w:val="24"/>
        </w:rPr>
        <w:t>避开冬季主导风向，冬季除迎风面第一排建筑外，建筑表面压强绝对值的平均值不大于5</w:t>
      </w:r>
      <w:r>
        <w:rPr>
          <w:rFonts w:hAnsi="宋体"/>
          <w:sz w:val="24"/>
        </w:rPr>
        <w:t>Pa</w:t>
      </w:r>
      <w:r>
        <w:rPr>
          <w:rFonts w:hint="eastAsia" w:hAnsi="宋体"/>
          <w:sz w:val="24"/>
        </w:rPr>
        <w:t>；</w:t>
      </w:r>
    </w:p>
    <w:p>
      <w:pPr>
        <w:spacing w:line="360" w:lineRule="auto"/>
        <w:rPr>
          <w:rFonts w:hAnsi="宋体"/>
          <w:sz w:val="24"/>
        </w:rPr>
      </w:pPr>
      <w:r>
        <w:rPr>
          <w:rFonts w:hint="eastAsia" w:hAnsi="宋体"/>
          <w:sz w:val="24"/>
        </w:rPr>
        <w:t>8</w:t>
      </w:r>
      <w:r>
        <w:rPr>
          <w:rFonts w:hAnsi="宋体"/>
          <w:sz w:val="24"/>
        </w:rPr>
        <w:t xml:space="preserve">.6 </w:t>
      </w:r>
      <w:r>
        <w:rPr>
          <w:rFonts w:hint="eastAsia" w:hAnsi="宋体"/>
          <w:sz w:val="24"/>
        </w:rPr>
        <w:t>过渡季、夏季典型风速和风向条件下，场地内人活动区不出现涡旋或无风区；</w:t>
      </w:r>
    </w:p>
    <w:p>
      <w:pPr>
        <w:spacing w:line="360" w:lineRule="auto"/>
        <w:rPr>
          <w:rFonts w:hAnsi="宋体"/>
          <w:sz w:val="24"/>
        </w:rPr>
      </w:pPr>
      <w:r>
        <w:rPr>
          <w:rFonts w:hint="eastAsia" w:hAnsi="宋体"/>
          <w:sz w:val="24"/>
        </w:rPr>
        <w:t>8</w:t>
      </w:r>
      <w:r>
        <w:rPr>
          <w:rFonts w:hAnsi="宋体"/>
          <w:sz w:val="24"/>
        </w:rPr>
        <w:t xml:space="preserve">.7 </w:t>
      </w:r>
      <w:r>
        <w:rPr>
          <w:rFonts w:hint="eastAsia" w:hAnsi="宋体"/>
          <w:sz w:val="24"/>
        </w:rPr>
        <w:t>空气污染</w:t>
      </w:r>
      <w:r>
        <w:rPr>
          <w:rFonts w:hAnsi="宋体"/>
          <w:sz w:val="24"/>
        </w:rPr>
        <w:t>源未设置在</w:t>
      </w:r>
      <w:r>
        <w:rPr>
          <w:rFonts w:hint="eastAsia" w:hAnsi="宋体"/>
          <w:sz w:val="24"/>
        </w:rPr>
        <w:t>涡旋</w:t>
      </w:r>
      <w:r>
        <w:rPr>
          <w:rFonts w:hAnsi="宋体"/>
          <w:sz w:val="24"/>
        </w:rPr>
        <w:t>及无风区</w:t>
      </w:r>
      <w:r>
        <w:rPr>
          <w:rFonts w:hint="eastAsia" w:hAnsi="宋体"/>
          <w:sz w:val="24"/>
        </w:rPr>
        <w:t>；</w:t>
      </w:r>
    </w:p>
    <w:p>
      <w:pPr>
        <w:spacing w:line="360" w:lineRule="auto"/>
        <w:rPr>
          <w:rFonts w:hAnsi="宋体"/>
          <w:sz w:val="24"/>
        </w:rPr>
      </w:pPr>
      <w:r>
        <w:rPr>
          <w:rFonts w:hint="eastAsia" w:hAnsi="宋体"/>
          <w:sz w:val="24"/>
        </w:rPr>
        <w:t>8</w:t>
      </w:r>
      <w:r>
        <w:rPr>
          <w:rFonts w:hAnsi="宋体"/>
          <w:sz w:val="24"/>
        </w:rPr>
        <w:t xml:space="preserve">.8 </w:t>
      </w:r>
      <w:r>
        <w:rPr>
          <w:rFonts w:hint="eastAsia" w:hAnsi="宋体"/>
          <w:sz w:val="24"/>
        </w:rPr>
        <w:t>50％以上可开启外窗室内外表面的风压差大于0.5Pa；</w:t>
      </w:r>
    </w:p>
    <w:p>
      <w:pPr>
        <w:spacing w:line="360" w:lineRule="auto"/>
        <w:rPr>
          <w:rFonts w:hAnsi="宋体"/>
          <w:sz w:val="24"/>
        </w:rPr>
      </w:pPr>
      <w:r>
        <w:rPr>
          <w:rFonts w:hint="eastAsia" w:hAnsi="宋体"/>
          <w:sz w:val="24"/>
        </w:rPr>
        <w:t>8</w:t>
      </w:r>
      <w:r>
        <w:rPr>
          <w:rFonts w:hAnsi="宋体"/>
          <w:sz w:val="24"/>
        </w:rPr>
        <w:t xml:space="preserve">.9 </w:t>
      </w:r>
      <w:r>
        <w:rPr>
          <w:rFonts w:hint="eastAsia" w:hAnsi="宋体"/>
          <w:sz w:val="24"/>
        </w:rPr>
        <w:t>场地内应合理规划设置室外吸烟区，并布置在建筑主出入口的主导风的下风向，与所有建筑出入口、新风进气口和可开启窗扇的距离不少于8m，且距离儿童和老人活动场地不少于8m。</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985"/>
        <w:gridCol w:w="1417"/>
        <w:gridCol w:w="1559"/>
        <w:gridCol w:w="34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817" w:type="dxa"/>
            <w:vMerge w:val="restart"/>
          </w:tcPr>
          <w:p>
            <w:pPr>
              <w:spacing w:line="360" w:lineRule="auto"/>
              <w:rPr>
                <w:rFonts w:hAnsi="宋体"/>
                <w:sz w:val="24"/>
              </w:rPr>
            </w:pPr>
            <w:r>
              <w:rPr>
                <w:rFonts w:hint="eastAsia" w:hAnsi="宋体"/>
                <w:sz w:val="24"/>
              </w:rPr>
              <w:t>条文来源</w:t>
            </w:r>
          </w:p>
        </w:tc>
        <w:tc>
          <w:tcPr>
            <w:tcW w:w="1985" w:type="dxa"/>
            <w:vMerge w:val="restart"/>
          </w:tcPr>
          <w:p>
            <w:pPr>
              <w:spacing w:line="360" w:lineRule="auto"/>
              <w:rPr>
                <w:rFonts w:hAnsi="宋体"/>
                <w:sz w:val="24"/>
              </w:rPr>
            </w:pPr>
            <w:r>
              <w:rPr>
                <w:rFonts w:hint="eastAsia" w:hAnsi="宋体"/>
                <w:sz w:val="24"/>
              </w:rPr>
              <w:t>GB/T 50378-201</w:t>
            </w:r>
            <w:r>
              <w:rPr>
                <w:rFonts w:hAnsi="宋体"/>
                <w:sz w:val="24"/>
              </w:rPr>
              <w:t>9</w:t>
            </w:r>
          </w:p>
        </w:tc>
        <w:tc>
          <w:tcPr>
            <w:tcW w:w="1417" w:type="dxa"/>
            <w:vMerge w:val="restart"/>
          </w:tcPr>
          <w:p>
            <w:pPr>
              <w:spacing w:line="360" w:lineRule="auto"/>
              <w:rPr>
                <w:rFonts w:hAnsi="宋体"/>
                <w:sz w:val="24"/>
              </w:rPr>
            </w:pPr>
            <w:r>
              <w:rPr>
                <w:rFonts w:hAnsi="宋体"/>
                <w:sz w:val="24"/>
              </w:rPr>
              <w:t>8.2.8</w:t>
            </w:r>
            <w:r>
              <w:rPr>
                <w:rFonts w:hint="eastAsia" w:hAnsi="宋体"/>
                <w:sz w:val="24"/>
              </w:rPr>
              <w:t>条</w:t>
            </w:r>
          </w:p>
        </w:tc>
        <w:tc>
          <w:tcPr>
            <w:tcW w:w="1559" w:type="dxa"/>
            <w:vMerge w:val="restart"/>
          </w:tcPr>
          <w:p>
            <w:pPr>
              <w:spacing w:line="360" w:lineRule="auto"/>
              <w:rPr>
                <w:rFonts w:hAnsi="宋体"/>
                <w:sz w:val="24"/>
              </w:rPr>
            </w:pPr>
            <w:r>
              <w:rPr>
                <w:rFonts w:hint="eastAsia" w:hAnsi="宋体"/>
                <w:sz w:val="24"/>
              </w:rPr>
              <w:t>在冬季典型风速和风向条件下</w:t>
            </w:r>
          </w:p>
        </w:tc>
        <w:tc>
          <w:tcPr>
            <w:tcW w:w="3402" w:type="dxa"/>
          </w:tcPr>
          <w:p>
            <w:pPr>
              <w:spacing w:line="360" w:lineRule="auto"/>
              <w:rPr>
                <w:rFonts w:hAnsi="宋体"/>
                <w:sz w:val="24"/>
              </w:rPr>
            </w:pPr>
            <w:r>
              <w:rPr>
                <w:rFonts w:hint="eastAsia" w:hAnsi="宋体"/>
                <w:sz w:val="24"/>
              </w:rPr>
              <w:t>建筑物周围人行区距地高1．5m处风速小于5m/s，户外休息区、儿童娱乐区风速小于2m/s，且室外风速放大系数小于2，3分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817" w:type="dxa"/>
            <w:vMerge w:val="continue"/>
          </w:tcPr>
          <w:p>
            <w:pPr>
              <w:spacing w:line="360" w:lineRule="auto"/>
              <w:rPr>
                <w:rFonts w:hAnsi="宋体"/>
                <w:sz w:val="24"/>
              </w:rPr>
            </w:pPr>
          </w:p>
        </w:tc>
        <w:tc>
          <w:tcPr>
            <w:tcW w:w="1985" w:type="dxa"/>
            <w:vMerge w:val="continue"/>
          </w:tcPr>
          <w:p>
            <w:pPr>
              <w:spacing w:line="360" w:lineRule="auto"/>
              <w:rPr>
                <w:rFonts w:hAnsi="宋体"/>
                <w:sz w:val="24"/>
              </w:rPr>
            </w:pPr>
          </w:p>
        </w:tc>
        <w:tc>
          <w:tcPr>
            <w:tcW w:w="1417" w:type="dxa"/>
            <w:vMerge w:val="continue"/>
          </w:tcPr>
          <w:p>
            <w:pPr>
              <w:spacing w:line="360" w:lineRule="auto"/>
              <w:rPr>
                <w:rFonts w:hAnsi="宋体"/>
                <w:sz w:val="24"/>
              </w:rPr>
            </w:pPr>
          </w:p>
        </w:tc>
        <w:tc>
          <w:tcPr>
            <w:tcW w:w="1559" w:type="dxa"/>
            <w:vMerge w:val="continue"/>
          </w:tcPr>
          <w:p>
            <w:pPr>
              <w:spacing w:line="360" w:lineRule="auto"/>
              <w:rPr>
                <w:rFonts w:hAnsi="宋体"/>
                <w:sz w:val="24"/>
              </w:rPr>
            </w:pPr>
          </w:p>
        </w:tc>
        <w:tc>
          <w:tcPr>
            <w:tcW w:w="3402" w:type="dxa"/>
          </w:tcPr>
          <w:p>
            <w:pPr>
              <w:spacing w:line="360" w:lineRule="auto"/>
              <w:rPr>
                <w:rFonts w:hAnsi="宋体"/>
                <w:sz w:val="24"/>
              </w:rPr>
            </w:pPr>
            <w:r>
              <w:rPr>
                <w:rFonts w:hint="eastAsia" w:hAnsi="宋体"/>
                <w:sz w:val="24"/>
              </w:rPr>
              <w:t>除迎风第一排建筑外，建筑迎风面与背风面表面风压差不大于5Pa，2分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817" w:type="dxa"/>
            <w:vMerge w:val="continue"/>
          </w:tcPr>
          <w:p>
            <w:pPr>
              <w:spacing w:line="360" w:lineRule="auto"/>
              <w:rPr>
                <w:rFonts w:hAnsi="宋体"/>
                <w:sz w:val="24"/>
              </w:rPr>
            </w:pPr>
          </w:p>
        </w:tc>
        <w:tc>
          <w:tcPr>
            <w:tcW w:w="1985" w:type="dxa"/>
            <w:vMerge w:val="continue"/>
          </w:tcPr>
          <w:p>
            <w:pPr>
              <w:spacing w:line="360" w:lineRule="auto"/>
              <w:rPr>
                <w:rFonts w:hAnsi="宋体"/>
                <w:sz w:val="24"/>
              </w:rPr>
            </w:pPr>
          </w:p>
        </w:tc>
        <w:tc>
          <w:tcPr>
            <w:tcW w:w="1417" w:type="dxa"/>
            <w:vMerge w:val="continue"/>
          </w:tcPr>
          <w:p>
            <w:pPr>
              <w:spacing w:line="360" w:lineRule="auto"/>
              <w:rPr>
                <w:rFonts w:hAnsi="宋体"/>
                <w:sz w:val="24"/>
              </w:rPr>
            </w:pPr>
          </w:p>
        </w:tc>
        <w:tc>
          <w:tcPr>
            <w:tcW w:w="1559" w:type="dxa"/>
            <w:vMerge w:val="restart"/>
          </w:tcPr>
          <w:p>
            <w:pPr>
              <w:spacing w:line="360" w:lineRule="auto"/>
              <w:rPr>
                <w:rFonts w:hAnsi="宋体"/>
                <w:sz w:val="24"/>
              </w:rPr>
            </w:pPr>
            <w:r>
              <w:rPr>
                <w:rFonts w:hint="eastAsia" w:hAnsi="宋体"/>
                <w:sz w:val="24"/>
              </w:rPr>
              <w:t>过渡季、夏季典型风速和风向条件下</w:t>
            </w:r>
          </w:p>
        </w:tc>
        <w:tc>
          <w:tcPr>
            <w:tcW w:w="3402" w:type="dxa"/>
          </w:tcPr>
          <w:p>
            <w:pPr>
              <w:spacing w:line="360" w:lineRule="auto"/>
              <w:rPr>
                <w:rFonts w:hAnsi="宋体"/>
                <w:sz w:val="24"/>
              </w:rPr>
            </w:pPr>
            <w:r>
              <w:rPr>
                <w:rFonts w:hint="eastAsia" w:hAnsi="宋体"/>
                <w:sz w:val="24"/>
              </w:rPr>
              <w:t>场地内人活动区不出现涡旋或无风区，3分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817" w:type="dxa"/>
            <w:vMerge w:val="continue"/>
          </w:tcPr>
          <w:p>
            <w:pPr>
              <w:spacing w:line="360" w:lineRule="auto"/>
              <w:rPr>
                <w:rFonts w:hAnsi="宋体"/>
                <w:sz w:val="24"/>
              </w:rPr>
            </w:pPr>
          </w:p>
        </w:tc>
        <w:tc>
          <w:tcPr>
            <w:tcW w:w="1985" w:type="dxa"/>
            <w:vMerge w:val="continue"/>
          </w:tcPr>
          <w:p>
            <w:pPr>
              <w:spacing w:line="360" w:lineRule="auto"/>
              <w:rPr>
                <w:rFonts w:hAnsi="宋体"/>
                <w:sz w:val="24"/>
              </w:rPr>
            </w:pPr>
          </w:p>
        </w:tc>
        <w:tc>
          <w:tcPr>
            <w:tcW w:w="1417" w:type="dxa"/>
            <w:vMerge w:val="continue"/>
          </w:tcPr>
          <w:p>
            <w:pPr>
              <w:spacing w:line="360" w:lineRule="auto"/>
              <w:rPr>
                <w:rFonts w:hAnsi="宋体"/>
                <w:sz w:val="24"/>
              </w:rPr>
            </w:pPr>
          </w:p>
        </w:tc>
        <w:tc>
          <w:tcPr>
            <w:tcW w:w="1559" w:type="dxa"/>
            <w:vMerge w:val="continue"/>
          </w:tcPr>
          <w:p>
            <w:pPr>
              <w:spacing w:line="360" w:lineRule="auto"/>
              <w:rPr>
                <w:rFonts w:hAnsi="宋体"/>
                <w:sz w:val="24"/>
              </w:rPr>
            </w:pPr>
          </w:p>
        </w:tc>
        <w:tc>
          <w:tcPr>
            <w:tcW w:w="3402" w:type="dxa"/>
          </w:tcPr>
          <w:p>
            <w:pPr>
              <w:spacing w:line="360" w:lineRule="auto"/>
              <w:rPr>
                <w:rFonts w:hAnsi="宋体"/>
                <w:sz w:val="24"/>
              </w:rPr>
            </w:pPr>
            <w:r>
              <w:rPr>
                <w:rFonts w:hint="eastAsia" w:hAnsi="宋体"/>
                <w:sz w:val="24"/>
              </w:rPr>
              <w:t>50％以上可开启外窗室内外表面的风压差大于0．5Pa，2分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817" w:type="dxa"/>
            <w:vMerge w:val="continue"/>
          </w:tcPr>
          <w:p>
            <w:pPr>
              <w:spacing w:line="360" w:lineRule="auto"/>
              <w:rPr>
                <w:rFonts w:hAnsi="宋体"/>
                <w:sz w:val="24"/>
              </w:rPr>
            </w:pPr>
          </w:p>
        </w:tc>
        <w:tc>
          <w:tcPr>
            <w:tcW w:w="1985" w:type="dxa"/>
            <w:vMerge w:val="continue"/>
          </w:tcPr>
          <w:p>
            <w:pPr>
              <w:spacing w:line="360" w:lineRule="auto"/>
              <w:rPr>
                <w:rFonts w:hAnsi="宋体"/>
                <w:sz w:val="24"/>
              </w:rPr>
            </w:pPr>
          </w:p>
        </w:tc>
        <w:tc>
          <w:tcPr>
            <w:tcW w:w="1417" w:type="dxa"/>
          </w:tcPr>
          <w:p>
            <w:pPr>
              <w:spacing w:line="360" w:lineRule="auto"/>
              <w:rPr>
                <w:rFonts w:hAnsi="宋体"/>
                <w:sz w:val="24"/>
              </w:rPr>
            </w:pPr>
            <w:r>
              <w:rPr>
                <w:rFonts w:hAnsi="宋体"/>
                <w:sz w:val="24"/>
              </w:rPr>
              <w:t>8.2.4</w:t>
            </w:r>
            <w:r>
              <w:rPr>
                <w:rFonts w:hint="eastAsia" w:hAnsi="宋体"/>
                <w:sz w:val="24"/>
              </w:rPr>
              <w:t>条-</w:t>
            </w:r>
            <w:r>
              <w:rPr>
                <w:rFonts w:hAnsi="宋体"/>
                <w:sz w:val="24"/>
              </w:rPr>
              <w:t>1</w:t>
            </w:r>
          </w:p>
        </w:tc>
        <w:tc>
          <w:tcPr>
            <w:tcW w:w="4961" w:type="dxa"/>
            <w:gridSpan w:val="2"/>
          </w:tcPr>
          <w:p>
            <w:pPr>
              <w:spacing w:line="360" w:lineRule="auto"/>
              <w:rPr>
                <w:rFonts w:hAnsi="宋体"/>
                <w:sz w:val="24"/>
              </w:rPr>
            </w:pPr>
            <w:r>
              <w:rPr>
                <w:rFonts w:hAnsi="宋体"/>
                <w:sz w:val="24"/>
              </w:rPr>
              <w:t>5</w:t>
            </w:r>
            <w:r>
              <w:rPr>
                <w:rFonts w:hint="eastAsia" w:hAnsi="宋体"/>
                <w:sz w:val="24"/>
              </w:rPr>
              <w:t xml:space="preserve">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817" w:type="dxa"/>
            <w:vMerge w:val="continue"/>
          </w:tcPr>
          <w:p>
            <w:pPr>
              <w:spacing w:line="360" w:lineRule="auto"/>
              <w:rPr>
                <w:rFonts w:hAnsi="宋体"/>
                <w:sz w:val="24"/>
              </w:rPr>
            </w:pPr>
          </w:p>
        </w:tc>
        <w:tc>
          <w:tcPr>
            <w:tcW w:w="1985"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417" w:type="dxa"/>
          </w:tcPr>
          <w:p>
            <w:pPr>
              <w:spacing w:line="360" w:lineRule="auto"/>
              <w:rPr>
                <w:rFonts w:hAnsi="宋体"/>
                <w:sz w:val="24"/>
              </w:rPr>
            </w:pPr>
            <w:r>
              <w:rPr>
                <w:rFonts w:hAnsi="宋体"/>
                <w:sz w:val="24"/>
              </w:rPr>
              <w:t>4.</w:t>
            </w:r>
            <w:r>
              <w:rPr>
                <w:rFonts w:hint="eastAsia" w:hAnsi="宋体"/>
                <w:sz w:val="24"/>
              </w:rPr>
              <w:t>2.</w:t>
            </w:r>
            <w:r>
              <w:rPr>
                <w:rFonts w:hAnsi="宋体"/>
                <w:sz w:val="24"/>
              </w:rPr>
              <w:t>7</w:t>
            </w:r>
            <w:r>
              <w:rPr>
                <w:rFonts w:hint="eastAsia" w:hAnsi="宋体"/>
                <w:sz w:val="24"/>
              </w:rPr>
              <w:t>条</w:t>
            </w:r>
          </w:p>
        </w:tc>
        <w:tc>
          <w:tcPr>
            <w:tcW w:w="4961" w:type="dxa"/>
            <w:gridSpan w:val="2"/>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817" w:type="dxa"/>
            <w:vMerge w:val="continue"/>
          </w:tcPr>
          <w:p>
            <w:pPr>
              <w:spacing w:line="360" w:lineRule="auto"/>
              <w:rPr>
                <w:rFonts w:hAnsi="宋体"/>
                <w:sz w:val="24"/>
              </w:rPr>
            </w:pPr>
          </w:p>
        </w:tc>
        <w:tc>
          <w:tcPr>
            <w:tcW w:w="1985" w:type="dxa"/>
            <w:vMerge w:val="continue"/>
          </w:tcPr>
          <w:p>
            <w:pPr>
              <w:spacing w:line="360" w:lineRule="auto"/>
              <w:rPr>
                <w:rFonts w:hAnsi="宋体"/>
                <w:sz w:val="24"/>
              </w:rPr>
            </w:pPr>
          </w:p>
        </w:tc>
        <w:tc>
          <w:tcPr>
            <w:tcW w:w="1417" w:type="dxa"/>
          </w:tcPr>
          <w:p>
            <w:pPr>
              <w:spacing w:line="360" w:lineRule="auto"/>
              <w:rPr>
                <w:rFonts w:hAnsi="宋体"/>
                <w:sz w:val="24"/>
              </w:rPr>
            </w:pPr>
            <w:r>
              <w:rPr>
                <w:rFonts w:hint="eastAsia" w:hAnsi="宋体"/>
                <w:sz w:val="24"/>
              </w:rPr>
              <w:t>4</w:t>
            </w:r>
            <w:r>
              <w:rPr>
                <w:rFonts w:hAnsi="宋体"/>
                <w:sz w:val="24"/>
              </w:rPr>
              <w:t>.2.15</w:t>
            </w:r>
            <w:r>
              <w:rPr>
                <w:rFonts w:hint="eastAsia" w:hAnsi="宋体"/>
                <w:sz w:val="24"/>
              </w:rPr>
              <w:t>条</w:t>
            </w:r>
          </w:p>
        </w:tc>
        <w:tc>
          <w:tcPr>
            <w:tcW w:w="4961" w:type="dxa"/>
            <w:gridSpan w:val="2"/>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Pr>
          <w:p>
            <w:pPr>
              <w:spacing w:line="360" w:lineRule="auto"/>
              <w:rPr>
                <w:rFonts w:hAnsi="宋体"/>
                <w:sz w:val="24"/>
              </w:rPr>
            </w:pPr>
            <w:r>
              <w:rPr>
                <w:rFonts w:hint="eastAsia" w:hAnsi="宋体"/>
                <w:sz w:val="24"/>
              </w:rPr>
              <w:t>依据材料</w:t>
            </w:r>
          </w:p>
        </w:tc>
        <w:tc>
          <w:tcPr>
            <w:tcW w:w="8363" w:type="dxa"/>
            <w:gridSpan w:val="4"/>
          </w:tcPr>
          <w:p>
            <w:pPr>
              <w:pStyle w:val="17"/>
              <w:spacing w:line="360" w:lineRule="auto"/>
              <w:ind w:firstLine="480" w:firstLineChars="200"/>
              <w:rPr>
                <w:rFonts w:hAnsi="宋体"/>
                <w:sz w:val="24"/>
              </w:rPr>
            </w:pPr>
            <w:r>
              <w:rPr>
                <w:rFonts w:hint="eastAsia" w:hAnsi="宋体"/>
                <w:sz w:val="24"/>
              </w:rPr>
              <w:t>设计人员应根据项目实际进行填写：</w:t>
            </w:r>
          </w:p>
          <w:p>
            <w:pPr>
              <w:pStyle w:val="17"/>
              <w:spacing w:line="360" w:lineRule="auto"/>
              <w:ind w:firstLine="480" w:firstLineChars="200"/>
              <w:rPr>
                <w:rFonts w:hAnsi="宋体"/>
                <w:sz w:val="24"/>
              </w:rPr>
            </w:pPr>
            <w:r>
              <w:rPr>
                <w:rFonts w:hint="eastAsia" w:hAnsi="宋体"/>
                <w:sz w:val="24"/>
              </w:rPr>
              <w:t>（1)如果项目只有一排建筑时，可默认为（是）。</w:t>
            </w:r>
          </w:p>
          <w:p>
            <w:pPr>
              <w:pStyle w:val="17"/>
              <w:spacing w:line="360" w:lineRule="auto"/>
              <w:ind w:firstLine="480" w:firstLineChars="200"/>
              <w:rPr>
                <w:rFonts w:hAnsi="宋体"/>
                <w:sz w:val="24"/>
              </w:rPr>
            </w:pPr>
            <w:r>
              <w:rPr>
                <w:rFonts w:hint="eastAsia" w:hAnsi="宋体"/>
                <w:sz w:val="24"/>
              </w:rPr>
              <w:t>（2）如果项目为多排建筑时，设计人员依据相关设计文件、节能评估报告中环境分析中的--风环境模拟计算报告，填写此项内容。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817" w:type="dxa"/>
          </w:tcPr>
          <w:p>
            <w:pPr>
              <w:spacing w:line="360" w:lineRule="auto"/>
              <w:rPr>
                <w:rFonts w:hAnsi="宋体"/>
                <w:sz w:val="24"/>
              </w:rPr>
            </w:pPr>
            <w:r>
              <w:rPr>
                <w:rFonts w:hint="eastAsia" w:hAnsi="宋体"/>
                <w:sz w:val="24"/>
              </w:rPr>
              <w:t>备注</w:t>
            </w:r>
          </w:p>
        </w:tc>
        <w:tc>
          <w:tcPr>
            <w:tcW w:w="8363" w:type="dxa"/>
            <w:gridSpan w:val="4"/>
          </w:tcPr>
          <w:p>
            <w:pPr>
              <w:spacing w:line="360" w:lineRule="auto"/>
              <w:ind w:firstLine="480" w:firstLineChars="200"/>
              <w:rPr>
                <w:rFonts w:hAnsi="宋体"/>
                <w:sz w:val="24"/>
              </w:rPr>
            </w:pPr>
            <w:r>
              <w:rPr>
                <w:rFonts w:hint="eastAsia" w:hAnsi="宋体"/>
                <w:sz w:val="24"/>
              </w:rPr>
              <w:t>值得注意的是，对于半地下室外空间，此条也需要填写。</w:t>
            </w:r>
          </w:p>
          <w:p>
            <w:pPr>
              <w:spacing w:line="360" w:lineRule="auto"/>
              <w:ind w:firstLine="480" w:firstLineChars="200"/>
              <w:rPr>
                <w:rFonts w:hAnsi="宋体"/>
                <w:sz w:val="24"/>
              </w:rPr>
            </w:pPr>
            <w:r>
              <w:rPr>
                <w:rFonts w:hint="eastAsia" w:hAnsi="宋体"/>
                <w:sz w:val="24"/>
              </w:rPr>
              <w:t>冬季建筑物周围人行区距地</w:t>
            </w:r>
            <w:r>
              <w:rPr>
                <w:rFonts w:hAnsi="宋体"/>
                <w:sz w:val="24"/>
              </w:rPr>
              <w:t xml:space="preserve">l. 5m </w:t>
            </w:r>
            <w:r>
              <w:rPr>
                <w:rFonts w:hint="eastAsia" w:hAnsi="宋体"/>
                <w:sz w:val="24"/>
              </w:rPr>
              <w:t>高处风速</w:t>
            </w:r>
            <w:r>
              <w:rPr>
                <w:rFonts w:hAnsi="宋体"/>
                <w:sz w:val="24"/>
              </w:rPr>
              <w:t>V&lt;5m</w:t>
            </w:r>
            <w:r>
              <w:rPr>
                <w:rFonts w:hint="eastAsia" w:hAnsi="宋体"/>
                <w:sz w:val="24"/>
              </w:rPr>
              <w:t>/s是不影响人们正常室外活动的基本要求。建筑的迎风面与背风面风压差不超过</w:t>
            </w:r>
            <w:r>
              <w:rPr>
                <w:rFonts w:hAnsi="宋体"/>
                <w:sz w:val="24"/>
              </w:rPr>
              <w:t xml:space="preserve">5Pa </w:t>
            </w:r>
            <w:r>
              <w:rPr>
                <w:rFonts w:hint="eastAsia" w:hAnsi="宋体"/>
                <w:sz w:val="24"/>
              </w:rPr>
              <w:t>，可以减少冷风向室内渗透。</w:t>
            </w:r>
          </w:p>
          <w:p>
            <w:pPr>
              <w:spacing w:line="360" w:lineRule="auto"/>
              <w:ind w:firstLine="480" w:firstLineChars="200"/>
              <w:rPr>
                <w:rFonts w:hAnsi="宋体"/>
                <w:sz w:val="24"/>
              </w:rPr>
            </w:pPr>
            <w:r>
              <w:rPr>
                <w:rFonts w:hint="eastAsia" w:hAnsi="宋体"/>
                <w:sz w:val="24"/>
              </w:rPr>
              <w:t>夏季、过渡季通风不畅在某些区域形成无风区和涡旋区，将影响室外散热和污染物消散。外窗室内外表面的风压差达到</w:t>
            </w:r>
            <w:r>
              <w:rPr>
                <w:rFonts w:hAnsi="宋体"/>
                <w:sz w:val="24"/>
              </w:rPr>
              <w:t xml:space="preserve">0. 5Pa </w:t>
            </w:r>
            <w:r>
              <w:rPr>
                <w:rFonts w:hint="eastAsia" w:hAnsi="宋体"/>
                <w:sz w:val="24"/>
              </w:rPr>
              <w:t>有利于建筑的自然通风。</w:t>
            </w:r>
          </w:p>
          <w:p>
            <w:pPr>
              <w:spacing w:line="360" w:lineRule="auto"/>
              <w:ind w:firstLine="480" w:firstLineChars="200"/>
              <w:rPr>
                <w:rFonts w:hAnsi="宋体"/>
                <w:sz w:val="24"/>
              </w:rPr>
            </w:pPr>
            <w:r>
              <w:rPr>
                <w:rFonts w:hint="eastAsia" w:hAnsi="宋体"/>
                <w:sz w:val="24"/>
              </w:rPr>
              <w:t>表面风压差主要是指平均风压差。</w:t>
            </w:r>
          </w:p>
        </w:tc>
      </w:tr>
    </w:tbl>
    <w:p>
      <w:pPr>
        <w:spacing w:before="109" w:beforeLines="35" w:after="109" w:afterLines="35" w:line="360" w:lineRule="auto"/>
        <w:rPr>
          <w:rFonts w:hAnsi="宋体"/>
          <w:sz w:val="24"/>
        </w:rPr>
      </w:pPr>
    </w:p>
    <w:p>
      <w:pPr>
        <w:pStyle w:val="271"/>
        <w:numPr>
          <w:ilvl w:val="0"/>
          <w:numId w:val="44"/>
        </w:numPr>
        <w:spacing w:line="360" w:lineRule="auto"/>
        <w:ind w:firstLineChars="0"/>
        <w:rPr>
          <w:rFonts w:hAnsi="宋体"/>
          <w:b/>
          <w:sz w:val="24"/>
        </w:rPr>
      </w:pPr>
      <w:r>
        <w:rPr>
          <w:rFonts w:hint="eastAsia" w:hAnsi="宋体"/>
          <w:b/>
          <w:sz w:val="24"/>
        </w:rPr>
        <w:t xml:space="preserve"> 场地热环境：</w:t>
      </w:r>
    </w:p>
    <w:p>
      <w:pPr>
        <w:spacing w:line="360" w:lineRule="auto"/>
        <w:rPr>
          <w:rFonts w:hAnsi="宋体"/>
          <w:sz w:val="24"/>
        </w:rPr>
      </w:pPr>
      <w:r>
        <w:rPr>
          <w:rFonts w:hint="eastAsia" w:hAnsi="宋体"/>
          <w:sz w:val="24"/>
        </w:rPr>
        <w:t>9.</w:t>
      </w:r>
      <w:r>
        <w:rPr>
          <w:rFonts w:hAnsi="宋体"/>
          <w:sz w:val="24"/>
        </w:rPr>
        <w:t>1</w:t>
      </w:r>
      <w:r>
        <w:rPr>
          <w:rFonts w:hint="eastAsia" w:hAnsi="宋体"/>
          <w:sz w:val="24"/>
        </w:rPr>
        <w:t>降低热岛强度：</w:t>
      </w:r>
    </w:p>
    <w:p>
      <w:pPr>
        <w:spacing w:line="360" w:lineRule="auto"/>
        <w:rPr>
          <w:rFonts w:hAnsi="宋体"/>
          <w:sz w:val="24"/>
        </w:rPr>
      </w:pPr>
      <w:r>
        <w:rPr>
          <w:rFonts w:hint="eastAsia" w:hAnsi="宋体"/>
          <w:sz w:val="24"/>
        </w:rPr>
        <w:t>9</w:t>
      </w:r>
      <w:r>
        <w:rPr>
          <w:rFonts w:hAnsi="宋体"/>
          <w:sz w:val="24"/>
        </w:rPr>
        <w:t xml:space="preserve">.1.1 </w:t>
      </w:r>
      <w:r>
        <w:rPr>
          <w:rFonts w:hint="eastAsia" w:hAnsi="宋体"/>
          <w:sz w:val="24"/>
        </w:rPr>
        <w:t>场地中处于建筑阴影区外的步道、游憩场、庭院、广场等室外活动场地设有乔木、花架等遮阴措施的面积比例；</w:t>
      </w:r>
    </w:p>
    <w:p>
      <w:pPr>
        <w:spacing w:line="360" w:lineRule="auto"/>
        <w:rPr>
          <w:rFonts w:hAnsi="宋体"/>
          <w:sz w:val="24"/>
        </w:rPr>
      </w:pPr>
      <w:r>
        <w:rPr>
          <w:rFonts w:hint="eastAsia" w:hAnsi="宋体"/>
          <w:sz w:val="24"/>
        </w:rPr>
        <w:t>9</w:t>
      </w:r>
      <w:r>
        <w:rPr>
          <w:rFonts w:hAnsi="宋体"/>
          <w:sz w:val="24"/>
        </w:rPr>
        <w:t xml:space="preserve">.1.2 </w:t>
      </w:r>
      <w:r>
        <w:rPr>
          <w:rFonts w:hint="eastAsia" w:hAnsi="宋体"/>
          <w:sz w:val="24"/>
        </w:rPr>
        <w:t>屋顶的绿化面积、太阳能板水平投影面积、屋面设备占用面积以及太阳能辐射反射系数不小于0.4的屋面面积合计达到75％；</w:t>
      </w:r>
    </w:p>
    <w:p>
      <w:pPr>
        <w:spacing w:line="360" w:lineRule="auto"/>
        <w:rPr>
          <w:rFonts w:hAnsi="宋体"/>
          <w:sz w:val="24"/>
        </w:rPr>
      </w:pPr>
      <w:r>
        <w:rPr>
          <w:rFonts w:hint="eastAsia" w:hAnsi="宋体"/>
          <w:sz w:val="24"/>
        </w:rPr>
        <w:t>9</w:t>
      </w:r>
      <w:r>
        <w:rPr>
          <w:rFonts w:hAnsi="宋体"/>
          <w:sz w:val="24"/>
        </w:rPr>
        <w:t>.1.3</w:t>
      </w:r>
      <w:r>
        <w:rPr>
          <w:rFonts w:hint="eastAsia" w:hAnsi="宋体"/>
          <w:sz w:val="24"/>
        </w:rPr>
        <w:t xml:space="preserve"> 场地中处于建筑阴影区外的机动车道，路面太阳辐射反射系数不应小于0.4；设有遮阴面积较大的行道树的路段长度超过70％；</w:t>
      </w:r>
    </w:p>
    <w:p>
      <w:pPr>
        <w:spacing w:line="360" w:lineRule="auto"/>
        <w:rPr>
          <w:rFonts w:hAnsi="宋体"/>
          <w:sz w:val="24"/>
        </w:rPr>
      </w:pPr>
      <w:r>
        <w:rPr>
          <w:rFonts w:hint="eastAsia" w:hAnsi="宋体"/>
          <w:sz w:val="24"/>
        </w:rPr>
        <w:t>9</w:t>
      </w:r>
      <w:r>
        <w:rPr>
          <w:rFonts w:hAnsi="宋体"/>
          <w:sz w:val="24"/>
        </w:rPr>
        <w:t xml:space="preserve">.1.4 </w:t>
      </w:r>
      <w:r>
        <w:rPr>
          <w:rFonts w:hint="eastAsia" w:hAnsi="宋体"/>
          <w:sz w:val="24"/>
        </w:rPr>
        <w:t>住宅建筑地面停车位数量与住宅总套数的比率＜10％；</w:t>
      </w:r>
    </w:p>
    <w:p>
      <w:pPr>
        <w:spacing w:line="360" w:lineRule="auto"/>
        <w:rPr>
          <w:rFonts w:hAnsi="宋体"/>
          <w:sz w:val="24"/>
        </w:rPr>
      </w:pPr>
      <w:r>
        <w:rPr>
          <w:rFonts w:hint="eastAsia" w:hAnsi="宋体"/>
          <w:sz w:val="24"/>
        </w:rPr>
        <w:t>9</w:t>
      </w:r>
      <w:r>
        <w:rPr>
          <w:rFonts w:hAnsi="宋体"/>
          <w:sz w:val="24"/>
        </w:rPr>
        <w:t>.1.5</w:t>
      </w:r>
      <w:r>
        <w:rPr>
          <w:rFonts w:hint="eastAsia" w:hAnsi="宋体"/>
          <w:sz w:val="24"/>
        </w:rPr>
        <w:t>家用和类似用途空调器的室外机与室外地面的距离高于2.5 米，且未占用公共人行道；</w:t>
      </w:r>
    </w:p>
    <w:p>
      <w:pPr>
        <w:spacing w:line="360" w:lineRule="auto"/>
        <w:rPr>
          <w:rFonts w:hAnsi="宋体"/>
          <w:sz w:val="24"/>
        </w:rPr>
      </w:pPr>
      <w:r>
        <w:rPr>
          <w:rFonts w:hint="eastAsia" w:hAnsi="宋体"/>
          <w:sz w:val="24"/>
        </w:rPr>
        <w:t>9</w:t>
      </w:r>
      <w:r>
        <w:rPr>
          <w:rFonts w:hAnsi="宋体"/>
          <w:sz w:val="24"/>
        </w:rPr>
        <w:t>.1.</w:t>
      </w:r>
      <w:r>
        <w:rPr>
          <w:rFonts w:hint="eastAsia" w:hAnsi="宋体"/>
          <w:sz w:val="24"/>
        </w:rPr>
        <w:t>6</w:t>
      </w:r>
      <w:r>
        <w:rPr>
          <w:rFonts w:hAnsi="宋体"/>
          <w:sz w:val="24"/>
        </w:rPr>
        <w:t xml:space="preserve"> </w:t>
      </w:r>
      <w:r>
        <w:rPr>
          <w:rFonts w:hint="eastAsia" w:hAnsi="宋体"/>
          <w:sz w:val="24"/>
        </w:rPr>
        <w:t>根据相关规定进行场地热环境模拟预测，分析夏季典型日的热岛强度和室外热舒适性，优化规划设计方案；</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2167"/>
        <w:gridCol w:w="1560"/>
        <w:gridCol w:w="4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1343" w:type="dxa"/>
            <w:vMerge w:val="restart"/>
          </w:tcPr>
          <w:p>
            <w:pPr>
              <w:spacing w:line="360" w:lineRule="auto"/>
              <w:rPr>
                <w:rFonts w:hAnsi="宋体"/>
                <w:sz w:val="24"/>
              </w:rPr>
            </w:pPr>
            <w:r>
              <w:rPr>
                <w:rFonts w:hint="eastAsia" w:hAnsi="宋体"/>
                <w:sz w:val="24"/>
              </w:rPr>
              <w:t>条文来源</w:t>
            </w:r>
          </w:p>
        </w:tc>
        <w:tc>
          <w:tcPr>
            <w:tcW w:w="2167" w:type="dxa"/>
            <w:vMerge w:val="restart"/>
          </w:tcPr>
          <w:p>
            <w:pPr>
              <w:spacing w:line="360" w:lineRule="auto"/>
              <w:rPr>
                <w:rFonts w:hAnsi="宋体"/>
                <w:sz w:val="24"/>
              </w:rPr>
            </w:pPr>
            <w:r>
              <w:rPr>
                <w:rFonts w:hint="eastAsia" w:hAnsi="宋体"/>
                <w:sz w:val="24"/>
              </w:rPr>
              <w:t>GB/T 50378-201</w:t>
            </w:r>
            <w:r>
              <w:rPr>
                <w:rFonts w:hAnsi="宋体"/>
                <w:sz w:val="24"/>
              </w:rPr>
              <w:t>9</w:t>
            </w:r>
          </w:p>
        </w:tc>
        <w:tc>
          <w:tcPr>
            <w:tcW w:w="1560" w:type="dxa"/>
          </w:tcPr>
          <w:p>
            <w:pPr>
              <w:spacing w:line="360" w:lineRule="auto"/>
              <w:rPr>
                <w:rFonts w:hAnsi="宋体"/>
                <w:sz w:val="24"/>
              </w:rPr>
            </w:pPr>
            <w:r>
              <w:rPr>
                <w:rFonts w:hint="eastAsia" w:hAnsi="宋体"/>
                <w:sz w:val="24"/>
              </w:rPr>
              <w:t>7</w:t>
            </w:r>
            <w:r>
              <w:rPr>
                <w:rFonts w:hAnsi="宋体"/>
                <w:sz w:val="24"/>
              </w:rPr>
              <w:t>.2.3</w:t>
            </w:r>
            <w:r>
              <w:rPr>
                <w:rFonts w:hint="eastAsia" w:hAnsi="宋体"/>
                <w:sz w:val="24"/>
              </w:rPr>
              <w:t>条-</w:t>
            </w:r>
            <w:r>
              <w:rPr>
                <w:rFonts w:hAnsi="宋体"/>
                <w:sz w:val="24"/>
              </w:rPr>
              <w:t>1</w:t>
            </w:r>
          </w:p>
        </w:tc>
        <w:tc>
          <w:tcPr>
            <w:tcW w:w="4110" w:type="dxa"/>
          </w:tcPr>
          <w:p>
            <w:pPr>
              <w:spacing w:line="360" w:lineRule="auto"/>
              <w:rPr>
                <w:rFonts w:hAnsi="宋体"/>
                <w:sz w:val="24"/>
              </w:rPr>
            </w:pPr>
            <w:r>
              <w:rPr>
                <w:rFonts w:hint="eastAsia" w:hAnsi="宋体"/>
                <w:sz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1343" w:type="dxa"/>
            <w:vMerge w:val="continue"/>
          </w:tcPr>
          <w:p>
            <w:pPr>
              <w:spacing w:line="360" w:lineRule="auto"/>
              <w:rPr>
                <w:rFonts w:hAnsi="宋体"/>
                <w:sz w:val="24"/>
              </w:rPr>
            </w:pPr>
          </w:p>
        </w:tc>
        <w:tc>
          <w:tcPr>
            <w:tcW w:w="2167" w:type="dxa"/>
            <w:vMerge w:val="continue"/>
          </w:tcPr>
          <w:p>
            <w:pPr>
              <w:spacing w:line="360" w:lineRule="auto"/>
              <w:rPr>
                <w:rFonts w:hAnsi="宋体"/>
                <w:sz w:val="24"/>
              </w:rPr>
            </w:pPr>
          </w:p>
        </w:tc>
        <w:tc>
          <w:tcPr>
            <w:tcW w:w="1560" w:type="dxa"/>
            <w:vMerge w:val="restart"/>
          </w:tcPr>
          <w:p>
            <w:pPr>
              <w:spacing w:line="360" w:lineRule="auto"/>
              <w:rPr>
                <w:rFonts w:hAnsi="宋体"/>
                <w:sz w:val="24"/>
              </w:rPr>
            </w:pPr>
            <w:r>
              <w:rPr>
                <w:rFonts w:hAnsi="宋体"/>
                <w:sz w:val="24"/>
              </w:rPr>
              <w:t>8.</w:t>
            </w:r>
            <w:r>
              <w:rPr>
                <w:rFonts w:hint="eastAsia" w:hAnsi="宋体"/>
                <w:sz w:val="24"/>
              </w:rPr>
              <w:t>2.</w:t>
            </w:r>
            <w:r>
              <w:rPr>
                <w:rFonts w:hAnsi="宋体"/>
                <w:sz w:val="24"/>
              </w:rPr>
              <w:t>9</w:t>
            </w:r>
            <w:r>
              <w:rPr>
                <w:rFonts w:hint="eastAsia" w:hAnsi="宋体"/>
                <w:sz w:val="24"/>
              </w:rPr>
              <w:t>条</w:t>
            </w:r>
          </w:p>
        </w:tc>
        <w:tc>
          <w:tcPr>
            <w:tcW w:w="4110" w:type="dxa"/>
          </w:tcPr>
          <w:p>
            <w:pPr>
              <w:spacing w:line="360" w:lineRule="auto"/>
              <w:rPr>
                <w:rFonts w:hAnsi="宋体"/>
                <w:sz w:val="24"/>
              </w:rPr>
            </w:pPr>
            <w:r>
              <w:rPr>
                <w:rFonts w:hint="eastAsia" w:hAnsi="宋体"/>
                <w:sz w:val="24"/>
              </w:rPr>
              <w:t>场地中处于建筑阴影区外的步道、游憩场、庭院、广场等室外活动场地设有乔木、花架等遮阴措施的面积比例达到10％，2分；达到20％，3分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1343" w:type="dxa"/>
            <w:vMerge w:val="continue"/>
          </w:tcPr>
          <w:p>
            <w:pPr>
              <w:spacing w:line="360" w:lineRule="auto"/>
              <w:rPr>
                <w:rFonts w:hAnsi="宋体"/>
                <w:sz w:val="24"/>
              </w:rPr>
            </w:pPr>
          </w:p>
        </w:tc>
        <w:tc>
          <w:tcPr>
            <w:tcW w:w="2167" w:type="dxa"/>
            <w:vMerge w:val="continue"/>
          </w:tcPr>
          <w:p>
            <w:pPr>
              <w:spacing w:line="360" w:lineRule="auto"/>
              <w:rPr>
                <w:rFonts w:hAnsi="宋体"/>
                <w:sz w:val="24"/>
              </w:rPr>
            </w:pPr>
          </w:p>
        </w:tc>
        <w:tc>
          <w:tcPr>
            <w:tcW w:w="1560" w:type="dxa"/>
            <w:vMerge w:val="continue"/>
          </w:tcPr>
          <w:p>
            <w:pPr>
              <w:spacing w:line="360" w:lineRule="auto"/>
              <w:rPr>
                <w:rFonts w:hAnsi="宋体"/>
                <w:sz w:val="24"/>
              </w:rPr>
            </w:pPr>
          </w:p>
        </w:tc>
        <w:tc>
          <w:tcPr>
            <w:tcW w:w="4110" w:type="dxa"/>
          </w:tcPr>
          <w:p>
            <w:pPr>
              <w:spacing w:line="360" w:lineRule="auto"/>
              <w:rPr>
                <w:rFonts w:hAnsi="宋体"/>
                <w:sz w:val="24"/>
              </w:rPr>
            </w:pPr>
            <w:r>
              <w:rPr>
                <w:rFonts w:hint="eastAsia" w:hAnsi="宋体"/>
                <w:sz w:val="24"/>
              </w:rPr>
              <w:t>场地中处于建筑阴影区外的机动车道，路面太阳辐射反射系数不小于0．4或设有遮阴面积较大的行道树的路段长度超过70％，3分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1343" w:type="dxa"/>
            <w:vMerge w:val="continue"/>
          </w:tcPr>
          <w:p>
            <w:pPr>
              <w:spacing w:line="360" w:lineRule="auto"/>
              <w:rPr>
                <w:rFonts w:hAnsi="宋体"/>
                <w:sz w:val="24"/>
              </w:rPr>
            </w:pPr>
          </w:p>
        </w:tc>
        <w:tc>
          <w:tcPr>
            <w:tcW w:w="2167" w:type="dxa"/>
            <w:vMerge w:val="continue"/>
          </w:tcPr>
          <w:p>
            <w:pPr>
              <w:spacing w:line="360" w:lineRule="auto"/>
              <w:rPr>
                <w:rFonts w:hAnsi="宋体"/>
                <w:sz w:val="24"/>
              </w:rPr>
            </w:pPr>
          </w:p>
        </w:tc>
        <w:tc>
          <w:tcPr>
            <w:tcW w:w="1560" w:type="dxa"/>
            <w:vMerge w:val="continue"/>
          </w:tcPr>
          <w:p>
            <w:pPr>
              <w:spacing w:line="360" w:lineRule="auto"/>
              <w:rPr>
                <w:rFonts w:hAnsi="宋体"/>
                <w:sz w:val="24"/>
              </w:rPr>
            </w:pPr>
          </w:p>
        </w:tc>
        <w:tc>
          <w:tcPr>
            <w:tcW w:w="4110" w:type="dxa"/>
          </w:tcPr>
          <w:p>
            <w:pPr>
              <w:spacing w:line="360" w:lineRule="auto"/>
              <w:rPr>
                <w:rFonts w:hAnsi="宋体"/>
                <w:sz w:val="24"/>
              </w:rPr>
            </w:pPr>
            <w:r>
              <w:rPr>
                <w:rFonts w:hint="eastAsia" w:hAnsi="宋体"/>
                <w:sz w:val="24"/>
              </w:rPr>
              <w:t>屋顶的绿化面积、太阳能板水平投影面积以及太阳辐射反射系数≥0．4的屋面面积合计达到75％，4分。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167"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560" w:type="dxa"/>
          </w:tcPr>
          <w:p>
            <w:pPr>
              <w:spacing w:line="360" w:lineRule="auto"/>
              <w:rPr>
                <w:rFonts w:hAnsi="宋体"/>
                <w:sz w:val="24"/>
              </w:rPr>
            </w:pPr>
            <w:r>
              <w:rPr>
                <w:rFonts w:hAnsi="宋体"/>
                <w:sz w:val="24"/>
              </w:rPr>
              <w:t>4.</w:t>
            </w:r>
            <w:r>
              <w:rPr>
                <w:rFonts w:hint="eastAsia" w:hAnsi="宋体"/>
                <w:sz w:val="24"/>
              </w:rPr>
              <w:t>2.</w:t>
            </w:r>
            <w:r>
              <w:rPr>
                <w:rFonts w:hAnsi="宋体"/>
                <w:sz w:val="24"/>
              </w:rPr>
              <w:t>9</w:t>
            </w:r>
            <w:r>
              <w:rPr>
                <w:rFonts w:hint="eastAsia" w:hAnsi="宋体"/>
                <w:sz w:val="24"/>
              </w:rPr>
              <w:t>条</w:t>
            </w:r>
          </w:p>
        </w:tc>
        <w:tc>
          <w:tcPr>
            <w:tcW w:w="4110"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167" w:type="dxa"/>
            <w:vMerge w:val="continue"/>
          </w:tcPr>
          <w:p>
            <w:pPr>
              <w:spacing w:line="360" w:lineRule="auto"/>
              <w:rPr>
                <w:rFonts w:hAnsi="宋体"/>
                <w:sz w:val="24"/>
              </w:rPr>
            </w:pPr>
          </w:p>
        </w:tc>
        <w:tc>
          <w:tcPr>
            <w:tcW w:w="1560" w:type="dxa"/>
          </w:tcPr>
          <w:p>
            <w:pPr>
              <w:spacing w:line="360" w:lineRule="auto"/>
              <w:rPr>
                <w:rFonts w:hAnsi="宋体"/>
                <w:sz w:val="24"/>
              </w:rPr>
            </w:pPr>
            <w:r>
              <w:rPr>
                <w:rFonts w:hint="eastAsia" w:hAnsi="宋体"/>
                <w:sz w:val="24"/>
              </w:rPr>
              <w:t>4</w:t>
            </w:r>
            <w:r>
              <w:rPr>
                <w:rFonts w:hAnsi="宋体"/>
                <w:sz w:val="24"/>
              </w:rPr>
              <w:t>.2.11</w:t>
            </w:r>
            <w:r>
              <w:rPr>
                <w:rFonts w:hint="eastAsia" w:hAnsi="宋体"/>
                <w:sz w:val="24"/>
              </w:rPr>
              <w:t>条</w:t>
            </w:r>
          </w:p>
        </w:tc>
        <w:tc>
          <w:tcPr>
            <w:tcW w:w="4110"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spacing w:line="360" w:lineRule="auto"/>
              <w:rPr>
                <w:rFonts w:hAnsi="宋体"/>
                <w:sz w:val="24"/>
              </w:rPr>
            </w:pPr>
            <w:r>
              <w:rPr>
                <w:rFonts w:hint="eastAsia" w:hAnsi="宋体"/>
                <w:sz w:val="24"/>
              </w:rPr>
              <w:t>依据材料</w:t>
            </w:r>
          </w:p>
        </w:tc>
        <w:tc>
          <w:tcPr>
            <w:tcW w:w="7837" w:type="dxa"/>
            <w:gridSpan w:val="3"/>
          </w:tcPr>
          <w:p>
            <w:pPr>
              <w:spacing w:line="360" w:lineRule="auto"/>
              <w:ind w:firstLine="480" w:firstLineChars="200"/>
              <w:rPr>
                <w:rFonts w:hAnsi="宋体"/>
                <w:sz w:val="24"/>
              </w:rPr>
            </w:pPr>
            <w:r>
              <w:rPr>
                <w:rFonts w:hint="eastAsia" w:hAnsi="宋体"/>
                <w:sz w:val="24"/>
              </w:rPr>
              <w:t>设计人员依据项目实施的室外景观总平面图、乔木种植平面图、构筑物设计详图（需构筑物投影面积值）、户外活动场地遮阴面积比例计算书；屋面做法详图及道路铺装详图；屋面、道路表面建材的太阳辐射反射系数统计表等，根据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spacing w:line="360" w:lineRule="auto"/>
              <w:rPr>
                <w:rFonts w:hAnsi="宋体"/>
                <w:sz w:val="24"/>
              </w:rPr>
            </w:pPr>
            <w:r>
              <w:rPr>
                <w:rFonts w:hint="eastAsia" w:hAnsi="宋体"/>
                <w:sz w:val="24"/>
              </w:rPr>
              <w:t>备注</w:t>
            </w:r>
          </w:p>
        </w:tc>
        <w:tc>
          <w:tcPr>
            <w:tcW w:w="7837"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如景观图未与土建施工图同时出图时，应在土建图中写明相应措施为景观设计的前置要求，并在总平面图及设计说明中表达。</w:t>
            </w:r>
          </w:p>
          <w:p>
            <w:pPr>
              <w:spacing w:line="360" w:lineRule="auto"/>
              <w:ind w:firstLine="480" w:firstLineChars="200"/>
              <w:rPr>
                <w:rFonts w:hAnsi="宋体"/>
                <w:sz w:val="24"/>
              </w:rPr>
            </w:pPr>
            <w:r>
              <w:rPr>
                <w:rFonts w:hint="eastAsia" w:hAnsi="宋体"/>
                <w:sz w:val="24"/>
              </w:rPr>
              <w:t>填表时当前面条都满足时，就无需再选</w:t>
            </w:r>
            <w:r>
              <w:rPr>
                <w:rFonts w:hAnsi="宋体"/>
                <w:sz w:val="24"/>
              </w:rPr>
              <w:t>10.1</w:t>
            </w:r>
            <w:r>
              <w:rPr>
                <w:rFonts w:hint="eastAsia" w:hAnsi="宋体"/>
                <w:sz w:val="24"/>
              </w:rPr>
              <w:t>项中的措施；如若为不满足，则在需在</w:t>
            </w:r>
            <w:r>
              <w:rPr>
                <w:rFonts w:hAnsi="宋体"/>
                <w:sz w:val="24"/>
              </w:rPr>
              <w:t>10.1</w:t>
            </w:r>
            <w:r>
              <w:rPr>
                <w:rFonts w:hint="eastAsia" w:hAnsi="宋体"/>
                <w:sz w:val="24"/>
              </w:rPr>
              <w:t>项中选择采取的对应措施。</w:t>
            </w:r>
          </w:p>
          <w:p>
            <w:pPr>
              <w:spacing w:line="360" w:lineRule="auto"/>
              <w:ind w:firstLine="480" w:firstLineChars="200"/>
              <w:rPr>
                <w:rFonts w:hAnsi="宋体"/>
                <w:sz w:val="24"/>
              </w:rPr>
            </w:pPr>
            <w:r>
              <w:rPr>
                <w:rFonts w:hint="eastAsia" w:hAnsi="宋体"/>
                <w:sz w:val="24"/>
              </w:rPr>
              <w:t>户外活动场地包括：步道、庭院、广场、游慧、场和停车场。乔木遮阴面积按照成年乔木的树冠正投影面积计算；构筑物遮阴面积按照构筑物正投影面积计算。</w:t>
            </w:r>
          </w:p>
        </w:tc>
      </w:tr>
    </w:tbl>
    <w:p>
      <w:pPr>
        <w:spacing w:line="360" w:lineRule="auto"/>
        <w:rPr>
          <w:rFonts w:hAnsi="宋体"/>
          <w:sz w:val="24"/>
        </w:rPr>
      </w:pPr>
    </w:p>
    <w:p>
      <w:pPr>
        <w:pStyle w:val="271"/>
        <w:numPr>
          <w:ilvl w:val="0"/>
          <w:numId w:val="44"/>
        </w:numPr>
        <w:spacing w:line="360" w:lineRule="auto"/>
        <w:ind w:firstLineChars="0"/>
        <w:rPr>
          <w:rFonts w:hAnsi="宋体"/>
          <w:b/>
          <w:sz w:val="24"/>
        </w:rPr>
      </w:pPr>
      <w:r>
        <w:rPr>
          <w:rFonts w:hint="eastAsia" w:hAnsi="宋体"/>
          <w:b/>
          <w:sz w:val="24"/>
        </w:rPr>
        <w:t>场地光环境：</w:t>
      </w:r>
    </w:p>
    <w:p>
      <w:pPr>
        <w:spacing w:line="360" w:lineRule="auto"/>
        <w:rPr>
          <w:rFonts w:hAnsi="宋体"/>
          <w:sz w:val="24"/>
        </w:rPr>
      </w:pPr>
      <w:r>
        <w:rPr>
          <w:rFonts w:hAnsi="宋体"/>
          <w:sz w:val="24"/>
        </w:rPr>
        <w:t>1</w:t>
      </w:r>
      <w:r>
        <w:rPr>
          <w:rFonts w:hint="eastAsia" w:hAnsi="宋体"/>
          <w:sz w:val="24"/>
        </w:rPr>
        <w:t>0</w:t>
      </w:r>
      <w:r>
        <w:rPr>
          <w:rFonts w:hAnsi="宋体"/>
          <w:sz w:val="24"/>
        </w:rPr>
        <w:t>.1</w:t>
      </w:r>
      <w:r>
        <w:rPr>
          <w:rFonts w:hint="eastAsia" w:hAnsi="宋体"/>
          <w:sz w:val="24"/>
        </w:rPr>
        <w:t>合理进行场地和道路照明设计，室外照明光污染应符合现行国家标准《室外照明干扰光限制规范》GB/T 35626、现行行业标准《城市夜景照明设计规范》JGJ/T 163和现行地方标准《环境照明工程设计规范》DB</w:t>
      </w:r>
      <w:r>
        <w:rPr>
          <w:rFonts w:hAnsi="宋体"/>
          <w:sz w:val="24"/>
        </w:rPr>
        <w:t xml:space="preserve"> </w:t>
      </w:r>
      <w:r>
        <w:rPr>
          <w:rFonts w:hint="eastAsia" w:hAnsi="宋体"/>
          <w:sz w:val="24"/>
        </w:rPr>
        <w:t>33/T 1055的相关规定。</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1843"/>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restart"/>
          </w:tcPr>
          <w:p>
            <w:pPr>
              <w:spacing w:line="360" w:lineRule="auto"/>
              <w:rPr>
                <w:rFonts w:hAnsi="宋体"/>
                <w:sz w:val="24"/>
              </w:rPr>
            </w:pPr>
            <w:r>
              <w:rPr>
                <w:rFonts w:hint="eastAsia" w:hAnsi="宋体"/>
                <w:sz w:val="24"/>
              </w:rPr>
              <w:t>条文来源</w:t>
            </w:r>
          </w:p>
        </w:tc>
        <w:tc>
          <w:tcPr>
            <w:tcW w:w="2305" w:type="dxa"/>
          </w:tcPr>
          <w:p>
            <w:pPr>
              <w:spacing w:line="360" w:lineRule="auto"/>
              <w:rPr>
                <w:rFonts w:hAnsi="宋体"/>
                <w:sz w:val="24"/>
              </w:rPr>
            </w:pPr>
            <w:r>
              <w:rPr>
                <w:rFonts w:hint="eastAsia" w:hAnsi="宋体"/>
                <w:sz w:val="24"/>
              </w:rPr>
              <w:t>GB/T 50378-201</w:t>
            </w:r>
            <w:r>
              <w:rPr>
                <w:rFonts w:hAnsi="宋体"/>
                <w:sz w:val="24"/>
              </w:rPr>
              <w:t>9</w:t>
            </w:r>
          </w:p>
        </w:tc>
        <w:tc>
          <w:tcPr>
            <w:tcW w:w="1843" w:type="dxa"/>
          </w:tcPr>
          <w:p>
            <w:pPr>
              <w:spacing w:line="360" w:lineRule="auto"/>
              <w:rPr>
                <w:rFonts w:hAnsi="宋体"/>
                <w:sz w:val="24"/>
              </w:rPr>
            </w:pPr>
            <w:r>
              <w:rPr>
                <w:rFonts w:hint="eastAsia" w:hAnsi="宋体"/>
                <w:sz w:val="24"/>
              </w:rPr>
              <w:t>8</w:t>
            </w:r>
            <w:r>
              <w:rPr>
                <w:rFonts w:hAnsi="宋体"/>
                <w:sz w:val="24"/>
              </w:rPr>
              <w:t>.2.7</w:t>
            </w:r>
            <w:r>
              <w:rPr>
                <w:rFonts w:hint="eastAsia" w:hAnsi="宋体"/>
                <w:sz w:val="24"/>
              </w:rPr>
              <w:t>条-</w:t>
            </w:r>
            <w:r>
              <w:rPr>
                <w:rFonts w:hAnsi="宋体"/>
                <w:sz w:val="24"/>
              </w:rPr>
              <w:t>2</w:t>
            </w:r>
          </w:p>
        </w:tc>
        <w:tc>
          <w:tcPr>
            <w:tcW w:w="3685" w:type="dxa"/>
          </w:tcPr>
          <w:p>
            <w:pPr>
              <w:spacing w:line="360" w:lineRule="auto"/>
              <w:rPr>
                <w:rFonts w:hAnsi="宋体"/>
                <w:sz w:val="24"/>
              </w:rPr>
            </w:pPr>
            <w:r>
              <w:rPr>
                <w:rFonts w:hint="eastAsia" w:hAnsi="宋体"/>
                <w:sz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spacing w:line="360" w:lineRule="auto"/>
              <w:rPr>
                <w:rFonts w:hAnsi="宋体"/>
                <w:sz w:val="24"/>
              </w:rPr>
            </w:pPr>
          </w:p>
        </w:tc>
        <w:tc>
          <w:tcPr>
            <w:tcW w:w="2305" w:type="dxa"/>
          </w:tcPr>
          <w:p>
            <w:pPr>
              <w:spacing w:line="360" w:lineRule="auto"/>
              <w:rPr>
                <w:rFonts w:hAnsi="宋体"/>
                <w:sz w:val="24"/>
              </w:rPr>
            </w:pPr>
            <w:r>
              <w:rPr>
                <w:rFonts w:hint="eastAsia" w:hAnsi="宋体"/>
                <w:sz w:val="24"/>
              </w:rPr>
              <w:t>DB 33/1092-20</w:t>
            </w:r>
            <w:r>
              <w:rPr>
                <w:rFonts w:hAnsi="宋体"/>
                <w:sz w:val="24"/>
              </w:rPr>
              <w:t>21</w:t>
            </w:r>
          </w:p>
        </w:tc>
        <w:tc>
          <w:tcPr>
            <w:tcW w:w="1843" w:type="dxa"/>
          </w:tcPr>
          <w:p>
            <w:pPr>
              <w:spacing w:line="360" w:lineRule="auto"/>
              <w:rPr>
                <w:rFonts w:hAnsi="宋体"/>
                <w:sz w:val="24"/>
              </w:rPr>
            </w:pPr>
            <w:r>
              <w:rPr>
                <w:rFonts w:hint="eastAsia" w:hAnsi="宋体"/>
                <w:sz w:val="24"/>
              </w:rPr>
              <w:t>4.2.</w:t>
            </w:r>
            <w:r>
              <w:rPr>
                <w:rFonts w:hAnsi="宋体"/>
                <w:sz w:val="24"/>
              </w:rPr>
              <w:t>6</w:t>
            </w:r>
            <w:r>
              <w:rPr>
                <w:rFonts w:hint="eastAsia" w:hAnsi="宋体"/>
                <w:sz w:val="24"/>
              </w:rPr>
              <w:t>条-</w:t>
            </w:r>
            <w:r>
              <w:rPr>
                <w:rFonts w:hAnsi="宋体"/>
                <w:sz w:val="24"/>
              </w:rPr>
              <w:t>1</w:t>
            </w:r>
          </w:p>
        </w:tc>
        <w:tc>
          <w:tcPr>
            <w:tcW w:w="3685"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依据材料</w:t>
            </w:r>
          </w:p>
        </w:tc>
        <w:tc>
          <w:tcPr>
            <w:tcW w:w="7833" w:type="dxa"/>
            <w:gridSpan w:val="3"/>
          </w:tcPr>
          <w:p>
            <w:pPr>
              <w:spacing w:line="360" w:lineRule="auto"/>
              <w:rPr>
                <w:rFonts w:hAnsi="宋体"/>
                <w:sz w:val="24"/>
              </w:rPr>
            </w:pPr>
            <w:r>
              <w:rPr>
                <w:rFonts w:hint="eastAsia" w:hAnsi="宋体"/>
                <w:sz w:val="24"/>
              </w:rPr>
              <w:t xml:space="preserve">   </w:t>
            </w:r>
            <w:r>
              <w:rPr>
                <w:rFonts w:hAnsi="宋体"/>
                <w:sz w:val="24"/>
              </w:rPr>
              <w:t xml:space="preserve"> </w:t>
            </w:r>
            <w:r>
              <w:rPr>
                <w:rFonts w:hint="eastAsia" w:hAnsi="宋体"/>
                <w:sz w:val="24"/>
              </w:rPr>
              <w:t>设计人员应根据相关设计文件、光污染分析报告，以及按照项目实际填写此项内容。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833" w:type="dxa"/>
            <w:gridSpan w:val="3"/>
          </w:tcPr>
          <w:p>
            <w:pPr>
              <w:spacing w:line="360" w:lineRule="auto"/>
              <w:rPr>
                <w:rFonts w:hAnsi="宋体"/>
                <w:sz w:val="24"/>
              </w:rPr>
            </w:pPr>
            <w:r>
              <w:rPr>
                <w:rFonts w:hint="eastAsia" w:hAnsi="宋体"/>
                <w:sz w:val="24"/>
              </w:rPr>
              <w:t xml:space="preserve">    </w:t>
            </w:r>
            <w:r>
              <w:rPr>
                <w:rFonts w:hAnsi="宋体"/>
                <w:sz w:val="24"/>
              </w:rPr>
              <w:t>室外夜景照明、广告照明等产生的眩光会让人感到不舒服，还会使人降低对灯光信号等重要信息的辨识力，带来安全隐患。宿舍、教学楼等不宜设置泛光照明。 应根据室外环境的照明要求进行室外照明的规划和设计。建筑物 立面、广告牌、街景、园林绿地、喷泉水景、雕塑小品等景观照明的 规划，应根据功能、所在位置、环境条件等确定景观照明的亮度水平； 重点建筑照明的亮度水平及其色彩与园林绿地、喷泉水景、雕塑小品 等的照明亮度及其它们之间的过渡空间亮度水平应协调。建筑物立面泛光照明、场地和道路照明设计应分析所选用的灯具的光强分布曲线，确定灯具的瞄准角（投射角、仰角）、挡光板设置、设置位置等，控制灯具直接射向空中的光线（溢出光）数量。另外，还应考核建筑物立面照明、场地和道路照明对周围居住建筑窗户上产生的垂直照度。</w:t>
            </w:r>
          </w:p>
        </w:tc>
      </w:tr>
    </w:tbl>
    <w:p>
      <w:pPr>
        <w:pStyle w:val="78"/>
        <w:tabs>
          <w:tab w:val="left" w:pos="360"/>
        </w:tabs>
        <w:spacing w:before="124" w:beforeLines="40" w:after="124" w:afterLines="40" w:line="360" w:lineRule="auto"/>
        <w:ind w:firstLine="0" w:firstLineChars="0"/>
        <w:rPr>
          <w:rFonts w:hAnsi="宋体"/>
          <w:sz w:val="24"/>
        </w:rPr>
      </w:pPr>
      <w:r>
        <w:rPr>
          <w:rFonts w:hint="eastAsia" w:hAnsi="宋体"/>
          <w:b/>
          <w:sz w:val="24"/>
        </w:rPr>
        <w:t>11. 其他绿色设计措施：</w:t>
      </w:r>
    </w:p>
    <w:p>
      <w:pPr>
        <w:spacing w:line="360" w:lineRule="auto"/>
        <w:ind w:firstLine="480" w:firstLineChars="200"/>
        <w:rPr>
          <w:rFonts w:hAnsi="宋体"/>
          <w:sz w:val="24"/>
        </w:rPr>
      </w:pPr>
      <w:r>
        <w:rPr>
          <w:rFonts w:hint="eastAsia" w:hAnsi="宋体"/>
          <w:sz w:val="24"/>
        </w:rPr>
        <w:t>填表时，当前面表格条目内容已涵盖项目中的绿色技术措施，就无需再填写；如有未在表格内容项中表达的，则可在此项中填写其他绿色设计措施。</w:t>
      </w:r>
    </w:p>
    <w:p>
      <w:pPr>
        <w:spacing w:line="360" w:lineRule="auto"/>
        <w:rPr>
          <w:rFonts w:hAnsi="宋体"/>
          <w:b/>
          <w:sz w:val="24"/>
        </w:rPr>
      </w:pPr>
    </w:p>
    <w:p>
      <w:pPr>
        <w:pStyle w:val="267"/>
        <w:numPr>
          <w:ilvl w:val="0"/>
          <w:numId w:val="42"/>
        </w:numPr>
        <w:ind w:firstLine="420"/>
      </w:pPr>
      <w:r>
        <w:t>建筑设计技术措施</w:t>
      </w:r>
    </w:p>
    <w:p>
      <w:pPr>
        <w:pStyle w:val="267"/>
        <w:jc w:val="both"/>
        <w:rPr>
          <w:lang w:eastAsia="zh-Hans"/>
        </w:rPr>
      </w:pPr>
      <w:r>
        <w:rPr>
          <w:rFonts w:hint="eastAsia"/>
          <w:lang w:eastAsia="zh-Hans"/>
        </w:rPr>
        <w:t>控制项内容：</w:t>
      </w:r>
    </w:p>
    <w:p>
      <w:pPr>
        <w:pStyle w:val="90"/>
        <w:numPr>
          <w:ilvl w:val="0"/>
          <w:numId w:val="45"/>
        </w:numPr>
        <w:spacing w:line="360" w:lineRule="auto"/>
        <w:ind w:left="430" w:hanging="430"/>
        <w:rPr>
          <w:rFonts w:asciiTheme="minorEastAsia" w:hAnsiTheme="minorEastAsia" w:eastAsiaTheme="minorEastAsia"/>
          <w:sz w:val="24"/>
          <w:szCs w:val="24"/>
        </w:rPr>
      </w:pPr>
      <w:r>
        <w:rPr>
          <w:rFonts w:hint="eastAsia" w:asciiTheme="minorEastAsia" w:hAnsiTheme="minorEastAsia" w:eastAsiaTheme="minorEastAsia"/>
          <w:sz w:val="24"/>
          <w:szCs w:val="24"/>
        </w:rPr>
        <w:t>建筑设计结合场地自然条件和建筑功能需求进行节能设计，建筑节能设计满足</w:t>
      </w:r>
      <w:r>
        <w:rPr>
          <w:rFonts w:asciiTheme="minorEastAsia" w:hAnsiTheme="minorEastAsia" w:eastAsiaTheme="minorEastAsia"/>
          <w:sz w:val="24"/>
          <w:szCs w:val="24"/>
        </w:rPr>
        <w:t>现行国家和</w:t>
      </w:r>
      <w:r>
        <w:rPr>
          <w:rFonts w:hint="eastAsia" w:asciiTheme="minorEastAsia" w:hAnsiTheme="minorEastAsia" w:eastAsiaTheme="minorEastAsia"/>
          <w:sz w:val="24"/>
          <w:szCs w:val="24"/>
        </w:rPr>
        <w:t>浙江省</w:t>
      </w:r>
      <w:r>
        <w:rPr>
          <w:rFonts w:asciiTheme="minorEastAsia" w:hAnsiTheme="minorEastAsia" w:eastAsiaTheme="minorEastAsia"/>
          <w:sz w:val="24"/>
          <w:szCs w:val="24"/>
        </w:rPr>
        <w:t>建筑节能设计标准的要求</w:t>
      </w:r>
      <w:r>
        <w:rPr>
          <w:rFonts w:hint="eastAsia" w:asciiTheme="minorEastAsia" w:hAnsiTheme="minorEastAsia" w:eastAsiaTheme="minorEastAsia"/>
          <w:sz w:val="24"/>
          <w:szCs w:val="24"/>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589"/>
        <w:gridCol w:w="1417"/>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589" w:type="dxa"/>
          </w:tcPr>
          <w:p>
            <w:pPr>
              <w:pStyle w:val="84"/>
              <w:spacing w:line="360" w:lineRule="auto"/>
              <w:rPr>
                <w:sz w:val="24"/>
              </w:rPr>
            </w:pPr>
            <w:r>
              <w:rPr>
                <w:rFonts w:hint="eastAsia"/>
                <w:sz w:val="24"/>
              </w:rPr>
              <w:t>GB/T 50378-201</w:t>
            </w:r>
            <w:r>
              <w:rPr>
                <w:sz w:val="24"/>
              </w:rPr>
              <w:t>9</w:t>
            </w:r>
          </w:p>
        </w:tc>
        <w:tc>
          <w:tcPr>
            <w:tcW w:w="1417" w:type="dxa"/>
          </w:tcPr>
          <w:p>
            <w:pPr>
              <w:pStyle w:val="84"/>
              <w:spacing w:line="360" w:lineRule="auto"/>
              <w:rPr>
                <w:sz w:val="24"/>
              </w:rPr>
            </w:pPr>
            <w:r>
              <w:rPr>
                <w:sz w:val="24"/>
              </w:rPr>
              <w:t>7.1.1</w:t>
            </w:r>
            <w:r>
              <w:rPr>
                <w:rFonts w:hint="eastAsia"/>
                <w:sz w:val="24"/>
              </w:rPr>
              <w:t xml:space="preserve">条 </w:t>
            </w:r>
          </w:p>
        </w:tc>
        <w:tc>
          <w:tcPr>
            <w:tcW w:w="3827"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589"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417" w:type="dxa"/>
          </w:tcPr>
          <w:p>
            <w:pPr>
              <w:pStyle w:val="84"/>
              <w:spacing w:line="360" w:lineRule="auto"/>
              <w:rPr>
                <w:sz w:val="24"/>
                <w:lang w:eastAsia="zh-Hans"/>
              </w:rPr>
            </w:pPr>
            <w:r>
              <w:rPr>
                <w:sz w:val="24"/>
              </w:rPr>
              <w:t>5.1.3</w:t>
            </w:r>
            <w:r>
              <w:rPr>
                <w:rFonts w:hint="eastAsia"/>
                <w:sz w:val="24"/>
              </w:rPr>
              <w:t>条</w:t>
            </w:r>
          </w:p>
        </w:tc>
        <w:tc>
          <w:tcPr>
            <w:tcW w:w="3827"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7833" w:type="dxa"/>
            <w:gridSpan w:val="3"/>
          </w:tcPr>
          <w:p>
            <w:pPr>
              <w:pStyle w:val="84"/>
              <w:spacing w:line="360" w:lineRule="auto"/>
              <w:ind w:firstLine="480" w:firstLineChars="200"/>
              <w:jc w:val="left"/>
              <w:rPr>
                <w:sz w:val="24"/>
                <w:lang w:eastAsia="zh-Hans"/>
              </w:rPr>
            </w:pPr>
            <w:r>
              <w:rPr>
                <w:rFonts w:hint="eastAsia"/>
                <w:sz w:val="24"/>
              </w:rPr>
              <w:t>设计人员应依据项目的相关设计文件（总图、建筑鸟瞰图、单体效果图、人群视点透视图、平立剖图纸、设计说明等）、节能计算书、建筑日照模拟计算报告、优化设计报告</w:t>
            </w:r>
            <w:r>
              <w:rPr>
                <w:rFonts w:hint="eastAsia"/>
                <w:sz w:val="24"/>
                <w:lang w:eastAsia="zh-Hans"/>
              </w:rPr>
              <w:t>等，</w:t>
            </w:r>
            <w:r>
              <w:rPr>
                <w:rFonts w:hint="eastAsia"/>
                <w:sz w:val="24"/>
              </w:rPr>
              <w:t>根据项目情况，填写此项内容。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7833" w:type="dxa"/>
            <w:gridSpan w:val="3"/>
          </w:tcPr>
          <w:p>
            <w:pPr>
              <w:pStyle w:val="84"/>
              <w:spacing w:line="360" w:lineRule="auto"/>
              <w:ind w:firstLine="480" w:firstLineChars="200"/>
              <w:jc w:val="left"/>
              <w:rPr>
                <w:sz w:val="24"/>
                <w:lang w:eastAsia="zh-Hans"/>
              </w:rPr>
            </w:pPr>
            <w:r>
              <w:rPr>
                <w:rFonts w:hint="eastAsia"/>
                <w:sz w:val="24"/>
                <w:lang w:eastAsia="zh-Hans"/>
              </w:rPr>
              <w:t>建筑设计时应强化“空间节能优先”原则的重点要求。优化体形、空间平面布局，包括合理控制建筑空调供暖的规模、区域和时间，可以实现对建筑的自然通风和天然采光的优先利用，降低供暖空调照明负荷，降低建筑能耗。</w:t>
            </w:r>
          </w:p>
          <w:p>
            <w:pPr>
              <w:pStyle w:val="84"/>
              <w:spacing w:line="360" w:lineRule="auto"/>
              <w:ind w:firstLine="480" w:firstLineChars="200"/>
              <w:jc w:val="left"/>
              <w:rPr>
                <w:sz w:val="24"/>
                <w:lang w:eastAsia="zh-Hans"/>
              </w:rPr>
            </w:pPr>
            <w:r>
              <w:rPr>
                <w:rFonts w:hint="eastAsia"/>
                <w:sz w:val="24"/>
                <w:lang w:eastAsia="zh-Hans"/>
              </w:rPr>
              <w:t>因地制宜是绿色建筑设计首先要考虑的因素，不仅仅需要考虑当地气候条件，其建筑的形体、尺度还需要综合场地周边的传统文化、地方特色统筹协调，建筑物的平面布局应结合场地地形、环境等自然条件制约，并权衡各因素之间的相互关系，通过多方面分析、优化建筑的规划设计。绿色建筑设计还应在综合考虑基地容积率、限高、绿化率、交通等功能因素基础上，统筹考虑冬夏季节节能需求，优化设计体形、朝向和窗墙比。</w:t>
            </w:r>
          </w:p>
          <w:p>
            <w:pPr>
              <w:pStyle w:val="84"/>
              <w:spacing w:line="360" w:lineRule="auto"/>
              <w:jc w:val="left"/>
              <w:rPr>
                <w:sz w:val="24"/>
                <w:lang w:eastAsia="zh-Hans"/>
              </w:rPr>
            </w:pPr>
            <w:r>
              <w:rPr>
                <w:rFonts w:hint="eastAsia"/>
                <w:sz w:val="24"/>
                <w:lang w:eastAsia="zh-Hans"/>
              </w:rPr>
              <w:t>本条涉及的建筑节能标准，包括国家现行标准《公共建筑节能设计标准》GB 50189 、《严寒和寒冷地区居住建筑节能设计标准》JGJ 26、《夏热冬冷地区居住建筑节能设计标准》JGJ 134、《夏热冬暖地区居住建筑节能设计标准》JGJ 75等。</w:t>
            </w:r>
          </w:p>
        </w:tc>
      </w:tr>
    </w:tbl>
    <w:p>
      <w:pPr>
        <w:pStyle w:val="90"/>
        <w:spacing w:line="360" w:lineRule="auto"/>
        <w:ind w:left="420"/>
        <w:rPr>
          <w:rFonts w:asciiTheme="minorEastAsia" w:hAnsiTheme="minorEastAsia" w:eastAsiaTheme="minorEastAsia"/>
          <w:sz w:val="24"/>
          <w:szCs w:val="24"/>
        </w:rPr>
      </w:pPr>
    </w:p>
    <w:p>
      <w:pPr>
        <w:pStyle w:val="90"/>
        <w:numPr>
          <w:ilvl w:val="0"/>
          <w:numId w:val="45"/>
        </w:numPr>
        <w:spacing w:line="360" w:lineRule="auto"/>
        <w:ind w:left="430" w:hanging="430"/>
        <w:rPr>
          <w:rFonts w:asciiTheme="minorEastAsia" w:hAnsiTheme="minorEastAsia" w:eastAsiaTheme="minorEastAsia"/>
          <w:sz w:val="24"/>
          <w:szCs w:val="24"/>
        </w:rPr>
      </w:pPr>
      <w:r>
        <w:rPr>
          <w:rFonts w:hint="eastAsia" w:asciiTheme="minorEastAsia" w:hAnsiTheme="minorEastAsia" w:eastAsiaTheme="minorEastAsia"/>
          <w:sz w:val="24"/>
          <w:szCs w:val="24"/>
        </w:rPr>
        <w:t>屋顶和外墙隔热性能满足现行国家标准《民用建筑热工设计规范》</w:t>
      </w:r>
      <w:r>
        <w:rPr>
          <w:rFonts w:asciiTheme="minorEastAsia" w:hAnsiTheme="minorEastAsia" w:eastAsiaTheme="minorEastAsia"/>
          <w:sz w:val="24"/>
          <w:szCs w:val="24"/>
        </w:rPr>
        <w:t xml:space="preserve">GB 50176 </w:t>
      </w:r>
      <w:r>
        <w:rPr>
          <w:rFonts w:hint="eastAsia" w:asciiTheme="minorEastAsia" w:hAnsiTheme="minorEastAsia" w:eastAsiaTheme="minorEastAsia"/>
          <w:sz w:val="24"/>
          <w:szCs w:val="24"/>
        </w:rPr>
        <w:t>的要求。</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1843"/>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305" w:type="dxa"/>
          </w:tcPr>
          <w:p>
            <w:pPr>
              <w:pStyle w:val="84"/>
              <w:spacing w:line="360" w:lineRule="auto"/>
              <w:rPr>
                <w:sz w:val="24"/>
              </w:rPr>
            </w:pPr>
            <w:r>
              <w:rPr>
                <w:rFonts w:hint="eastAsia"/>
                <w:sz w:val="24"/>
              </w:rPr>
              <w:t>GB/T 50378-201</w:t>
            </w:r>
            <w:r>
              <w:rPr>
                <w:sz w:val="24"/>
              </w:rPr>
              <w:t>9</w:t>
            </w:r>
          </w:p>
        </w:tc>
        <w:tc>
          <w:tcPr>
            <w:tcW w:w="1843" w:type="dxa"/>
          </w:tcPr>
          <w:p>
            <w:pPr>
              <w:pStyle w:val="84"/>
              <w:spacing w:line="360" w:lineRule="auto"/>
              <w:rPr>
                <w:sz w:val="24"/>
              </w:rPr>
            </w:pPr>
            <w:r>
              <w:rPr>
                <w:sz w:val="24"/>
              </w:rPr>
              <w:t>5.1.7</w:t>
            </w:r>
            <w:r>
              <w:rPr>
                <w:rFonts w:hint="eastAsia"/>
                <w:sz w:val="24"/>
              </w:rPr>
              <w:t xml:space="preserve">条 </w:t>
            </w:r>
          </w:p>
        </w:tc>
        <w:tc>
          <w:tcPr>
            <w:tcW w:w="3685"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305"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843" w:type="dxa"/>
          </w:tcPr>
          <w:p>
            <w:pPr>
              <w:pStyle w:val="84"/>
              <w:spacing w:line="360" w:lineRule="auto"/>
              <w:rPr>
                <w:sz w:val="24"/>
                <w:lang w:eastAsia="zh-Hans"/>
              </w:rPr>
            </w:pPr>
            <w:r>
              <w:rPr>
                <w:sz w:val="24"/>
              </w:rPr>
              <w:t>5.1.4</w:t>
            </w:r>
            <w:r>
              <w:rPr>
                <w:rFonts w:hint="eastAsia"/>
                <w:sz w:val="24"/>
              </w:rPr>
              <w:t>条</w:t>
            </w:r>
          </w:p>
        </w:tc>
        <w:tc>
          <w:tcPr>
            <w:tcW w:w="3685"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7833" w:type="dxa"/>
            <w:gridSpan w:val="3"/>
          </w:tcPr>
          <w:p>
            <w:pPr>
              <w:pStyle w:val="84"/>
              <w:spacing w:line="360" w:lineRule="auto"/>
              <w:ind w:firstLine="480" w:firstLineChars="200"/>
              <w:jc w:val="left"/>
              <w:rPr>
                <w:sz w:val="24"/>
                <w:lang w:eastAsia="zh-Hans"/>
              </w:rPr>
            </w:pPr>
            <w:r>
              <w:rPr>
                <w:rFonts w:hint="eastAsia"/>
                <w:sz w:val="24"/>
              </w:rPr>
              <w:t>设计人员应依据项目的相关设计</w:t>
            </w:r>
            <w:r>
              <w:rPr>
                <w:rFonts w:hint="eastAsia"/>
                <w:sz w:val="24"/>
                <w:lang w:eastAsia="zh-Hans"/>
              </w:rPr>
              <w:t>图纸</w:t>
            </w:r>
            <w:r>
              <w:rPr>
                <w:rFonts w:hint="eastAsia"/>
                <w:sz w:val="24"/>
              </w:rPr>
              <w:t>、</w:t>
            </w:r>
            <w:r>
              <w:rPr>
                <w:rFonts w:hint="eastAsia"/>
                <w:sz w:val="24"/>
                <w:lang w:eastAsia="zh-Hans"/>
              </w:rPr>
              <w:t>节能报告、</w:t>
            </w:r>
            <w:r>
              <w:rPr>
                <w:rFonts w:hint="eastAsia"/>
                <w:sz w:val="24"/>
              </w:rPr>
              <w:t>隔热性能验算报告、</w:t>
            </w:r>
            <w:r>
              <w:rPr>
                <w:rFonts w:hint="eastAsia"/>
                <w:sz w:val="24"/>
                <w:lang w:eastAsia="zh-Hans"/>
              </w:rPr>
              <w:t>复核</w:t>
            </w:r>
            <w:r>
              <w:rPr>
                <w:rFonts w:hint="eastAsia"/>
                <w:sz w:val="24"/>
              </w:rPr>
              <w:t>建筑构造与计算报告</w:t>
            </w:r>
            <w:r>
              <w:rPr>
                <w:rFonts w:hint="eastAsia"/>
                <w:sz w:val="24"/>
                <w:lang w:eastAsia="zh-Hans"/>
              </w:rPr>
              <w:t>的</w:t>
            </w:r>
            <w:r>
              <w:rPr>
                <w:rFonts w:hint="eastAsia"/>
                <w:sz w:val="24"/>
              </w:rPr>
              <w:t>一致性</w:t>
            </w:r>
            <w:r>
              <w:rPr>
                <w:rFonts w:hint="eastAsia"/>
                <w:sz w:val="24"/>
                <w:lang w:eastAsia="zh-Hans"/>
              </w:rPr>
              <w:t>，</w:t>
            </w:r>
            <w:r>
              <w:rPr>
                <w:rFonts w:hint="eastAsia"/>
                <w:sz w:val="24"/>
              </w:rPr>
              <w:t>根据项目情况，填写此项内容。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7833" w:type="dxa"/>
            <w:gridSpan w:val="3"/>
          </w:tcPr>
          <w:p>
            <w:pPr>
              <w:pStyle w:val="84"/>
              <w:spacing w:line="360" w:lineRule="auto"/>
              <w:ind w:firstLine="480" w:firstLineChars="200"/>
              <w:jc w:val="left"/>
              <w:rPr>
                <w:sz w:val="24"/>
                <w:lang w:eastAsia="zh-Hans"/>
              </w:rPr>
            </w:pPr>
            <w:r>
              <w:rPr>
                <w:rFonts w:hint="eastAsia"/>
                <w:sz w:val="24"/>
                <w:lang w:eastAsia="zh-Hans"/>
              </w:rPr>
              <w:t>民用建筑的热工设计与地区气候相适应，保证室内基本的热环境要求。</w:t>
            </w:r>
          </w:p>
          <w:p>
            <w:pPr>
              <w:pStyle w:val="84"/>
              <w:spacing w:line="360" w:lineRule="auto"/>
              <w:ind w:firstLine="480" w:firstLineChars="200"/>
              <w:jc w:val="left"/>
              <w:rPr>
                <w:sz w:val="24"/>
                <w:lang w:eastAsia="zh-Hans"/>
              </w:rPr>
            </w:pPr>
            <w:r>
              <w:rPr>
                <w:rFonts w:hint="eastAsia"/>
                <w:sz w:val="24"/>
                <w:lang w:eastAsia="zh-Hans"/>
              </w:rPr>
              <w:t>屋顶和外墙的隔热性能，对于建筑在夏季时室内热舒适度的改善，以及空调负荷的降低，具有重要意义。屋顶和外墙的热工性能不仅要满足国家现行建筑节能标准的要求，也要满足现行国家标准《民用建筑热工设计规范》 GB 50176 的要求，并进行隔热性能验算。</w:t>
            </w:r>
          </w:p>
        </w:tc>
      </w:tr>
    </w:tbl>
    <w:p>
      <w:pPr>
        <w:pStyle w:val="90"/>
        <w:spacing w:line="360" w:lineRule="auto"/>
        <w:rPr>
          <w:rFonts w:asciiTheme="minorEastAsia" w:hAnsiTheme="minorEastAsia" w:eastAsiaTheme="minorEastAsia"/>
          <w:sz w:val="24"/>
          <w:szCs w:val="24"/>
        </w:rPr>
      </w:pPr>
    </w:p>
    <w:p>
      <w:pPr>
        <w:pStyle w:val="90"/>
        <w:numPr>
          <w:ilvl w:val="0"/>
          <w:numId w:val="45"/>
        </w:numPr>
        <w:spacing w:line="360" w:lineRule="auto"/>
        <w:ind w:left="430" w:hanging="430"/>
        <w:rPr>
          <w:rFonts w:asciiTheme="minorEastAsia" w:hAnsiTheme="minorEastAsia" w:eastAsiaTheme="minorEastAsia"/>
          <w:sz w:val="24"/>
          <w:szCs w:val="24"/>
        </w:rPr>
      </w:pPr>
      <w:r>
        <w:rPr>
          <w:rFonts w:hint="eastAsia" w:asciiTheme="minorEastAsia" w:hAnsiTheme="minorEastAsia" w:eastAsiaTheme="minorEastAsia"/>
          <w:sz w:val="24"/>
          <w:szCs w:val="24"/>
        </w:rPr>
        <w:t>建筑造型要素简约，无大量装饰性构件。</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589"/>
        <w:gridCol w:w="1417"/>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589" w:type="dxa"/>
          </w:tcPr>
          <w:p>
            <w:pPr>
              <w:pStyle w:val="84"/>
              <w:spacing w:line="360" w:lineRule="auto"/>
              <w:rPr>
                <w:sz w:val="24"/>
              </w:rPr>
            </w:pPr>
            <w:r>
              <w:rPr>
                <w:rFonts w:hint="eastAsia"/>
                <w:sz w:val="24"/>
              </w:rPr>
              <w:t>GB/T 50378-201</w:t>
            </w:r>
            <w:r>
              <w:rPr>
                <w:sz w:val="24"/>
              </w:rPr>
              <w:t>9</w:t>
            </w:r>
          </w:p>
        </w:tc>
        <w:tc>
          <w:tcPr>
            <w:tcW w:w="1417" w:type="dxa"/>
          </w:tcPr>
          <w:p>
            <w:pPr>
              <w:pStyle w:val="84"/>
              <w:spacing w:line="360" w:lineRule="auto"/>
              <w:rPr>
                <w:sz w:val="24"/>
              </w:rPr>
            </w:pPr>
            <w:r>
              <w:rPr>
                <w:sz w:val="24"/>
              </w:rPr>
              <w:t>7.1.9</w:t>
            </w:r>
            <w:r>
              <w:rPr>
                <w:rFonts w:hint="eastAsia"/>
                <w:sz w:val="24"/>
              </w:rPr>
              <w:t xml:space="preserve">条 </w:t>
            </w:r>
          </w:p>
        </w:tc>
        <w:tc>
          <w:tcPr>
            <w:tcW w:w="3827"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589"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417" w:type="dxa"/>
          </w:tcPr>
          <w:p>
            <w:pPr>
              <w:pStyle w:val="84"/>
              <w:spacing w:line="360" w:lineRule="auto"/>
              <w:rPr>
                <w:sz w:val="24"/>
                <w:lang w:eastAsia="zh-Hans"/>
              </w:rPr>
            </w:pPr>
            <w:r>
              <w:rPr>
                <w:sz w:val="24"/>
              </w:rPr>
              <w:t>5.1.5</w:t>
            </w:r>
            <w:r>
              <w:rPr>
                <w:rFonts w:hint="eastAsia"/>
                <w:sz w:val="24"/>
              </w:rPr>
              <w:t>条</w:t>
            </w:r>
          </w:p>
        </w:tc>
        <w:tc>
          <w:tcPr>
            <w:tcW w:w="3827"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7833" w:type="dxa"/>
            <w:gridSpan w:val="3"/>
          </w:tcPr>
          <w:p>
            <w:pPr>
              <w:pStyle w:val="84"/>
              <w:spacing w:line="360" w:lineRule="auto"/>
              <w:ind w:firstLine="480" w:firstLineChars="200"/>
              <w:jc w:val="left"/>
              <w:rPr>
                <w:sz w:val="24"/>
              </w:rPr>
            </w:pPr>
            <w:r>
              <w:rPr>
                <w:rFonts w:hint="eastAsia"/>
                <w:sz w:val="24"/>
                <w:lang w:eastAsia="zh-Hans"/>
              </w:rPr>
              <w:t>设计人员应根据项目的实际情况，填写此项内容。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1347" w:type="dxa"/>
          </w:tcPr>
          <w:p>
            <w:pPr>
              <w:pStyle w:val="84"/>
              <w:spacing w:line="360" w:lineRule="auto"/>
              <w:rPr>
                <w:sz w:val="24"/>
              </w:rPr>
            </w:pPr>
            <w:r>
              <w:rPr>
                <w:rFonts w:hint="eastAsia"/>
                <w:sz w:val="24"/>
              </w:rPr>
              <w:t>备注</w:t>
            </w:r>
          </w:p>
        </w:tc>
        <w:tc>
          <w:tcPr>
            <w:tcW w:w="7833" w:type="dxa"/>
            <w:gridSpan w:val="3"/>
          </w:tcPr>
          <w:p>
            <w:pPr>
              <w:pStyle w:val="84"/>
              <w:spacing w:line="360" w:lineRule="auto"/>
              <w:ind w:firstLine="480" w:firstLineChars="200"/>
              <w:jc w:val="left"/>
              <w:rPr>
                <w:sz w:val="24"/>
                <w:lang w:eastAsia="zh-Hans"/>
              </w:rPr>
            </w:pPr>
            <w:r>
              <w:rPr>
                <w:rFonts w:hint="eastAsia"/>
                <w:sz w:val="24"/>
                <w:lang w:eastAsia="zh-Hans"/>
              </w:rPr>
              <w:t>设置大量的没有功能的纯装饰性构件，不符合绿色建筑节约资源的要求。鼓励使用装饰和功能一体化构件，在满足建筑功能的前提之下，体现美学效果、节约资源。同时，设置屋顶装饰性构件时应特别注意鞭梢效应等抗震问题。对于不具备遮阳、导光、导风、载物、辅助绿化等作用的飘板、格栅、构架和塔、球、曲面等装饰性构件，应对其造价进行控制。为更好地贯彻新时期建筑方针“适用、经济、绿色、美观”，兼顾公共建筑尤其是商业及文娱建筑的特殊性，本次对其装饰性构件造价比定为不应大于1%。</w:t>
            </w:r>
          </w:p>
        </w:tc>
      </w:tr>
    </w:tbl>
    <w:p>
      <w:pPr>
        <w:pStyle w:val="90"/>
        <w:spacing w:line="360" w:lineRule="auto"/>
        <w:ind w:left="420"/>
        <w:rPr>
          <w:rFonts w:asciiTheme="minorEastAsia" w:hAnsiTheme="minorEastAsia" w:eastAsiaTheme="minorEastAsia"/>
          <w:sz w:val="24"/>
          <w:szCs w:val="24"/>
        </w:rPr>
      </w:pPr>
    </w:p>
    <w:p>
      <w:pPr>
        <w:pStyle w:val="90"/>
        <w:numPr>
          <w:ilvl w:val="0"/>
          <w:numId w:val="45"/>
        </w:numPr>
        <w:spacing w:line="360" w:lineRule="auto"/>
        <w:ind w:left="430" w:hanging="430"/>
        <w:rPr>
          <w:rFonts w:asciiTheme="minorEastAsia" w:hAnsiTheme="minorEastAsia" w:eastAsiaTheme="minorEastAsia"/>
          <w:sz w:val="24"/>
          <w:szCs w:val="24"/>
        </w:rPr>
      </w:pPr>
      <w:r>
        <w:rPr>
          <w:rFonts w:hint="eastAsia" w:asciiTheme="minorEastAsia" w:hAnsiTheme="minorEastAsia" w:eastAsiaTheme="minorEastAsia"/>
          <w:sz w:val="24"/>
          <w:szCs w:val="24"/>
        </w:rPr>
        <w:t>主要功能房间的室内噪声级和围护结构的隔声性能应满足现行国家标准《民用建筑隔声设计规范》GB</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50118中的低限要求。</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589"/>
        <w:gridCol w:w="1417"/>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589" w:type="dxa"/>
          </w:tcPr>
          <w:p>
            <w:pPr>
              <w:pStyle w:val="84"/>
              <w:spacing w:line="360" w:lineRule="auto"/>
              <w:rPr>
                <w:sz w:val="24"/>
              </w:rPr>
            </w:pPr>
            <w:r>
              <w:rPr>
                <w:rFonts w:hint="eastAsia"/>
                <w:sz w:val="24"/>
              </w:rPr>
              <w:t>GB/T 50378-201</w:t>
            </w:r>
            <w:r>
              <w:rPr>
                <w:sz w:val="24"/>
              </w:rPr>
              <w:t>9</w:t>
            </w:r>
          </w:p>
        </w:tc>
        <w:tc>
          <w:tcPr>
            <w:tcW w:w="1417" w:type="dxa"/>
          </w:tcPr>
          <w:p>
            <w:pPr>
              <w:pStyle w:val="84"/>
              <w:spacing w:line="360" w:lineRule="auto"/>
              <w:rPr>
                <w:sz w:val="24"/>
              </w:rPr>
            </w:pPr>
            <w:r>
              <w:rPr>
                <w:sz w:val="24"/>
              </w:rPr>
              <w:t>5.1.4</w:t>
            </w:r>
            <w:r>
              <w:rPr>
                <w:rFonts w:hint="eastAsia"/>
                <w:sz w:val="24"/>
              </w:rPr>
              <w:t xml:space="preserve">条 </w:t>
            </w:r>
          </w:p>
        </w:tc>
        <w:tc>
          <w:tcPr>
            <w:tcW w:w="3827"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589"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417" w:type="dxa"/>
          </w:tcPr>
          <w:p>
            <w:pPr>
              <w:pStyle w:val="84"/>
              <w:spacing w:line="360" w:lineRule="auto"/>
              <w:rPr>
                <w:sz w:val="24"/>
                <w:lang w:eastAsia="zh-Hans"/>
              </w:rPr>
            </w:pPr>
            <w:r>
              <w:rPr>
                <w:sz w:val="24"/>
              </w:rPr>
              <w:t>5.1.10</w:t>
            </w:r>
            <w:r>
              <w:rPr>
                <w:rFonts w:hint="eastAsia"/>
                <w:sz w:val="24"/>
              </w:rPr>
              <w:t>条</w:t>
            </w:r>
          </w:p>
        </w:tc>
        <w:tc>
          <w:tcPr>
            <w:tcW w:w="3827"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7833" w:type="dxa"/>
            <w:gridSpan w:val="3"/>
          </w:tcPr>
          <w:p>
            <w:pPr>
              <w:pStyle w:val="84"/>
              <w:spacing w:line="360" w:lineRule="auto"/>
              <w:ind w:firstLine="480" w:firstLineChars="200"/>
              <w:jc w:val="left"/>
              <w:rPr>
                <w:sz w:val="24"/>
                <w:lang w:eastAsia="zh-Hans"/>
              </w:rPr>
            </w:pPr>
            <w:r>
              <w:rPr>
                <w:rFonts w:hint="eastAsia"/>
                <w:sz w:val="24"/>
                <w:lang w:eastAsia="zh-Hans"/>
              </w:rPr>
              <w:t>设计人员应根据项目的</w:t>
            </w:r>
            <w:r>
              <w:rPr>
                <w:rFonts w:hint="eastAsia"/>
                <w:sz w:val="24"/>
              </w:rPr>
              <w:t>相关设计文件、环评报告、噪声分析报告、构件隔声性能的实验室检验报告</w:t>
            </w:r>
            <w:r>
              <w:rPr>
                <w:rFonts w:hint="eastAsia"/>
                <w:sz w:val="24"/>
                <w:lang w:eastAsia="zh-Hans"/>
              </w:rPr>
              <w:t>等，</w:t>
            </w:r>
            <w:r>
              <w:rPr>
                <w:rFonts w:hint="eastAsia"/>
                <w:sz w:val="24"/>
              </w:rPr>
              <w:t>根据项目情况，填写此项内容。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7833" w:type="dxa"/>
            <w:gridSpan w:val="3"/>
          </w:tcPr>
          <w:p>
            <w:pPr>
              <w:pStyle w:val="84"/>
              <w:spacing w:line="360" w:lineRule="auto"/>
              <w:ind w:firstLine="480" w:firstLineChars="200"/>
              <w:jc w:val="left"/>
              <w:rPr>
                <w:sz w:val="24"/>
                <w:lang w:eastAsia="zh-Hans"/>
              </w:rPr>
            </w:pPr>
            <w:r>
              <w:rPr>
                <w:rFonts w:hint="eastAsia"/>
                <w:sz w:val="24"/>
                <w:lang w:eastAsia="zh-Hans"/>
              </w:rPr>
              <w:t>影响建筑室内噪声级大小的噪声源主要包括两类：一类是室内自身声源，如室内的通风空调设备、日用电器等；另一类是来自室外的噪声源，包括建筑内部其他空间的噪声源（如电梯噪声、空调机组噪声等）和建筑外部的噪声源（如周边交通噪声、社会生活噪声、工业噪声等）。对于建筑外部噪声糠的控制，应首先在规划选址阶段就做综合考量，建筑设计时应进行合理的平面布局，避免或降低主要功能房间受到室外交通、活动区域等的干扰。否则，应通过提高围护结构隔声性能等方式改善。对建筑物内部的噪声源，应通过选用低噪声设备、设置有效隔声、隔振、吸声、消声等综合措施来控制。若该标准中没有明确室内噪声级的低限要求，即对应该标准规定的室内噪声级的最低要求。</w:t>
            </w:r>
          </w:p>
        </w:tc>
      </w:tr>
    </w:tbl>
    <w:p>
      <w:pPr>
        <w:pStyle w:val="90"/>
        <w:spacing w:line="360" w:lineRule="auto"/>
        <w:ind w:left="420"/>
        <w:rPr>
          <w:rFonts w:asciiTheme="minorEastAsia" w:hAnsiTheme="minorEastAsia" w:eastAsiaTheme="minorEastAsia"/>
          <w:sz w:val="24"/>
          <w:szCs w:val="24"/>
        </w:rPr>
      </w:pPr>
    </w:p>
    <w:p>
      <w:pPr>
        <w:pStyle w:val="90"/>
        <w:numPr>
          <w:ilvl w:val="0"/>
          <w:numId w:val="45"/>
        </w:numPr>
        <w:spacing w:line="360" w:lineRule="auto"/>
        <w:ind w:left="430" w:hanging="430"/>
        <w:rPr>
          <w:rFonts w:asciiTheme="minorEastAsia" w:hAnsiTheme="minorEastAsia" w:eastAsiaTheme="minorEastAsia"/>
          <w:sz w:val="24"/>
          <w:szCs w:val="24"/>
        </w:rPr>
      </w:pPr>
      <w:r>
        <w:rPr>
          <w:rFonts w:hint="eastAsia" w:asciiTheme="minorEastAsia" w:hAnsiTheme="minorEastAsia" w:eastAsiaTheme="minorEastAsia"/>
          <w:sz w:val="24"/>
          <w:szCs w:val="24"/>
        </w:rPr>
        <w:t>建筑室内设置便于识别和使用的标示系统，特别部位有安全防护的警示和引导标示系统。</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305"/>
        <w:gridCol w:w="155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305" w:type="dxa"/>
            <w:vMerge w:val="restart"/>
          </w:tcPr>
          <w:p>
            <w:pPr>
              <w:pStyle w:val="84"/>
              <w:spacing w:line="360" w:lineRule="auto"/>
              <w:rPr>
                <w:sz w:val="24"/>
              </w:rPr>
            </w:pPr>
            <w:r>
              <w:rPr>
                <w:rFonts w:hint="eastAsia"/>
                <w:sz w:val="24"/>
              </w:rPr>
              <w:t>GB/T 50378-201</w:t>
            </w:r>
            <w:r>
              <w:rPr>
                <w:sz w:val="24"/>
              </w:rPr>
              <w:t>9</w:t>
            </w:r>
          </w:p>
        </w:tc>
        <w:tc>
          <w:tcPr>
            <w:tcW w:w="1559" w:type="dxa"/>
          </w:tcPr>
          <w:p>
            <w:pPr>
              <w:pStyle w:val="84"/>
              <w:spacing w:line="360" w:lineRule="auto"/>
              <w:rPr>
                <w:sz w:val="24"/>
              </w:rPr>
            </w:pPr>
            <w:r>
              <w:rPr>
                <w:sz w:val="24"/>
              </w:rPr>
              <w:t>4.1.8</w:t>
            </w:r>
            <w:r>
              <w:rPr>
                <w:rFonts w:hint="eastAsia"/>
                <w:sz w:val="24"/>
              </w:rPr>
              <w:t xml:space="preserve">条 </w:t>
            </w:r>
          </w:p>
        </w:tc>
        <w:tc>
          <w:tcPr>
            <w:tcW w:w="3969" w:type="dxa"/>
            <w:vMerge w:val="restart"/>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continue"/>
          </w:tcPr>
          <w:p>
            <w:pPr>
              <w:pStyle w:val="84"/>
              <w:spacing w:line="360" w:lineRule="auto"/>
              <w:rPr>
                <w:sz w:val="24"/>
              </w:rPr>
            </w:pPr>
          </w:p>
        </w:tc>
        <w:tc>
          <w:tcPr>
            <w:tcW w:w="2305" w:type="dxa"/>
            <w:vMerge w:val="continue"/>
          </w:tcPr>
          <w:p>
            <w:pPr>
              <w:pStyle w:val="84"/>
              <w:spacing w:line="360" w:lineRule="auto"/>
              <w:rPr>
                <w:sz w:val="24"/>
              </w:rPr>
            </w:pPr>
          </w:p>
        </w:tc>
        <w:tc>
          <w:tcPr>
            <w:tcW w:w="1559" w:type="dxa"/>
          </w:tcPr>
          <w:p>
            <w:pPr>
              <w:pStyle w:val="84"/>
              <w:spacing w:line="360" w:lineRule="auto"/>
              <w:rPr>
                <w:sz w:val="24"/>
              </w:rPr>
            </w:pPr>
            <w:r>
              <w:rPr>
                <w:sz w:val="24"/>
              </w:rPr>
              <w:t>8.1.5</w:t>
            </w:r>
            <w:r>
              <w:rPr>
                <w:rFonts w:hint="eastAsia"/>
                <w:sz w:val="24"/>
              </w:rPr>
              <w:t xml:space="preserve">条 </w:t>
            </w:r>
          </w:p>
        </w:tc>
        <w:tc>
          <w:tcPr>
            <w:tcW w:w="3969" w:type="dxa"/>
            <w:vMerge w:val="continue"/>
          </w:tcPr>
          <w:p>
            <w:pPr>
              <w:pStyle w:val="84"/>
              <w:spacing w:line="360" w:lineRule="auto"/>
              <w:rPr>
                <w:sz w:val="24"/>
                <w:lang w:eastAsia="zh-Han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305"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559" w:type="dxa"/>
          </w:tcPr>
          <w:p>
            <w:pPr>
              <w:pStyle w:val="84"/>
              <w:spacing w:line="360" w:lineRule="auto"/>
              <w:rPr>
                <w:sz w:val="24"/>
                <w:lang w:eastAsia="zh-Hans"/>
              </w:rPr>
            </w:pPr>
            <w:r>
              <w:rPr>
                <w:sz w:val="24"/>
              </w:rPr>
              <w:t>5.1.8</w:t>
            </w:r>
            <w:r>
              <w:rPr>
                <w:rFonts w:hint="eastAsia"/>
                <w:sz w:val="24"/>
              </w:rPr>
              <w:t>条</w:t>
            </w:r>
          </w:p>
        </w:tc>
        <w:tc>
          <w:tcPr>
            <w:tcW w:w="3969"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7833" w:type="dxa"/>
            <w:gridSpan w:val="3"/>
          </w:tcPr>
          <w:p>
            <w:pPr>
              <w:pStyle w:val="84"/>
              <w:spacing w:line="360" w:lineRule="auto"/>
              <w:ind w:firstLine="480" w:firstLineChars="200"/>
              <w:jc w:val="left"/>
              <w:rPr>
                <w:sz w:val="24"/>
                <w:lang w:eastAsia="zh-Hans"/>
              </w:rPr>
            </w:pPr>
            <w:r>
              <w:rPr>
                <w:rFonts w:hint="eastAsia"/>
                <w:sz w:val="24"/>
                <w:lang w:eastAsia="zh-Hans"/>
              </w:rPr>
              <w:t>设计人员应根据</w:t>
            </w:r>
            <w:r>
              <w:rPr>
                <w:rFonts w:hint="eastAsia"/>
                <w:sz w:val="24"/>
              </w:rPr>
              <w:t>标识系统设计与设置说明文件</w:t>
            </w:r>
            <w:r>
              <w:rPr>
                <w:rFonts w:hint="eastAsia"/>
                <w:sz w:val="24"/>
                <w:lang w:eastAsia="zh-Hans"/>
              </w:rPr>
              <w:t>，</w:t>
            </w:r>
            <w:r>
              <w:rPr>
                <w:rFonts w:hint="eastAsia"/>
                <w:sz w:val="24"/>
              </w:rPr>
              <w:t>根据项目情况，填写此项内容。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7833" w:type="dxa"/>
            <w:gridSpan w:val="3"/>
          </w:tcPr>
          <w:p>
            <w:pPr>
              <w:pStyle w:val="84"/>
              <w:spacing w:line="360" w:lineRule="auto"/>
              <w:ind w:firstLine="480" w:firstLineChars="200"/>
              <w:jc w:val="left"/>
              <w:rPr>
                <w:sz w:val="24"/>
                <w:lang w:eastAsia="zh-Hans"/>
              </w:rPr>
            </w:pPr>
            <w:r>
              <w:rPr>
                <w:rFonts w:hint="eastAsia"/>
                <w:sz w:val="24"/>
                <w:lang w:eastAsia="zh-Hans"/>
              </w:rPr>
              <w:t>根据国家标准《安全标志及其使用导则》GB 2894</w:t>
            </w:r>
            <w:r>
              <w:rPr>
                <w:sz w:val="24"/>
                <w:lang w:eastAsia="zh-Hans"/>
              </w:rPr>
              <w:t>-</w:t>
            </w:r>
            <w:r>
              <w:rPr>
                <w:rFonts w:hint="eastAsia"/>
                <w:sz w:val="24"/>
                <w:lang w:eastAsia="zh-Hans"/>
              </w:rPr>
              <w:t>2008 ，安全标志分为禁止标志、警告标志、指令标志和提示标志四类。本条所述是指具有警示和引导功能的安全标志，应在场地及建筑公共场所和其他有必要提醒人们注意安全的场所显著位置上设置。</w:t>
            </w:r>
          </w:p>
          <w:p>
            <w:pPr>
              <w:pStyle w:val="84"/>
              <w:spacing w:line="360" w:lineRule="auto"/>
              <w:ind w:firstLine="480" w:firstLineChars="200"/>
              <w:jc w:val="left"/>
              <w:rPr>
                <w:sz w:val="24"/>
                <w:lang w:eastAsia="zh-Hans"/>
              </w:rPr>
            </w:pPr>
            <w:r>
              <w:rPr>
                <w:rFonts w:hint="eastAsia"/>
                <w:sz w:val="24"/>
                <w:lang w:eastAsia="zh-Hans"/>
              </w:rPr>
              <w:t>设置显著、醒目的安全警示标志，能够起到提醒建筑使用者注意安全的作用。警示标志一般设置于人员流动大的场所，青少年和儿童经常活动的场所，容易碰撞、夹伤、温滑及危险的部位和场所等。比如禁止攀爬、禁止倚靠、禁止伸出窗外、禁止抛物、注意安全、当心碰头、当心夹手、当心车辆、当心坠落、当心滑倒、当心落水等。</w:t>
            </w:r>
          </w:p>
          <w:p>
            <w:pPr>
              <w:pStyle w:val="84"/>
              <w:spacing w:line="360" w:lineRule="auto"/>
              <w:ind w:firstLine="480" w:firstLineChars="200"/>
              <w:jc w:val="left"/>
              <w:rPr>
                <w:sz w:val="24"/>
                <w:lang w:eastAsia="zh-Hans"/>
              </w:rPr>
            </w:pPr>
            <w:r>
              <w:rPr>
                <w:rFonts w:hint="eastAsia"/>
                <w:sz w:val="24"/>
                <w:lang w:eastAsia="zh-Hans"/>
              </w:rPr>
              <w:t>设置安全引导指示标志，包括紧急出口标志、避险处标志、应急避难场所标志、急救点标志、报警点标志等，以及其他促进建筑安全使用的引导标志等。比如紧急出口标志，一般设置于便于安全疏散的紧急出口处，结合方向箭头设置于通向紧急出口的通道、楼梯口等处。</w:t>
            </w:r>
          </w:p>
          <w:p>
            <w:pPr>
              <w:pStyle w:val="84"/>
              <w:spacing w:line="360" w:lineRule="auto"/>
              <w:ind w:firstLine="480" w:firstLineChars="200"/>
              <w:jc w:val="left"/>
              <w:rPr>
                <w:sz w:val="24"/>
                <w:lang w:eastAsia="zh-Hans"/>
              </w:rPr>
            </w:pPr>
            <w:r>
              <w:rPr>
                <w:rFonts w:hint="eastAsia"/>
                <w:sz w:val="24"/>
                <w:lang w:eastAsia="zh-Hans"/>
              </w:rPr>
              <w:t>设置便于识别和使用的标识系统，包括导向标识和定位标识等，能够为建筑使用者带来便捷的使用体验。标识一般有人车分流标识、公共交通接驳引导标识、易于老年人识别的标识、满足儿童使用需求与身高匹配的标识、无障碍标识、楼座及配套设施定位标识、健身慢行道导向标识、健身楼梯间导向标识、公共卫生间导向标识，以及其他促进建筑便捷使用的导向标识等。公共建筑的标识系统应当执行现行国家标准《公共建筑标识系统技术规范》 GB/T 51223 ，住宅建筑可以参照执行。</w:t>
            </w:r>
          </w:p>
          <w:p>
            <w:pPr>
              <w:pStyle w:val="84"/>
              <w:spacing w:line="360" w:lineRule="auto"/>
              <w:ind w:firstLine="480" w:firstLineChars="200"/>
              <w:jc w:val="left"/>
              <w:rPr>
                <w:sz w:val="24"/>
                <w:lang w:eastAsia="zh-Hans"/>
              </w:rPr>
            </w:pPr>
            <w:r>
              <w:rPr>
                <w:rFonts w:hint="eastAsia"/>
                <w:sz w:val="24"/>
                <w:lang w:eastAsia="zh-Hans"/>
              </w:rPr>
              <w:t>在标识系统设计和设置时，应考虑建筑使用者的识别习惯，通过色彩、形式、字体、符号等整体进行设计，形成统一性和可辨识度。并考虑老年人、残障人士、儿童等不同人群对于标识的识别和感知的方式，例如，老年人由于视觉能力下降，需要采用较大的文字、较易识别的色彩系统等，儿童由于身高较低、识字量不够等，需要采用高度适合、色彩与图形化结合等方式的识别系统等。因此，提出根据不同使用人群特点设置适宜的标识引导系统，体现出对不同人群的关爱。</w:t>
            </w:r>
          </w:p>
          <w:p>
            <w:pPr>
              <w:pStyle w:val="84"/>
              <w:spacing w:line="360" w:lineRule="auto"/>
              <w:ind w:firstLine="480" w:firstLineChars="200"/>
              <w:jc w:val="left"/>
              <w:rPr>
                <w:sz w:val="24"/>
                <w:lang w:eastAsia="zh-Hans"/>
              </w:rPr>
            </w:pPr>
            <w:r>
              <w:rPr>
                <w:rFonts w:hint="eastAsia"/>
                <w:sz w:val="24"/>
                <w:lang w:eastAsia="zh-Hans"/>
              </w:rPr>
              <w:t>同时，为便于标识识别，应在场地内显著位置上设置标识，标识应反映一定区域范围内的建筑与设施分布情况，并提示当前位置等。建筑及场地的标识应沿通行路径布置，构成完整和连续的引导系统。</w:t>
            </w:r>
          </w:p>
        </w:tc>
      </w:tr>
    </w:tbl>
    <w:p>
      <w:pPr>
        <w:pStyle w:val="90"/>
        <w:spacing w:line="360" w:lineRule="auto"/>
        <w:ind w:left="420"/>
        <w:rPr>
          <w:rFonts w:asciiTheme="minorEastAsia" w:hAnsiTheme="minorEastAsia" w:eastAsiaTheme="minorEastAsia"/>
          <w:sz w:val="24"/>
          <w:szCs w:val="24"/>
        </w:rPr>
      </w:pPr>
    </w:p>
    <w:p>
      <w:pPr>
        <w:pStyle w:val="90"/>
        <w:numPr>
          <w:ilvl w:val="0"/>
          <w:numId w:val="45"/>
        </w:numPr>
        <w:spacing w:line="360" w:lineRule="auto"/>
        <w:ind w:left="430" w:hanging="430"/>
        <w:rPr>
          <w:rFonts w:asciiTheme="minorEastAsia" w:hAnsiTheme="minorEastAsia" w:eastAsiaTheme="minorEastAsia"/>
          <w:sz w:val="24"/>
          <w:szCs w:val="24"/>
        </w:rPr>
      </w:pPr>
      <w:r>
        <w:rPr>
          <w:rFonts w:hint="eastAsia" w:asciiTheme="minorEastAsia" w:hAnsiTheme="minorEastAsia" w:eastAsiaTheme="minorEastAsia"/>
          <w:sz w:val="24"/>
          <w:szCs w:val="24"/>
        </w:rPr>
        <w:t>走廊、疏散通道等通行空间满足紧急疏散、应急救护等要求，且保持畅通。</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589"/>
        <w:gridCol w:w="1701"/>
        <w:gridCol w:w="3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589" w:type="dxa"/>
          </w:tcPr>
          <w:p>
            <w:pPr>
              <w:pStyle w:val="84"/>
              <w:spacing w:line="360" w:lineRule="auto"/>
              <w:rPr>
                <w:sz w:val="24"/>
              </w:rPr>
            </w:pPr>
            <w:r>
              <w:rPr>
                <w:rFonts w:hint="eastAsia"/>
                <w:sz w:val="24"/>
              </w:rPr>
              <w:t>GB/T 50378-201</w:t>
            </w:r>
            <w:r>
              <w:rPr>
                <w:sz w:val="24"/>
              </w:rPr>
              <w:t>9</w:t>
            </w:r>
          </w:p>
        </w:tc>
        <w:tc>
          <w:tcPr>
            <w:tcW w:w="1701" w:type="dxa"/>
          </w:tcPr>
          <w:p>
            <w:pPr>
              <w:pStyle w:val="84"/>
              <w:spacing w:line="360" w:lineRule="auto"/>
              <w:rPr>
                <w:sz w:val="24"/>
              </w:rPr>
            </w:pPr>
            <w:r>
              <w:rPr>
                <w:sz w:val="24"/>
              </w:rPr>
              <w:t>4.1.7</w:t>
            </w:r>
            <w:r>
              <w:rPr>
                <w:rFonts w:hint="eastAsia"/>
                <w:sz w:val="24"/>
              </w:rPr>
              <w:t xml:space="preserve">条 </w:t>
            </w:r>
          </w:p>
        </w:tc>
        <w:tc>
          <w:tcPr>
            <w:tcW w:w="3543"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589"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701" w:type="dxa"/>
          </w:tcPr>
          <w:p>
            <w:pPr>
              <w:pStyle w:val="84"/>
              <w:spacing w:line="360" w:lineRule="auto"/>
              <w:rPr>
                <w:sz w:val="24"/>
                <w:lang w:eastAsia="zh-Hans"/>
              </w:rPr>
            </w:pPr>
            <w:r>
              <w:rPr>
                <w:sz w:val="24"/>
              </w:rPr>
              <w:t>5.1.9</w:t>
            </w:r>
            <w:r>
              <w:rPr>
                <w:rFonts w:hint="eastAsia"/>
                <w:sz w:val="24"/>
              </w:rPr>
              <w:t>条</w:t>
            </w:r>
          </w:p>
        </w:tc>
        <w:tc>
          <w:tcPr>
            <w:tcW w:w="3543"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7833" w:type="dxa"/>
            <w:gridSpan w:val="3"/>
          </w:tcPr>
          <w:p>
            <w:pPr>
              <w:pStyle w:val="84"/>
              <w:spacing w:line="360" w:lineRule="auto"/>
              <w:rPr>
                <w:sz w:val="24"/>
              </w:rPr>
            </w:pPr>
            <w:r>
              <w:rPr>
                <w:rFonts w:hint="eastAsia"/>
                <w:sz w:val="24"/>
                <w:lang w:eastAsia="zh-Hans"/>
              </w:rPr>
              <w:t>设计人员应根据相关设计</w:t>
            </w:r>
            <w:r>
              <w:rPr>
                <w:rFonts w:hint="eastAsia"/>
                <w:sz w:val="24"/>
              </w:rPr>
              <w:t>文件</w:t>
            </w:r>
            <w:r>
              <w:rPr>
                <w:rFonts w:hint="eastAsia"/>
                <w:sz w:val="24"/>
                <w:lang w:eastAsia="zh-Hans"/>
              </w:rPr>
              <w:t>，</w:t>
            </w:r>
            <w:r>
              <w:rPr>
                <w:rFonts w:hint="eastAsia"/>
                <w:sz w:val="24"/>
              </w:rPr>
              <w:t>根据项目情况，填写此项内容。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7833" w:type="dxa"/>
            <w:gridSpan w:val="3"/>
          </w:tcPr>
          <w:p>
            <w:pPr>
              <w:pStyle w:val="84"/>
              <w:spacing w:line="360" w:lineRule="auto"/>
              <w:ind w:firstLine="480" w:firstLineChars="200"/>
              <w:jc w:val="left"/>
              <w:rPr>
                <w:sz w:val="24"/>
                <w:lang w:eastAsia="zh-Hans"/>
              </w:rPr>
            </w:pPr>
            <w:r>
              <w:rPr>
                <w:rFonts w:hint="eastAsia"/>
                <w:sz w:val="24"/>
                <w:lang w:eastAsia="zh-Hans"/>
              </w:rPr>
              <w:t>在发生突发事件时，疏散和救护顺畅非常重要，必须在场地和建筑设计中考虑到对策和措施。建筑应根据其高度、规模、使用功能和耐火等级等因素合理设置安全疏散和避难设施。安全出口和疏散门的位置、数量、宽度及疏散楼梯间的形式，应满足人员安全疏散的要求。走廊、疏散通道等应满足现行国家标准《建筑设计防火规范》 GB 50016 、《防灾避难场所设计规范》 GB 51143 等对安全疏散和避难、应急交通的相关要求。本条重在强调保持通行空间路线畅通、视线清晰，不应有阳台花池、机电箱等凸向走廊、疏散通道的设计，防止对人员活动、步行交通、消防疏散埋下安全隐患。</w:t>
            </w:r>
          </w:p>
        </w:tc>
      </w:tr>
    </w:tbl>
    <w:p>
      <w:pPr>
        <w:pStyle w:val="90"/>
        <w:spacing w:line="360" w:lineRule="auto"/>
        <w:ind w:left="420"/>
        <w:rPr>
          <w:rFonts w:asciiTheme="minorEastAsia" w:hAnsiTheme="minorEastAsia" w:eastAsiaTheme="minorEastAsia"/>
          <w:sz w:val="24"/>
          <w:szCs w:val="24"/>
        </w:rPr>
      </w:pPr>
    </w:p>
    <w:p>
      <w:pPr>
        <w:pStyle w:val="90"/>
        <w:numPr>
          <w:ilvl w:val="0"/>
          <w:numId w:val="45"/>
        </w:numPr>
        <w:spacing w:line="360" w:lineRule="auto"/>
        <w:ind w:left="430" w:hanging="430"/>
        <w:rPr>
          <w:rFonts w:asciiTheme="minorEastAsia" w:hAnsiTheme="minorEastAsia" w:eastAsiaTheme="minorEastAsia"/>
          <w:sz w:val="24"/>
          <w:szCs w:val="24"/>
        </w:rPr>
      </w:pPr>
      <w:r>
        <w:rPr>
          <w:rFonts w:hint="eastAsia" w:asciiTheme="minorEastAsia" w:hAnsiTheme="minorEastAsia" w:eastAsiaTheme="minorEastAsia"/>
          <w:sz w:val="24"/>
          <w:szCs w:val="24"/>
        </w:rPr>
        <w:t>控制建筑工程中建筑材料和装修材料产生的室内环境污染，严禁使用苯、工业苯、石油苯、重质苯及混苯作为稀释剂和溶剂；室内空气中的氨、甲醛、苯、甲苯、二甲苯、总挥发性有机物、氡等污染物浓度满足现行国家标准《民用建筑工程室内环境污染控制标准》GB</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50325和是《室内空气质量标准》GB/T</w:t>
      </w:r>
      <w:r>
        <w:rPr>
          <w:rFonts w:asciiTheme="minorEastAsia" w:hAnsiTheme="minorEastAsia" w:eastAsiaTheme="minorEastAsia"/>
          <w:sz w:val="24"/>
          <w:szCs w:val="24"/>
        </w:rPr>
        <w:t xml:space="preserve"> </w:t>
      </w:r>
      <w:r>
        <w:rPr>
          <w:rFonts w:hint="eastAsia" w:asciiTheme="minorEastAsia" w:hAnsiTheme="minorEastAsia" w:eastAsiaTheme="minorEastAsia"/>
          <w:sz w:val="24"/>
          <w:szCs w:val="24"/>
        </w:rPr>
        <w:t>18883的有关规定。建筑室内和建筑主要出入口的醒目位置设置禁烟标志。</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163"/>
        <w:gridCol w:w="1985"/>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vMerge w:val="restart"/>
          </w:tcPr>
          <w:p>
            <w:pPr>
              <w:pStyle w:val="84"/>
              <w:spacing w:line="360" w:lineRule="auto"/>
              <w:rPr>
                <w:sz w:val="24"/>
              </w:rPr>
            </w:pPr>
            <w:r>
              <w:rPr>
                <w:rFonts w:hint="eastAsia"/>
                <w:sz w:val="24"/>
              </w:rPr>
              <w:t>条文来源</w:t>
            </w:r>
          </w:p>
        </w:tc>
        <w:tc>
          <w:tcPr>
            <w:tcW w:w="2163" w:type="dxa"/>
          </w:tcPr>
          <w:p>
            <w:pPr>
              <w:pStyle w:val="84"/>
              <w:spacing w:line="360" w:lineRule="auto"/>
              <w:rPr>
                <w:sz w:val="24"/>
              </w:rPr>
            </w:pPr>
            <w:r>
              <w:rPr>
                <w:rFonts w:hint="eastAsia"/>
                <w:sz w:val="24"/>
              </w:rPr>
              <w:t>GB/T 50378-201</w:t>
            </w:r>
            <w:r>
              <w:rPr>
                <w:sz w:val="24"/>
              </w:rPr>
              <w:t>9</w:t>
            </w:r>
          </w:p>
        </w:tc>
        <w:tc>
          <w:tcPr>
            <w:tcW w:w="1985" w:type="dxa"/>
          </w:tcPr>
          <w:p>
            <w:pPr>
              <w:pStyle w:val="84"/>
              <w:spacing w:line="360" w:lineRule="auto"/>
              <w:rPr>
                <w:sz w:val="24"/>
              </w:rPr>
            </w:pPr>
            <w:r>
              <w:rPr>
                <w:sz w:val="24"/>
              </w:rPr>
              <w:t>5.1.1</w:t>
            </w:r>
            <w:r>
              <w:rPr>
                <w:rFonts w:hint="eastAsia"/>
                <w:sz w:val="24"/>
              </w:rPr>
              <w:t xml:space="preserve">条 </w:t>
            </w:r>
          </w:p>
        </w:tc>
        <w:tc>
          <w:tcPr>
            <w:tcW w:w="3685" w:type="dxa"/>
          </w:tcPr>
          <w:p>
            <w:pPr>
              <w:pStyle w:val="84"/>
              <w:spacing w:line="360" w:lineRule="auto"/>
              <w:rPr>
                <w:sz w:val="24"/>
                <w:lang w:eastAsia="zh-Hans"/>
              </w:rPr>
            </w:pPr>
            <w:r>
              <w:rPr>
                <w:rFonts w:hint="eastAsia"/>
                <w:sz w:val="24"/>
                <w:lang w:eastAsia="zh-Hans"/>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7" w:type="dxa"/>
            <w:vMerge w:val="continue"/>
          </w:tcPr>
          <w:p>
            <w:pPr>
              <w:pStyle w:val="84"/>
              <w:spacing w:line="360" w:lineRule="auto"/>
              <w:rPr>
                <w:sz w:val="24"/>
              </w:rPr>
            </w:pPr>
          </w:p>
        </w:tc>
        <w:tc>
          <w:tcPr>
            <w:tcW w:w="2163" w:type="dxa"/>
          </w:tcPr>
          <w:p>
            <w:pPr>
              <w:pStyle w:val="84"/>
              <w:spacing w:line="360" w:lineRule="auto"/>
              <w:rPr>
                <w:sz w:val="24"/>
              </w:rPr>
            </w:pPr>
            <w:r>
              <w:rPr>
                <w:rFonts w:hint="eastAsia"/>
                <w:sz w:val="24"/>
              </w:rPr>
              <w:t>DB</w:t>
            </w:r>
            <w:r>
              <w:rPr>
                <w:sz w:val="24"/>
              </w:rPr>
              <w:t xml:space="preserve"> </w:t>
            </w:r>
            <w:r>
              <w:rPr>
                <w:rFonts w:hint="eastAsia"/>
                <w:sz w:val="24"/>
              </w:rPr>
              <w:t>33/1092-</w:t>
            </w:r>
            <w:r>
              <w:rPr>
                <w:sz w:val="24"/>
              </w:rPr>
              <w:t>2021</w:t>
            </w:r>
          </w:p>
        </w:tc>
        <w:tc>
          <w:tcPr>
            <w:tcW w:w="1985" w:type="dxa"/>
          </w:tcPr>
          <w:p>
            <w:pPr>
              <w:pStyle w:val="84"/>
              <w:spacing w:line="360" w:lineRule="auto"/>
              <w:rPr>
                <w:sz w:val="24"/>
                <w:lang w:eastAsia="zh-Hans"/>
              </w:rPr>
            </w:pPr>
            <w:r>
              <w:rPr>
                <w:sz w:val="24"/>
              </w:rPr>
              <w:t>5.1.11</w:t>
            </w:r>
            <w:r>
              <w:rPr>
                <w:rFonts w:hint="eastAsia"/>
                <w:sz w:val="24"/>
              </w:rPr>
              <w:t>条</w:t>
            </w:r>
          </w:p>
        </w:tc>
        <w:tc>
          <w:tcPr>
            <w:tcW w:w="3685" w:type="dxa"/>
          </w:tcPr>
          <w:p>
            <w:pPr>
              <w:pStyle w:val="84"/>
              <w:spacing w:line="360" w:lineRule="auto"/>
              <w:rPr>
                <w:sz w:val="24"/>
                <w:lang w:eastAsia="zh-Hans"/>
              </w:rPr>
            </w:pPr>
            <w:r>
              <w:rPr>
                <w:rFonts w:hint="eastAsia"/>
                <w:sz w:val="24"/>
                <w:lang w:eastAsia="zh-Hans"/>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依据材料</w:t>
            </w:r>
          </w:p>
        </w:tc>
        <w:tc>
          <w:tcPr>
            <w:tcW w:w="7833" w:type="dxa"/>
            <w:gridSpan w:val="3"/>
          </w:tcPr>
          <w:p>
            <w:pPr>
              <w:pStyle w:val="84"/>
              <w:spacing w:line="360" w:lineRule="auto"/>
              <w:ind w:firstLine="480" w:firstLineChars="200"/>
              <w:jc w:val="left"/>
              <w:rPr>
                <w:sz w:val="24"/>
              </w:rPr>
            </w:pPr>
            <w:r>
              <w:rPr>
                <w:rFonts w:hint="eastAsia"/>
                <w:sz w:val="24"/>
                <w:lang w:eastAsia="zh-Hans"/>
              </w:rPr>
              <w:t>设计人员应根据相关设计</w:t>
            </w:r>
            <w:r>
              <w:rPr>
                <w:rFonts w:hint="eastAsia"/>
                <w:sz w:val="24"/>
              </w:rPr>
              <w:t>文件</w:t>
            </w:r>
            <w:r>
              <w:rPr>
                <w:rFonts w:hint="eastAsia"/>
                <w:sz w:val="24"/>
                <w:lang w:eastAsia="zh-Hans"/>
              </w:rPr>
              <w:t>、</w:t>
            </w:r>
            <w:r>
              <w:rPr>
                <w:rFonts w:hint="eastAsia"/>
                <w:sz w:val="24"/>
              </w:rPr>
              <w:t>相关说明文件（装修材料种类、用量，禁止吸烟措施）、预评估分析报告</w:t>
            </w:r>
            <w:r>
              <w:rPr>
                <w:rFonts w:hint="eastAsia"/>
                <w:sz w:val="24"/>
                <w:lang w:eastAsia="zh-Hans"/>
              </w:rPr>
              <w:t>，</w:t>
            </w:r>
            <w:r>
              <w:rPr>
                <w:rFonts w:hint="eastAsia"/>
                <w:sz w:val="24"/>
              </w:rPr>
              <w:t>根据项目情况，填写此项内容。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pStyle w:val="84"/>
              <w:spacing w:line="360" w:lineRule="auto"/>
              <w:rPr>
                <w:sz w:val="24"/>
              </w:rPr>
            </w:pPr>
            <w:r>
              <w:rPr>
                <w:rFonts w:hint="eastAsia"/>
                <w:sz w:val="24"/>
              </w:rPr>
              <w:t>备注</w:t>
            </w:r>
          </w:p>
        </w:tc>
        <w:tc>
          <w:tcPr>
            <w:tcW w:w="7833" w:type="dxa"/>
            <w:gridSpan w:val="3"/>
          </w:tcPr>
          <w:p>
            <w:pPr>
              <w:pStyle w:val="84"/>
              <w:spacing w:line="360" w:lineRule="auto"/>
              <w:ind w:firstLine="480" w:firstLineChars="200"/>
              <w:jc w:val="left"/>
              <w:rPr>
                <w:sz w:val="24"/>
                <w:lang w:eastAsia="zh-Hans"/>
              </w:rPr>
            </w:pPr>
            <w:r>
              <w:rPr>
                <w:rFonts w:hint="eastAsia"/>
                <w:sz w:val="24"/>
                <w:lang w:eastAsia="zh-Hans"/>
              </w:rPr>
              <w:t>建筑室内空气中的氨、甲醒、苯、总挥发性有机物、氧等污染物以及吸烟（包括二手烟）对人体的危害已得到普遍认识，通过建筑内污染物浓度控制及禁烟控制，是实现绿色建筑的基本要求。</w:t>
            </w:r>
          </w:p>
          <w:p>
            <w:pPr>
              <w:pStyle w:val="84"/>
              <w:spacing w:line="360" w:lineRule="auto"/>
              <w:ind w:firstLine="480" w:firstLineChars="200"/>
              <w:jc w:val="left"/>
              <w:rPr>
                <w:sz w:val="24"/>
                <w:lang w:eastAsia="zh-Hans"/>
              </w:rPr>
            </w:pPr>
            <w:r>
              <w:rPr>
                <w:rFonts w:hint="eastAsia"/>
                <w:sz w:val="24"/>
                <w:lang w:eastAsia="zh-Hans"/>
              </w:rPr>
              <w:t>在项目实施过程中，即使所使用的装修材料、家具制品均满足各自污染物限量控制标准，但装修后多种类或大量材料制品的叠加使用，仍可能造成室内空气污染物浓度超标，控制空气中各类污染物的浓度指标是保障建筑使用者健康的基本前提。项目在设计时即应采取措施，对室内空气污染物浓度进行预评估，预测工程建成后室内空气污染物的浓度情况，指导建筑材料的选用和优化。</w:t>
            </w:r>
          </w:p>
          <w:p>
            <w:pPr>
              <w:pStyle w:val="84"/>
              <w:spacing w:line="360" w:lineRule="auto"/>
              <w:ind w:firstLine="480" w:firstLineChars="200"/>
              <w:jc w:val="left"/>
              <w:rPr>
                <w:sz w:val="24"/>
                <w:lang w:eastAsia="zh-Hans"/>
              </w:rPr>
            </w:pPr>
            <w:r>
              <w:rPr>
                <w:rFonts w:hint="eastAsia"/>
                <w:sz w:val="24"/>
                <w:lang w:eastAsia="zh-Hans"/>
              </w:rPr>
              <w:t>吸烟及二手烟对人健康同样会造成较大的危害，目前国内一些城市已经发布了控制吸烟条例，如《北京市控制吸烟条例》、《上海市公共场所控制吸烟条例》、《广州市控制吸烟条例》、《天津市控制吸烟条例》、《杭州市公共场所控制吸烟条例》、《青岛市控制吸烟条例》等等。因此，本条规定建筑室内和建筑主出人口处禁止吸烟，并设置禁烟标志。本条所述的建筑室内，主要指的是公共建筑室内和住宅建筑内的公共区域。</w:t>
            </w:r>
          </w:p>
        </w:tc>
      </w:tr>
    </w:tbl>
    <w:p>
      <w:pPr>
        <w:pStyle w:val="267"/>
        <w:jc w:val="both"/>
      </w:pPr>
    </w:p>
    <w:p>
      <w:pPr>
        <w:pStyle w:val="267"/>
        <w:jc w:val="both"/>
      </w:pPr>
      <w:r>
        <w:rPr>
          <w:rFonts w:hint="eastAsia"/>
          <w:lang w:eastAsia="zh-Hans"/>
        </w:rPr>
        <w:t>一般项内容：</w:t>
      </w:r>
    </w:p>
    <w:p>
      <w:pPr>
        <w:pStyle w:val="17"/>
        <w:spacing w:line="360" w:lineRule="auto"/>
        <w:rPr>
          <w:rFonts w:hAnsi="宋体"/>
          <w:b/>
          <w:sz w:val="24"/>
        </w:rPr>
      </w:pPr>
      <w:r>
        <w:rPr>
          <w:rFonts w:hint="eastAsia" w:hAnsi="宋体"/>
          <w:b/>
          <w:sz w:val="24"/>
        </w:rPr>
        <w:t>1.</w:t>
      </w:r>
      <w:r>
        <w:rPr>
          <w:rFonts w:hAnsi="宋体"/>
          <w:b/>
          <w:sz w:val="24"/>
        </w:rPr>
        <w:t xml:space="preserve"> </w:t>
      </w:r>
      <w:r>
        <w:rPr>
          <w:rFonts w:hint="eastAsia" w:hAnsi="宋体"/>
          <w:b/>
          <w:sz w:val="24"/>
        </w:rPr>
        <w:t>建筑使用功能与</w:t>
      </w:r>
      <w:r>
        <w:rPr>
          <w:rFonts w:hAnsi="宋体"/>
          <w:b/>
          <w:sz w:val="24"/>
        </w:rPr>
        <w:t>空间</w:t>
      </w:r>
      <w:r>
        <w:rPr>
          <w:rFonts w:hint="eastAsia" w:hAnsi="宋体"/>
          <w:b/>
          <w:sz w:val="24"/>
        </w:rPr>
        <w:t>合理利用:</w:t>
      </w:r>
    </w:p>
    <w:p>
      <w:pPr>
        <w:spacing w:line="360" w:lineRule="auto"/>
        <w:rPr>
          <w:rFonts w:hAnsi="宋体"/>
          <w:sz w:val="24"/>
        </w:rPr>
      </w:pPr>
      <w:r>
        <w:rPr>
          <w:rFonts w:hAnsi="宋体"/>
          <w:sz w:val="24"/>
        </w:rPr>
        <w:t xml:space="preserve">1.1 </w:t>
      </w:r>
      <w:r>
        <w:rPr>
          <w:rFonts w:hint="eastAsia"/>
          <w:sz w:val="24"/>
        </w:rPr>
        <w:t>建筑空间布局合理，充分考虑建筑使用功能、使用人数和使用方式等变化的预期需求，选择适宜的空间尺度；</w:t>
      </w:r>
    </w:p>
    <w:p>
      <w:pPr>
        <w:spacing w:line="360" w:lineRule="auto"/>
        <w:rPr>
          <w:rFonts w:hAnsi="宋体"/>
          <w:sz w:val="24"/>
        </w:rPr>
      </w:pPr>
      <w:r>
        <w:rPr>
          <w:rFonts w:hint="eastAsia" w:hAnsi="宋体"/>
          <w:sz w:val="24"/>
        </w:rPr>
        <w:t>1</w:t>
      </w:r>
      <w:r>
        <w:rPr>
          <w:rFonts w:hAnsi="宋体"/>
          <w:sz w:val="24"/>
        </w:rPr>
        <w:t xml:space="preserve">.2 </w:t>
      </w:r>
      <w:r>
        <w:rPr>
          <w:rFonts w:hint="eastAsia" w:hAnsi="宋体"/>
          <w:sz w:val="24"/>
        </w:rPr>
        <w:t>在建筑入口附近设置过渡空间；</w:t>
      </w:r>
    </w:p>
    <w:p>
      <w:pPr>
        <w:pStyle w:val="17"/>
        <w:spacing w:line="360" w:lineRule="auto"/>
        <w:rPr>
          <w:rFonts w:asciiTheme="minorEastAsia" w:hAnsiTheme="minorEastAsia" w:eastAsiaTheme="minorEastAsia"/>
          <w:sz w:val="24"/>
          <w:lang w:eastAsia="zh-Hans"/>
        </w:rPr>
      </w:pPr>
      <w:r>
        <w:rPr>
          <w:rFonts w:hAnsi="宋体"/>
          <w:sz w:val="24"/>
        </w:rPr>
        <w:t xml:space="preserve">1.3 </w:t>
      </w:r>
      <w:r>
        <w:rPr>
          <w:rFonts w:hint="eastAsia" w:asciiTheme="minorEastAsia" w:hAnsiTheme="minorEastAsia" w:eastAsiaTheme="minorEastAsia"/>
          <w:sz w:val="24"/>
        </w:rPr>
        <w:t>建筑的主出入口、门厅附近（距离主出入口15m以内）设置便于日常使用的楼梯</w:t>
      </w:r>
      <w:r>
        <w:rPr>
          <w:rFonts w:hint="eastAsia" w:asciiTheme="minorEastAsia" w:hAnsiTheme="minorEastAsia" w:eastAsiaTheme="minorEastAsia"/>
          <w:sz w:val="24"/>
          <w:lang w:eastAsia="zh-Hans"/>
        </w:rPr>
        <w:t>。</w:t>
      </w:r>
    </w:p>
    <w:p>
      <w:pPr>
        <w:pStyle w:val="17"/>
        <w:spacing w:line="360" w:lineRule="auto"/>
        <w:rPr>
          <w:rFonts w:asciiTheme="minorEastAsia" w:hAnsiTheme="minorEastAsia" w:eastAsiaTheme="minorEastAsia"/>
          <w:sz w:val="24"/>
          <w:lang w:eastAsia="zh-Hans"/>
        </w:rPr>
      </w:pPr>
      <w:r>
        <w:rPr>
          <w:rFonts w:asciiTheme="minorEastAsia" w:hAnsiTheme="minorEastAsia" w:eastAsiaTheme="minorEastAsia"/>
          <w:sz w:val="24"/>
          <w:lang w:eastAsia="zh-Hans"/>
        </w:rPr>
        <w:t xml:space="preserve">1.4 </w:t>
      </w:r>
      <w:r>
        <w:rPr>
          <w:rFonts w:hint="eastAsia" w:asciiTheme="minorEastAsia" w:hAnsiTheme="minorEastAsia" w:eastAsiaTheme="minorEastAsia"/>
          <w:sz w:val="24"/>
        </w:rPr>
        <w:t>室内健身空间面积不少于地上建筑面积的0.3％且不少于60m²</w:t>
      </w:r>
      <w:r>
        <w:rPr>
          <w:rFonts w:hint="eastAsia" w:asciiTheme="minorEastAsia" w:hAnsiTheme="minorEastAsia" w:eastAsiaTheme="minorEastAsia"/>
          <w:sz w:val="24"/>
          <w:lang w:eastAsia="zh-Hans"/>
        </w:rPr>
        <w:t>。</w:t>
      </w:r>
    </w:p>
    <w:p>
      <w:pPr>
        <w:pStyle w:val="17"/>
        <w:spacing w:line="360" w:lineRule="auto"/>
        <w:rPr>
          <w:rFonts w:hAnsi="宋体"/>
          <w:sz w:val="24"/>
        </w:rPr>
      </w:pPr>
      <w:r>
        <w:rPr>
          <w:rFonts w:hint="eastAsia" w:hAnsi="宋体"/>
          <w:sz w:val="24"/>
        </w:rPr>
        <w:t>1</w:t>
      </w:r>
      <w:r>
        <w:rPr>
          <w:rFonts w:hAnsi="宋体"/>
          <w:sz w:val="24"/>
        </w:rPr>
        <w:t xml:space="preserve">.5 </w:t>
      </w:r>
      <w:r>
        <w:rPr>
          <w:rFonts w:hint="eastAsia" w:hAnsi="宋体"/>
          <w:sz w:val="24"/>
        </w:rPr>
        <w:t>有噪声、振动、电磁辐射和空气污染的房间远离有安静要求、人员长期居住或工作的房间及场所。</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22"/>
        <w:gridCol w:w="1842"/>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restart"/>
          </w:tcPr>
          <w:p>
            <w:pPr>
              <w:spacing w:line="360" w:lineRule="auto"/>
              <w:rPr>
                <w:rFonts w:hAnsi="宋体"/>
                <w:sz w:val="24"/>
              </w:rPr>
            </w:pPr>
            <w:r>
              <w:rPr>
                <w:rFonts w:hint="eastAsia" w:hAnsi="宋体"/>
                <w:sz w:val="24"/>
              </w:rPr>
              <w:t>条文来源</w:t>
            </w:r>
          </w:p>
        </w:tc>
        <w:tc>
          <w:tcPr>
            <w:tcW w:w="2022" w:type="dxa"/>
            <w:vMerge w:val="restart"/>
          </w:tcPr>
          <w:p>
            <w:pPr>
              <w:spacing w:line="360" w:lineRule="auto"/>
              <w:rPr>
                <w:rFonts w:hAnsi="宋体"/>
                <w:sz w:val="24"/>
              </w:rPr>
            </w:pPr>
            <w:r>
              <w:rPr>
                <w:rFonts w:hint="eastAsia" w:hAnsi="宋体"/>
                <w:sz w:val="24"/>
              </w:rPr>
              <w:t>GB/T 50378-201</w:t>
            </w:r>
            <w:r>
              <w:rPr>
                <w:rFonts w:hAnsi="宋体"/>
                <w:sz w:val="24"/>
              </w:rPr>
              <w:t>9</w:t>
            </w:r>
          </w:p>
        </w:tc>
        <w:tc>
          <w:tcPr>
            <w:tcW w:w="1842" w:type="dxa"/>
          </w:tcPr>
          <w:p>
            <w:pPr>
              <w:spacing w:line="360" w:lineRule="auto"/>
              <w:rPr>
                <w:rFonts w:hAnsi="宋体"/>
                <w:sz w:val="24"/>
              </w:rPr>
            </w:pPr>
            <w:r>
              <w:rPr>
                <w:rFonts w:hAnsi="宋体"/>
                <w:sz w:val="24"/>
              </w:rPr>
              <w:t>4.2.6</w:t>
            </w:r>
            <w:r>
              <w:rPr>
                <w:rFonts w:hint="eastAsia" w:hAnsi="宋体"/>
                <w:sz w:val="24"/>
              </w:rPr>
              <w:t>条-</w:t>
            </w:r>
            <w:r>
              <w:rPr>
                <w:rFonts w:hAnsi="宋体"/>
                <w:sz w:val="24"/>
              </w:rPr>
              <w:t>1</w:t>
            </w:r>
          </w:p>
        </w:tc>
        <w:tc>
          <w:tcPr>
            <w:tcW w:w="3969" w:type="dxa"/>
          </w:tcPr>
          <w:p>
            <w:pPr>
              <w:spacing w:line="360" w:lineRule="auto"/>
              <w:rPr>
                <w:rFonts w:hAnsi="宋体"/>
                <w:sz w:val="24"/>
              </w:rPr>
            </w:pPr>
            <w:r>
              <w:rPr>
                <w:rFonts w:hint="eastAsia" w:hAnsi="宋体"/>
                <w:sz w:val="24"/>
              </w:rPr>
              <w:t>7分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spacing w:line="360" w:lineRule="auto"/>
              <w:rPr>
                <w:rFonts w:hAnsi="宋体"/>
                <w:sz w:val="24"/>
              </w:rPr>
            </w:pPr>
          </w:p>
        </w:tc>
        <w:tc>
          <w:tcPr>
            <w:tcW w:w="2022" w:type="dxa"/>
            <w:vMerge w:val="continue"/>
          </w:tcPr>
          <w:p>
            <w:pPr>
              <w:spacing w:line="360" w:lineRule="auto"/>
              <w:rPr>
                <w:rFonts w:hAnsi="宋体"/>
                <w:sz w:val="24"/>
              </w:rPr>
            </w:pPr>
          </w:p>
        </w:tc>
        <w:tc>
          <w:tcPr>
            <w:tcW w:w="1842" w:type="dxa"/>
          </w:tcPr>
          <w:p>
            <w:pPr>
              <w:spacing w:line="360" w:lineRule="auto"/>
              <w:rPr>
                <w:rFonts w:hAnsi="宋体"/>
                <w:sz w:val="24"/>
              </w:rPr>
            </w:pPr>
            <w:r>
              <w:rPr>
                <w:rFonts w:hint="eastAsia" w:hAnsi="宋体"/>
                <w:sz w:val="24"/>
              </w:rPr>
              <w:t>7</w:t>
            </w:r>
            <w:r>
              <w:rPr>
                <w:rFonts w:hAnsi="宋体"/>
                <w:sz w:val="24"/>
              </w:rPr>
              <w:t>.1.1</w:t>
            </w:r>
            <w:r>
              <w:rPr>
                <w:rFonts w:hint="eastAsia" w:hAnsi="宋体"/>
                <w:sz w:val="24"/>
              </w:rPr>
              <w:t>条</w:t>
            </w:r>
          </w:p>
        </w:tc>
        <w:tc>
          <w:tcPr>
            <w:tcW w:w="3969" w:type="dxa"/>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spacing w:line="360" w:lineRule="auto"/>
              <w:rPr>
                <w:rFonts w:hAnsi="宋体"/>
                <w:sz w:val="24"/>
              </w:rPr>
            </w:pPr>
          </w:p>
        </w:tc>
        <w:tc>
          <w:tcPr>
            <w:tcW w:w="2022" w:type="dxa"/>
            <w:vMerge w:val="continue"/>
          </w:tcPr>
          <w:p>
            <w:pPr>
              <w:spacing w:line="360" w:lineRule="auto"/>
              <w:rPr>
                <w:rFonts w:hAnsi="宋体"/>
                <w:sz w:val="24"/>
              </w:rPr>
            </w:pPr>
          </w:p>
        </w:tc>
        <w:tc>
          <w:tcPr>
            <w:tcW w:w="1842" w:type="dxa"/>
          </w:tcPr>
          <w:p>
            <w:pPr>
              <w:spacing w:line="360" w:lineRule="auto"/>
              <w:rPr>
                <w:rFonts w:hAnsi="宋体"/>
                <w:sz w:val="24"/>
              </w:rPr>
            </w:pPr>
            <w:r>
              <w:rPr>
                <w:rFonts w:hint="eastAsia" w:hAnsi="宋体"/>
                <w:sz w:val="24"/>
              </w:rPr>
              <w:t>6</w:t>
            </w:r>
            <w:r>
              <w:rPr>
                <w:rFonts w:hAnsi="宋体"/>
                <w:sz w:val="24"/>
              </w:rPr>
              <w:t>.2.5</w:t>
            </w:r>
            <w:r>
              <w:rPr>
                <w:rFonts w:hint="eastAsia" w:hAnsi="宋体"/>
                <w:sz w:val="24"/>
              </w:rPr>
              <w:t>-</w:t>
            </w:r>
            <w:r>
              <w:rPr>
                <w:rFonts w:hAnsi="宋体"/>
                <w:sz w:val="24"/>
              </w:rPr>
              <w:t>4</w:t>
            </w:r>
          </w:p>
        </w:tc>
        <w:tc>
          <w:tcPr>
            <w:tcW w:w="3969" w:type="dxa"/>
          </w:tcPr>
          <w:p>
            <w:pPr>
              <w:spacing w:line="360" w:lineRule="auto"/>
              <w:rPr>
                <w:rFonts w:hAnsi="宋体"/>
                <w:sz w:val="24"/>
              </w:rPr>
            </w:pPr>
            <w:r>
              <w:rPr>
                <w:rFonts w:hint="eastAsia" w:hAnsi="宋体"/>
                <w:sz w:val="24"/>
              </w:rPr>
              <w:t>得分项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spacing w:line="360" w:lineRule="auto"/>
              <w:rPr>
                <w:rFonts w:hAnsi="宋体"/>
                <w:sz w:val="24"/>
              </w:rPr>
            </w:pPr>
          </w:p>
        </w:tc>
        <w:tc>
          <w:tcPr>
            <w:tcW w:w="2022"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842" w:type="dxa"/>
          </w:tcPr>
          <w:p>
            <w:pPr>
              <w:spacing w:line="360" w:lineRule="auto"/>
              <w:rPr>
                <w:rFonts w:hAnsi="宋体"/>
                <w:sz w:val="24"/>
              </w:rPr>
            </w:pPr>
            <w:r>
              <w:rPr>
                <w:rFonts w:hint="eastAsia" w:hAnsi="宋体"/>
                <w:sz w:val="24"/>
              </w:rPr>
              <w:t>5</w:t>
            </w:r>
            <w:r>
              <w:rPr>
                <w:rFonts w:hAnsi="宋体"/>
                <w:sz w:val="24"/>
              </w:rPr>
              <w:t>.2.1</w:t>
            </w:r>
            <w:r>
              <w:rPr>
                <w:rFonts w:hint="eastAsia" w:hAnsi="宋体"/>
                <w:sz w:val="24"/>
              </w:rPr>
              <w:t>条-</w:t>
            </w:r>
            <w:r>
              <w:rPr>
                <w:rFonts w:hAnsi="宋体"/>
                <w:sz w:val="24"/>
              </w:rPr>
              <w:t>2</w:t>
            </w:r>
          </w:p>
        </w:tc>
        <w:tc>
          <w:tcPr>
            <w:tcW w:w="3969"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spacing w:line="360" w:lineRule="auto"/>
              <w:rPr>
                <w:rFonts w:hAnsi="宋体"/>
                <w:sz w:val="24"/>
              </w:rPr>
            </w:pPr>
          </w:p>
        </w:tc>
        <w:tc>
          <w:tcPr>
            <w:tcW w:w="2022" w:type="dxa"/>
            <w:vMerge w:val="continue"/>
          </w:tcPr>
          <w:p>
            <w:pPr>
              <w:spacing w:line="360" w:lineRule="auto"/>
              <w:rPr>
                <w:rFonts w:hAnsi="宋体"/>
                <w:sz w:val="24"/>
              </w:rPr>
            </w:pPr>
          </w:p>
        </w:tc>
        <w:tc>
          <w:tcPr>
            <w:tcW w:w="1842" w:type="dxa"/>
          </w:tcPr>
          <w:p>
            <w:pPr>
              <w:spacing w:line="360" w:lineRule="auto"/>
              <w:rPr>
                <w:rFonts w:hAnsi="宋体"/>
                <w:sz w:val="24"/>
              </w:rPr>
            </w:pPr>
            <w:r>
              <w:rPr>
                <w:rFonts w:hint="eastAsia" w:hAnsi="宋体"/>
                <w:sz w:val="24"/>
              </w:rPr>
              <w:t>5</w:t>
            </w:r>
            <w:r>
              <w:rPr>
                <w:rFonts w:hAnsi="宋体"/>
                <w:sz w:val="24"/>
              </w:rPr>
              <w:t>.2.2</w:t>
            </w:r>
            <w:r>
              <w:rPr>
                <w:rFonts w:hint="eastAsia" w:hAnsi="宋体"/>
                <w:sz w:val="24"/>
              </w:rPr>
              <w:t>条</w:t>
            </w:r>
          </w:p>
        </w:tc>
        <w:tc>
          <w:tcPr>
            <w:tcW w:w="3969"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spacing w:line="360" w:lineRule="auto"/>
              <w:rPr>
                <w:rFonts w:hAnsi="宋体"/>
                <w:sz w:val="24"/>
              </w:rPr>
            </w:pPr>
          </w:p>
        </w:tc>
        <w:tc>
          <w:tcPr>
            <w:tcW w:w="2022" w:type="dxa"/>
            <w:vMerge w:val="continue"/>
          </w:tcPr>
          <w:p>
            <w:pPr>
              <w:spacing w:line="360" w:lineRule="auto"/>
              <w:rPr>
                <w:rFonts w:hAnsi="宋体"/>
                <w:sz w:val="24"/>
              </w:rPr>
            </w:pPr>
          </w:p>
        </w:tc>
        <w:tc>
          <w:tcPr>
            <w:tcW w:w="1842" w:type="dxa"/>
          </w:tcPr>
          <w:p>
            <w:pPr>
              <w:spacing w:line="360" w:lineRule="auto"/>
              <w:rPr>
                <w:rFonts w:hAnsi="宋体"/>
                <w:sz w:val="24"/>
              </w:rPr>
            </w:pPr>
            <w:r>
              <w:rPr>
                <w:rFonts w:hint="eastAsia" w:hAnsi="宋体"/>
                <w:sz w:val="24"/>
              </w:rPr>
              <w:t>5</w:t>
            </w:r>
            <w:r>
              <w:rPr>
                <w:rFonts w:hAnsi="宋体"/>
                <w:sz w:val="24"/>
              </w:rPr>
              <w:t>.2.4</w:t>
            </w:r>
            <w:r>
              <w:rPr>
                <w:rFonts w:hint="eastAsia" w:hAnsi="宋体"/>
                <w:sz w:val="24"/>
              </w:rPr>
              <w:t>条</w:t>
            </w:r>
          </w:p>
        </w:tc>
        <w:tc>
          <w:tcPr>
            <w:tcW w:w="3969"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vMerge w:val="continue"/>
          </w:tcPr>
          <w:p>
            <w:pPr>
              <w:spacing w:line="360" w:lineRule="auto"/>
              <w:rPr>
                <w:rFonts w:hAnsi="宋体"/>
                <w:sz w:val="24"/>
              </w:rPr>
            </w:pPr>
          </w:p>
        </w:tc>
        <w:tc>
          <w:tcPr>
            <w:tcW w:w="2022" w:type="dxa"/>
            <w:vMerge w:val="continue"/>
          </w:tcPr>
          <w:p>
            <w:pPr>
              <w:spacing w:line="360" w:lineRule="auto"/>
              <w:rPr>
                <w:rFonts w:hAnsi="宋体"/>
                <w:sz w:val="24"/>
              </w:rPr>
            </w:pPr>
          </w:p>
        </w:tc>
        <w:tc>
          <w:tcPr>
            <w:tcW w:w="1842" w:type="dxa"/>
          </w:tcPr>
          <w:p>
            <w:pPr>
              <w:spacing w:line="360" w:lineRule="auto"/>
              <w:rPr>
                <w:rFonts w:hAnsi="宋体"/>
                <w:sz w:val="24"/>
              </w:rPr>
            </w:pPr>
            <w:r>
              <w:rPr>
                <w:rFonts w:hAnsi="宋体"/>
                <w:sz w:val="24"/>
              </w:rPr>
              <w:t>5.3.1</w:t>
            </w:r>
            <w:r>
              <w:rPr>
                <w:rFonts w:hint="eastAsia" w:hAnsi="宋体"/>
                <w:sz w:val="24"/>
                <w:lang w:eastAsia="zh-Hans"/>
              </w:rPr>
              <w:t>条</w:t>
            </w:r>
          </w:p>
        </w:tc>
        <w:tc>
          <w:tcPr>
            <w:tcW w:w="3969" w:type="dxa"/>
          </w:tcPr>
          <w:p>
            <w:pPr>
              <w:spacing w:line="360" w:lineRule="auto"/>
              <w:rPr>
                <w:rFonts w:hAnsi="宋体"/>
                <w:sz w:val="24"/>
              </w:rPr>
            </w:pPr>
            <w:r>
              <w:rPr>
                <w:rFonts w:hint="eastAsia" w:hAnsi="宋体"/>
                <w:sz w:val="24"/>
                <w:lang w:eastAsia="zh-Hans"/>
              </w:rPr>
              <w:t>二</w:t>
            </w:r>
            <w:r>
              <w:rPr>
                <w:rFonts w:hint="eastAsia" w:hAnsi="宋体"/>
                <w:sz w:val="24"/>
              </w:rPr>
              <w:t>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依据材料</w:t>
            </w:r>
          </w:p>
        </w:tc>
        <w:tc>
          <w:tcPr>
            <w:tcW w:w="7833" w:type="dxa"/>
            <w:gridSpan w:val="3"/>
          </w:tcPr>
          <w:p>
            <w:pPr>
              <w:autoSpaceDE w:val="0"/>
              <w:autoSpaceDN w:val="0"/>
              <w:adjustRightInd w:val="0"/>
              <w:spacing w:line="360" w:lineRule="auto"/>
              <w:jc w:val="left"/>
              <w:rPr>
                <w:rFonts w:hAnsi="宋体"/>
                <w:sz w:val="24"/>
              </w:rPr>
            </w:pPr>
            <w:r>
              <w:rPr>
                <w:rFonts w:hint="eastAsia" w:hAnsi="宋体"/>
                <w:sz w:val="24"/>
              </w:rPr>
              <w:t xml:space="preserve">    设计人员填写本条内容时应根据建筑施工图的各层平面图等相关设计文件、建筑适变性提升措施的设计说明，按照项目实际，填写此项内容。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833" w:type="dxa"/>
            <w:gridSpan w:val="3"/>
          </w:tcPr>
          <w:p>
            <w:pPr>
              <w:pStyle w:val="84"/>
              <w:spacing w:line="360" w:lineRule="auto"/>
              <w:jc w:val="left"/>
              <w:rPr>
                <w:sz w:val="24"/>
              </w:rPr>
            </w:pPr>
            <w:r>
              <w:rPr>
                <w:rFonts w:hint="eastAsia"/>
                <w:sz w:val="24"/>
              </w:rPr>
              <w:t xml:space="preserve">    绿色建筑设计应以提高空间利用率为原则，提倡建筑空间与设施的共享。建筑中休息空间、交往空间、会议设施、健身设施等的共享，可以有效地提高空间的利用效率，节约用地、节约建设成本及对资源的消耗，并应通过精心设计，避免过多的大厅、中庭、走廊等交通辅助空间；避免不必要的高大空间和实际使用功能的空间。避免因设计不当形成一些很难使用或使用效率低的空间。</w:t>
            </w:r>
          </w:p>
          <w:p>
            <w:pPr>
              <w:pStyle w:val="84"/>
              <w:spacing w:line="360" w:lineRule="auto"/>
              <w:jc w:val="left"/>
              <w:rPr>
                <w:rFonts w:hAnsi="宋体"/>
                <w:sz w:val="24"/>
              </w:rPr>
            </w:pPr>
            <w:r>
              <w:rPr>
                <w:rFonts w:hint="eastAsia"/>
                <w:sz w:val="24"/>
              </w:rPr>
              <w:t xml:space="preserve">    为适应预期的功能变化，设计时应选择适宜的开间和层高，并应尽可能采用轻质内隔墙。公共建筑宜考虑、使用功能、使用人数和使用方式的未来变化，满足预期的需求。室内环境需求相同或相近空间集中布置的原则有利于节材节地节能，是绿色建筑设计的核心概念。需求相同或相近的空间集中布置，有利于统筹布置设备管线，减少能源损耗，减少管道材料的使用。根据房间声环境要求的不同，对各类房间进行布局和划分，可以达到区域噪声控制的良好效果。</w:t>
            </w:r>
          </w:p>
        </w:tc>
      </w:tr>
    </w:tbl>
    <w:p>
      <w:pPr>
        <w:spacing w:line="360" w:lineRule="auto"/>
        <w:rPr>
          <w:rFonts w:hAnsi="宋体"/>
          <w:sz w:val="24"/>
        </w:rPr>
      </w:pPr>
    </w:p>
    <w:p>
      <w:pPr>
        <w:pStyle w:val="17"/>
        <w:spacing w:line="360" w:lineRule="auto"/>
        <w:rPr>
          <w:rFonts w:hAnsi="宋体"/>
          <w:b/>
          <w:sz w:val="24"/>
        </w:rPr>
      </w:pPr>
      <w:r>
        <w:rPr>
          <w:rFonts w:hAnsi="宋体"/>
          <w:b/>
          <w:sz w:val="24"/>
        </w:rPr>
        <w:t>2</w:t>
      </w:r>
      <w:r>
        <w:rPr>
          <w:rFonts w:hint="eastAsia" w:hAnsi="宋体"/>
          <w:b/>
          <w:sz w:val="24"/>
        </w:rPr>
        <w:t>.</w:t>
      </w:r>
      <w:r>
        <w:rPr>
          <w:rFonts w:hAnsi="宋体"/>
          <w:b/>
          <w:sz w:val="24"/>
        </w:rPr>
        <w:t xml:space="preserve"> </w:t>
      </w:r>
      <w:r>
        <w:rPr>
          <w:rFonts w:hint="eastAsia" w:hAnsi="宋体"/>
          <w:b/>
          <w:sz w:val="24"/>
        </w:rPr>
        <w:t>建筑节能:</w:t>
      </w:r>
    </w:p>
    <w:p>
      <w:pPr>
        <w:spacing w:line="360" w:lineRule="auto"/>
        <w:rPr>
          <w:rFonts w:hAnsi="宋体"/>
          <w:sz w:val="24"/>
        </w:rPr>
      </w:pPr>
      <w:r>
        <w:rPr>
          <w:rFonts w:hAnsi="宋体"/>
          <w:sz w:val="24"/>
        </w:rPr>
        <w:t xml:space="preserve">2.1 </w:t>
      </w:r>
      <w:r>
        <w:rPr>
          <w:rFonts w:hint="eastAsia" w:hAnsi="宋体"/>
          <w:sz w:val="24"/>
        </w:rPr>
        <w:t>建筑朝向与体形系数：</w:t>
      </w:r>
    </w:p>
    <w:p>
      <w:pPr>
        <w:spacing w:line="360" w:lineRule="auto"/>
        <w:rPr>
          <w:rFonts w:hAnsi="宋体"/>
          <w:sz w:val="24"/>
        </w:rPr>
      </w:pPr>
      <w:r>
        <w:rPr>
          <w:rFonts w:hAnsi="宋体"/>
          <w:sz w:val="24"/>
        </w:rPr>
        <w:t xml:space="preserve">2.1.1 </w:t>
      </w:r>
      <w:r>
        <w:rPr>
          <w:rFonts w:hint="eastAsia" w:hAnsi="宋体"/>
          <w:sz w:val="24"/>
        </w:rPr>
        <w:t>主体</w:t>
      </w:r>
      <w:r>
        <w:rPr>
          <w:rFonts w:hAnsi="宋体"/>
          <w:sz w:val="24"/>
        </w:rPr>
        <w:t>建筑朝向</w:t>
      </w:r>
      <w:r>
        <w:rPr>
          <w:rFonts w:hint="eastAsia" w:hAnsi="宋体"/>
          <w:sz w:val="24"/>
        </w:rPr>
        <w:t>；</w:t>
      </w:r>
    </w:p>
    <w:p>
      <w:pPr>
        <w:spacing w:line="360" w:lineRule="auto"/>
        <w:rPr>
          <w:rFonts w:hAnsi="宋体"/>
          <w:sz w:val="24"/>
        </w:rPr>
      </w:pPr>
      <w:r>
        <w:rPr>
          <w:rFonts w:hAnsi="宋体"/>
          <w:sz w:val="24"/>
        </w:rPr>
        <w:t xml:space="preserve">2.1.2 </w:t>
      </w:r>
      <w:r>
        <w:rPr>
          <w:rFonts w:hint="eastAsia" w:hAnsi="宋体"/>
          <w:sz w:val="24"/>
        </w:rPr>
        <w:t>不利朝向采取的补偿措施；</w:t>
      </w:r>
    </w:p>
    <w:p>
      <w:pPr>
        <w:spacing w:line="360" w:lineRule="auto"/>
        <w:rPr>
          <w:rFonts w:hAnsi="宋体"/>
          <w:sz w:val="24"/>
        </w:rPr>
      </w:pPr>
      <w:r>
        <w:rPr>
          <w:rFonts w:hAnsi="宋体"/>
          <w:sz w:val="24"/>
        </w:rPr>
        <w:t>2.1.3</w:t>
      </w:r>
      <w:r>
        <w:rPr>
          <w:rFonts w:hint="eastAsia" w:hAnsi="宋体"/>
          <w:sz w:val="24"/>
        </w:rPr>
        <w:t>建筑</w:t>
      </w:r>
      <w:r>
        <w:rPr>
          <w:rFonts w:hAnsi="宋体"/>
          <w:sz w:val="24"/>
        </w:rPr>
        <w:t>体形</w:t>
      </w:r>
      <w:r>
        <w:rPr>
          <w:rFonts w:hint="eastAsia" w:hAnsi="宋体"/>
          <w:sz w:val="24"/>
        </w:rPr>
        <w:t>系数；</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9"/>
        <w:gridCol w:w="2161"/>
        <w:gridCol w:w="1843"/>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9" w:type="dxa"/>
            <w:vMerge w:val="restart"/>
          </w:tcPr>
          <w:p>
            <w:pPr>
              <w:spacing w:line="360" w:lineRule="auto"/>
              <w:rPr>
                <w:rFonts w:hAnsi="宋体"/>
                <w:sz w:val="24"/>
              </w:rPr>
            </w:pPr>
            <w:r>
              <w:rPr>
                <w:rFonts w:hint="eastAsia" w:hAnsi="宋体"/>
                <w:sz w:val="24"/>
              </w:rPr>
              <w:t>条文来源</w:t>
            </w:r>
          </w:p>
        </w:tc>
        <w:tc>
          <w:tcPr>
            <w:tcW w:w="2161"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843" w:type="dxa"/>
          </w:tcPr>
          <w:p>
            <w:pPr>
              <w:spacing w:line="360" w:lineRule="auto"/>
              <w:rPr>
                <w:rFonts w:hAnsi="宋体"/>
                <w:sz w:val="24"/>
              </w:rPr>
            </w:pPr>
            <w:r>
              <w:rPr>
                <w:rFonts w:hint="eastAsia" w:hAnsi="宋体"/>
                <w:sz w:val="24"/>
              </w:rPr>
              <w:t>5.</w:t>
            </w:r>
            <w:r>
              <w:rPr>
                <w:rFonts w:hAnsi="宋体"/>
                <w:sz w:val="24"/>
              </w:rPr>
              <w:t>1.3</w:t>
            </w:r>
            <w:r>
              <w:rPr>
                <w:rFonts w:hint="eastAsia" w:hAnsi="宋体"/>
                <w:sz w:val="24"/>
              </w:rPr>
              <w:t>条-</w:t>
            </w:r>
            <w:r>
              <w:rPr>
                <w:rFonts w:hAnsi="宋体"/>
                <w:sz w:val="24"/>
              </w:rPr>
              <w:t>1</w:t>
            </w:r>
          </w:p>
        </w:tc>
        <w:tc>
          <w:tcPr>
            <w:tcW w:w="3827" w:type="dxa"/>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9" w:type="dxa"/>
            <w:vMerge w:val="continue"/>
          </w:tcPr>
          <w:p>
            <w:pPr>
              <w:spacing w:line="360" w:lineRule="auto"/>
              <w:rPr>
                <w:rFonts w:hAnsi="宋体"/>
                <w:sz w:val="24"/>
              </w:rPr>
            </w:pPr>
          </w:p>
        </w:tc>
        <w:tc>
          <w:tcPr>
            <w:tcW w:w="2161" w:type="dxa"/>
            <w:vMerge w:val="continue"/>
          </w:tcPr>
          <w:p>
            <w:pPr>
              <w:spacing w:line="360" w:lineRule="auto"/>
              <w:rPr>
                <w:rFonts w:hAnsi="宋体"/>
                <w:sz w:val="24"/>
              </w:rPr>
            </w:pPr>
          </w:p>
        </w:tc>
        <w:tc>
          <w:tcPr>
            <w:tcW w:w="1843" w:type="dxa"/>
          </w:tcPr>
          <w:p>
            <w:pPr>
              <w:spacing w:line="360" w:lineRule="auto"/>
              <w:rPr>
                <w:rFonts w:hAnsi="宋体"/>
                <w:sz w:val="24"/>
              </w:rPr>
            </w:pPr>
            <w:r>
              <w:rPr>
                <w:rFonts w:hAnsi="宋体"/>
                <w:sz w:val="24"/>
              </w:rPr>
              <w:t>5.2.8</w:t>
            </w:r>
            <w:r>
              <w:rPr>
                <w:rFonts w:hint="eastAsia" w:hAnsi="宋体"/>
                <w:sz w:val="24"/>
              </w:rPr>
              <w:t>条</w:t>
            </w:r>
          </w:p>
        </w:tc>
        <w:tc>
          <w:tcPr>
            <w:tcW w:w="3827"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9" w:type="dxa"/>
            <w:vMerge w:val="continue"/>
          </w:tcPr>
          <w:p>
            <w:pPr>
              <w:spacing w:line="360" w:lineRule="auto"/>
              <w:rPr>
                <w:rFonts w:hAnsi="宋体"/>
                <w:sz w:val="24"/>
              </w:rPr>
            </w:pPr>
          </w:p>
        </w:tc>
        <w:tc>
          <w:tcPr>
            <w:tcW w:w="2161" w:type="dxa"/>
            <w:vMerge w:val="continue"/>
          </w:tcPr>
          <w:p>
            <w:pPr>
              <w:spacing w:line="360" w:lineRule="auto"/>
              <w:rPr>
                <w:rFonts w:hAnsi="宋体"/>
                <w:sz w:val="24"/>
              </w:rPr>
            </w:pPr>
          </w:p>
        </w:tc>
        <w:tc>
          <w:tcPr>
            <w:tcW w:w="1843" w:type="dxa"/>
          </w:tcPr>
          <w:p>
            <w:pPr>
              <w:spacing w:line="360" w:lineRule="auto"/>
              <w:rPr>
                <w:rFonts w:hAnsi="宋体"/>
                <w:sz w:val="24"/>
              </w:rPr>
            </w:pPr>
            <w:r>
              <w:rPr>
                <w:rFonts w:hint="eastAsia" w:hAnsi="宋体"/>
                <w:sz w:val="24"/>
              </w:rPr>
              <w:t>5</w:t>
            </w:r>
            <w:r>
              <w:rPr>
                <w:rFonts w:hAnsi="宋体"/>
                <w:sz w:val="24"/>
              </w:rPr>
              <w:t>.4.1</w:t>
            </w:r>
            <w:r>
              <w:rPr>
                <w:rFonts w:hint="eastAsia" w:hAnsi="宋体"/>
                <w:sz w:val="24"/>
              </w:rPr>
              <w:t>条</w:t>
            </w:r>
          </w:p>
        </w:tc>
        <w:tc>
          <w:tcPr>
            <w:tcW w:w="3827" w:type="dxa"/>
          </w:tcPr>
          <w:p>
            <w:pPr>
              <w:spacing w:line="360" w:lineRule="auto"/>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9" w:type="dxa"/>
          </w:tcPr>
          <w:p>
            <w:pPr>
              <w:spacing w:line="360" w:lineRule="auto"/>
              <w:rPr>
                <w:rFonts w:hAnsi="宋体"/>
                <w:sz w:val="24"/>
              </w:rPr>
            </w:pPr>
            <w:r>
              <w:rPr>
                <w:rFonts w:hint="eastAsia" w:hAnsi="宋体"/>
                <w:sz w:val="24"/>
              </w:rPr>
              <w:t>依据材料</w:t>
            </w:r>
          </w:p>
        </w:tc>
        <w:tc>
          <w:tcPr>
            <w:tcW w:w="7831" w:type="dxa"/>
            <w:gridSpan w:val="3"/>
          </w:tcPr>
          <w:p>
            <w:pPr>
              <w:spacing w:line="360" w:lineRule="auto"/>
              <w:rPr>
                <w:rFonts w:hAnsi="宋体"/>
                <w:sz w:val="24"/>
              </w:rPr>
            </w:pPr>
            <w:r>
              <w:rPr>
                <w:rFonts w:hint="eastAsia" w:hAnsi="宋体"/>
                <w:sz w:val="24"/>
              </w:rPr>
              <w:t xml:space="preserve">    时应根据场地地形图、建筑总平面图等设计文件，施工总图；节能计算报告书；建筑立面图及门窗做法说明，建筑体形、朝向、楼距、窗墙比等的优化报告（包括节能设计目标、设计思路、设计效果及有关模拟分析报告），依据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9" w:type="dxa"/>
          </w:tcPr>
          <w:p>
            <w:pPr>
              <w:spacing w:line="360" w:lineRule="auto"/>
              <w:rPr>
                <w:rFonts w:hAnsi="宋体"/>
                <w:sz w:val="24"/>
              </w:rPr>
            </w:pPr>
            <w:r>
              <w:rPr>
                <w:rFonts w:hint="eastAsia" w:hAnsi="宋体"/>
                <w:sz w:val="24"/>
              </w:rPr>
              <w:t>备注</w:t>
            </w:r>
          </w:p>
        </w:tc>
        <w:tc>
          <w:tcPr>
            <w:tcW w:w="7831" w:type="dxa"/>
            <w:gridSpan w:val="3"/>
          </w:tcPr>
          <w:p>
            <w:pPr>
              <w:spacing w:line="360" w:lineRule="auto"/>
              <w:ind w:firstLine="480" w:firstLineChars="200"/>
              <w:rPr>
                <w:rFonts w:hAnsi="宋体"/>
                <w:sz w:val="24"/>
              </w:rPr>
            </w:pPr>
            <w:r>
              <w:rPr>
                <w:rFonts w:hint="eastAsia" w:hAnsi="宋体"/>
                <w:sz w:val="24"/>
              </w:rPr>
              <w:t>建筑的体形、朝向、窗墙</w:t>
            </w:r>
            <w:r>
              <w:rPr>
                <w:rFonts w:hAnsi="宋体"/>
                <w:sz w:val="24"/>
              </w:rPr>
              <w:t>比、楼距以及楼群的布置都</w:t>
            </w:r>
            <w:r>
              <w:rPr>
                <w:rFonts w:hint="eastAsia" w:hAnsi="宋体"/>
                <w:sz w:val="24"/>
              </w:rPr>
              <w:t>对</w:t>
            </w:r>
            <w:r>
              <w:rPr>
                <w:rFonts w:hAnsi="宋体"/>
                <w:sz w:val="24"/>
              </w:rPr>
              <w:t>通</w:t>
            </w:r>
            <w:r>
              <w:rPr>
                <w:rFonts w:hint="eastAsia" w:hAnsi="宋体"/>
                <w:sz w:val="24"/>
              </w:rPr>
              <w:t>风、日照、采光以及遮阳有明显的影响，因而也间接影响建筑的供暖和空调能耗以及建筑室内环境的舒适性，应该给予足够的重视</w:t>
            </w:r>
            <w:r>
              <w:rPr>
                <w:rFonts w:hAnsi="宋体"/>
                <w:sz w:val="24"/>
              </w:rPr>
              <w:t>。</w:t>
            </w:r>
          </w:p>
          <w:p>
            <w:pPr>
              <w:spacing w:line="360" w:lineRule="auto"/>
              <w:ind w:firstLine="480" w:firstLineChars="200"/>
              <w:rPr>
                <w:rFonts w:hAnsi="宋体"/>
                <w:strike/>
                <w:sz w:val="24"/>
              </w:rPr>
            </w:pPr>
            <w:r>
              <w:rPr>
                <w:rFonts w:hint="eastAsia" w:hAnsi="宋体"/>
                <w:sz w:val="24"/>
              </w:rPr>
              <w:t>如果建筑的体形简单</w:t>
            </w:r>
            <w:r>
              <w:rPr>
                <w:rFonts w:hAnsi="宋体"/>
                <w:sz w:val="24"/>
              </w:rPr>
              <w:t>、朝向接近正南正北，楼</w:t>
            </w:r>
            <w:r>
              <w:rPr>
                <w:rFonts w:hint="eastAsia" w:hAnsi="宋体"/>
                <w:sz w:val="24"/>
              </w:rPr>
              <w:t>间</w:t>
            </w:r>
            <w:r>
              <w:rPr>
                <w:rFonts w:hAnsi="宋体"/>
                <w:sz w:val="24"/>
              </w:rPr>
              <w:t>距、窗</w:t>
            </w:r>
            <w:r>
              <w:rPr>
                <w:rFonts w:hint="eastAsia" w:hAnsi="宋体"/>
                <w:sz w:val="24"/>
              </w:rPr>
              <w:t>墙</w:t>
            </w:r>
            <w:r>
              <w:rPr>
                <w:rFonts w:hAnsi="宋体"/>
                <w:sz w:val="24"/>
              </w:rPr>
              <w:t>比</w:t>
            </w:r>
            <w:r>
              <w:rPr>
                <w:rFonts w:hint="eastAsia" w:hAnsi="宋体"/>
                <w:sz w:val="24"/>
              </w:rPr>
              <w:t>也满</w:t>
            </w:r>
            <w:r>
              <w:rPr>
                <w:rFonts w:hAnsi="宋体"/>
                <w:sz w:val="24"/>
              </w:rPr>
              <w:t>足</w:t>
            </w:r>
            <w:r>
              <w:rPr>
                <w:rFonts w:hint="eastAsia" w:hAnsi="宋体"/>
                <w:sz w:val="24"/>
              </w:rPr>
              <w:t>标</w:t>
            </w:r>
            <w:r>
              <w:rPr>
                <w:rFonts w:hAnsi="宋体"/>
                <w:sz w:val="24"/>
              </w:rPr>
              <w:t>准要求，可</w:t>
            </w:r>
            <w:r>
              <w:rPr>
                <w:rFonts w:hint="eastAsia" w:hAnsi="宋体"/>
                <w:sz w:val="24"/>
              </w:rPr>
              <w:t>视为设计</w:t>
            </w:r>
            <w:r>
              <w:rPr>
                <w:rFonts w:hAnsi="宋体"/>
                <w:sz w:val="24"/>
              </w:rPr>
              <w:t>合理，</w:t>
            </w:r>
            <w:r>
              <w:rPr>
                <w:rFonts w:hint="eastAsia" w:hAnsi="宋体"/>
                <w:sz w:val="24"/>
              </w:rPr>
              <w:t>在</w:t>
            </w:r>
            <w:r>
              <w:rPr>
                <w:rFonts w:hAnsi="宋体"/>
                <w:sz w:val="24"/>
              </w:rPr>
              <w:t>2</w:t>
            </w:r>
            <w:r>
              <w:rPr>
                <w:rFonts w:hint="eastAsia" w:hAnsi="宋体"/>
                <w:sz w:val="24"/>
              </w:rPr>
              <w:t>.1.1项可直接选择“是”。体形等复杂时</w:t>
            </w:r>
            <w:r>
              <w:rPr>
                <w:rFonts w:hAnsi="宋体"/>
                <w:sz w:val="24"/>
              </w:rPr>
              <w:t>，</w:t>
            </w:r>
            <w:r>
              <w:rPr>
                <w:rFonts w:hint="eastAsia" w:hAnsi="宋体"/>
                <w:sz w:val="24"/>
              </w:rPr>
              <w:t>应对</w:t>
            </w:r>
            <w:r>
              <w:rPr>
                <w:rFonts w:hAnsi="宋体"/>
                <w:sz w:val="24"/>
              </w:rPr>
              <w:t>体形、朝向、楼距、窗</w:t>
            </w:r>
            <w:r>
              <w:rPr>
                <w:rFonts w:hint="eastAsia" w:hAnsi="宋体"/>
                <w:sz w:val="24"/>
              </w:rPr>
              <w:t>墙</w:t>
            </w:r>
            <w:r>
              <w:rPr>
                <w:rFonts w:hAnsi="宋体"/>
                <w:sz w:val="24"/>
              </w:rPr>
              <w:t>比等</w:t>
            </w:r>
            <w:r>
              <w:rPr>
                <w:rFonts w:hint="eastAsia" w:hAnsi="宋体"/>
                <w:sz w:val="24"/>
              </w:rPr>
              <w:t>进</w:t>
            </w:r>
            <w:r>
              <w:rPr>
                <w:rFonts w:hAnsi="宋体"/>
                <w:sz w:val="24"/>
              </w:rPr>
              <w:t>行</w:t>
            </w:r>
            <w:r>
              <w:rPr>
                <w:rFonts w:hint="eastAsia" w:hAnsi="宋体"/>
                <w:sz w:val="24"/>
              </w:rPr>
              <w:t>综</w:t>
            </w:r>
            <w:r>
              <w:rPr>
                <w:rFonts w:hAnsi="宋体"/>
                <w:sz w:val="24"/>
              </w:rPr>
              <w:t>合性</w:t>
            </w:r>
            <w:r>
              <w:rPr>
                <w:rFonts w:hint="eastAsia" w:hAnsi="宋体"/>
                <w:sz w:val="24"/>
              </w:rPr>
              <w:t>优</w:t>
            </w:r>
            <w:r>
              <w:rPr>
                <w:rFonts w:hAnsi="宋体"/>
                <w:sz w:val="24"/>
              </w:rPr>
              <w:t>化</w:t>
            </w:r>
            <w:r>
              <w:rPr>
                <w:rFonts w:hint="eastAsia" w:hAnsi="宋体"/>
                <w:sz w:val="24"/>
              </w:rPr>
              <w:t>设计</w:t>
            </w:r>
            <w:r>
              <w:rPr>
                <w:rFonts w:hAnsi="宋体"/>
                <w:sz w:val="24"/>
              </w:rPr>
              <w:t>。</w:t>
            </w:r>
          </w:p>
          <w:p>
            <w:pPr>
              <w:spacing w:line="360" w:lineRule="auto"/>
              <w:ind w:firstLine="480" w:firstLineChars="200"/>
              <w:rPr>
                <w:rFonts w:hAnsi="宋体"/>
                <w:sz w:val="24"/>
              </w:rPr>
            </w:pPr>
            <w:r>
              <w:rPr>
                <w:rFonts w:hint="eastAsia" w:hAnsi="宋体"/>
                <w:sz w:val="24"/>
              </w:rPr>
              <w:t>建筑朝向的选择</w:t>
            </w:r>
            <w:r>
              <w:rPr>
                <w:rFonts w:hAnsi="宋体"/>
                <w:sz w:val="24"/>
              </w:rPr>
              <w:t>，涉及当地气候条件、地理</w:t>
            </w:r>
            <w:r>
              <w:rPr>
                <w:rFonts w:hint="eastAsia" w:hAnsi="宋体"/>
                <w:sz w:val="24"/>
              </w:rPr>
              <w:t>环</w:t>
            </w:r>
            <w:r>
              <w:rPr>
                <w:rFonts w:hAnsi="宋体"/>
                <w:sz w:val="24"/>
              </w:rPr>
              <w:t>境、建筑</w:t>
            </w:r>
            <w:r>
              <w:rPr>
                <w:rFonts w:hint="eastAsia" w:hAnsi="宋体"/>
                <w:sz w:val="24"/>
              </w:rPr>
              <w:t>用地情况等，必须全面考虑。选择的总原则是：在节约用地的前提下，既要避免夏季过多的日晒，又要兼顾冬季能争取较多的日照，并充分利用自然的通风。</w:t>
            </w:r>
          </w:p>
          <w:p>
            <w:pPr>
              <w:spacing w:line="360" w:lineRule="auto"/>
              <w:ind w:firstLine="360" w:firstLineChars="150"/>
              <w:rPr>
                <w:rFonts w:hAnsi="宋体"/>
                <w:sz w:val="24"/>
              </w:rPr>
            </w:pPr>
            <w:r>
              <w:rPr>
                <w:rFonts w:hint="eastAsia" w:hAnsi="宋体"/>
                <w:sz w:val="24"/>
              </w:rPr>
              <w:t>建筑朝向（大多数条式建筑的主要朝向）与夏季主导季风方向宜控制在南偏东</w:t>
            </w:r>
            <w:r>
              <w:rPr>
                <w:rFonts w:hAnsi="宋体"/>
                <w:sz w:val="24"/>
              </w:rPr>
              <w:t>30</w:t>
            </w:r>
            <w:r>
              <w:rPr>
                <w:rFonts w:hint="eastAsia" w:hAnsi="宋体"/>
                <w:sz w:val="24"/>
              </w:rPr>
              <w:t>°至南偏西</w:t>
            </w:r>
            <w:r>
              <w:rPr>
                <w:rFonts w:hAnsi="宋体"/>
                <w:sz w:val="24"/>
              </w:rPr>
              <w:t>15</w:t>
            </w:r>
            <w:r>
              <w:rPr>
                <w:rFonts w:hint="eastAsia" w:hAnsi="宋体"/>
                <w:sz w:val="24"/>
              </w:rPr>
              <w:t>°之间。建筑朝向受各方面条件的制约，所有建筑有时不能处于最佳或适宜朝向。当建筑采取东西向和南北向拼接等不利朝向时，必须考虑两者接受日照的程度和相互遮挡的关系，对朝向不佳的建筑可增加以下的补偿措施：</w:t>
            </w:r>
          </w:p>
          <w:p>
            <w:pPr>
              <w:spacing w:line="360" w:lineRule="auto"/>
              <w:rPr>
                <w:rFonts w:hAnsi="宋体"/>
                <w:sz w:val="24"/>
              </w:rPr>
            </w:pPr>
            <w:r>
              <w:rPr>
                <w:rFonts w:hAnsi="宋体"/>
                <w:sz w:val="24"/>
              </w:rPr>
              <w:t xml:space="preserve">1 </w:t>
            </w:r>
            <w:r>
              <w:rPr>
                <w:rFonts w:hint="eastAsia" w:hAnsi="宋体"/>
                <w:sz w:val="24"/>
              </w:rPr>
              <w:t>将次要房间放在西面或北面，减少北向房间的进深。</w:t>
            </w:r>
          </w:p>
          <w:p>
            <w:pPr>
              <w:spacing w:line="360" w:lineRule="auto"/>
              <w:rPr>
                <w:rFonts w:hAnsi="宋体"/>
                <w:sz w:val="24"/>
              </w:rPr>
            </w:pPr>
            <w:r>
              <w:rPr>
                <w:rFonts w:hAnsi="宋体"/>
                <w:sz w:val="24"/>
              </w:rPr>
              <w:t xml:space="preserve">2 </w:t>
            </w:r>
            <w:r>
              <w:rPr>
                <w:rFonts w:hint="eastAsia" w:hAnsi="宋体"/>
                <w:sz w:val="24"/>
              </w:rPr>
              <w:t>在西边设置进深较大的阳台，不让太阳一晒到底，同时减小西窗面积，设遮阳设施，在西窗外种植枝大叶茂的落叶乔木。</w:t>
            </w:r>
          </w:p>
        </w:tc>
      </w:tr>
    </w:tbl>
    <w:p>
      <w:pPr>
        <w:spacing w:line="360" w:lineRule="auto"/>
        <w:rPr>
          <w:rFonts w:hAnsi="宋体"/>
          <w:sz w:val="24"/>
        </w:rPr>
      </w:pPr>
      <w:r>
        <w:rPr>
          <w:rFonts w:hAnsi="宋体"/>
          <w:sz w:val="24"/>
        </w:rPr>
        <w:t xml:space="preserve">2.2 </w:t>
      </w:r>
      <w:r>
        <w:rPr>
          <w:rFonts w:hint="eastAsia" w:hAnsi="宋体"/>
          <w:sz w:val="24"/>
        </w:rPr>
        <w:t>围护结构设计：</w:t>
      </w:r>
    </w:p>
    <w:p>
      <w:pPr>
        <w:spacing w:line="360" w:lineRule="auto"/>
        <w:rPr>
          <w:rFonts w:hAnsi="宋体"/>
          <w:sz w:val="24"/>
        </w:rPr>
      </w:pPr>
      <w:r>
        <w:rPr>
          <w:rFonts w:hAnsi="宋体"/>
          <w:sz w:val="24"/>
        </w:rPr>
        <w:t xml:space="preserve">2.2.1 </w:t>
      </w:r>
      <w:r>
        <w:rPr>
          <w:rFonts w:hint="eastAsia" w:hAnsi="宋体"/>
          <w:sz w:val="24"/>
        </w:rPr>
        <w:t>围护结构热工性能比国家现行相关建筑节能设计标准规定的提高幅度；</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2308"/>
        <w:gridCol w:w="155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4" w:type="dxa"/>
            <w:vMerge w:val="restart"/>
          </w:tcPr>
          <w:p>
            <w:pPr>
              <w:spacing w:line="360" w:lineRule="auto"/>
              <w:rPr>
                <w:rFonts w:hAnsi="宋体"/>
                <w:sz w:val="24"/>
              </w:rPr>
            </w:pPr>
            <w:r>
              <w:rPr>
                <w:rFonts w:hint="eastAsia" w:hAnsi="宋体"/>
                <w:sz w:val="24"/>
              </w:rPr>
              <w:t>条文来源</w:t>
            </w:r>
          </w:p>
        </w:tc>
        <w:tc>
          <w:tcPr>
            <w:tcW w:w="2308" w:type="dxa"/>
            <w:vMerge w:val="restart"/>
          </w:tcPr>
          <w:p>
            <w:pPr>
              <w:spacing w:line="360" w:lineRule="auto"/>
              <w:rPr>
                <w:rFonts w:hAnsi="宋体"/>
                <w:sz w:val="24"/>
              </w:rPr>
            </w:pPr>
            <w:r>
              <w:rPr>
                <w:rFonts w:hint="eastAsia" w:hAnsi="宋体"/>
                <w:sz w:val="24"/>
              </w:rPr>
              <w:t>GB/T 50378-201</w:t>
            </w:r>
            <w:r>
              <w:rPr>
                <w:rFonts w:hAnsi="宋体"/>
                <w:sz w:val="24"/>
              </w:rPr>
              <w:t>9</w:t>
            </w:r>
          </w:p>
        </w:tc>
        <w:tc>
          <w:tcPr>
            <w:tcW w:w="1559" w:type="dxa"/>
          </w:tcPr>
          <w:p>
            <w:pPr>
              <w:spacing w:line="360" w:lineRule="auto"/>
              <w:rPr>
                <w:rFonts w:hAnsi="宋体"/>
                <w:sz w:val="24"/>
              </w:rPr>
            </w:pPr>
            <w:r>
              <w:rPr>
                <w:rFonts w:hAnsi="宋体"/>
                <w:sz w:val="24"/>
              </w:rPr>
              <w:t>5.1.7</w:t>
            </w:r>
            <w:r>
              <w:rPr>
                <w:rFonts w:hint="eastAsia" w:hAnsi="宋体"/>
                <w:sz w:val="24"/>
              </w:rPr>
              <w:t>条</w:t>
            </w:r>
          </w:p>
        </w:tc>
        <w:tc>
          <w:tcPr>
            <w:tcW w:w="3969" w:type="dxa"/>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4" w:type="dxa"/>
            <w:vMerge w:val="continue"/>
          </w:tcPr>
          <w:p>
            <w:pPr>
              <w:spacing w:line="360" w:lineRule="auto"/>
              <w:rPr>
                <w:rFonts w:hAnsi="宋体"/>
                <w:sz w:val="24"/>
              </w:rPr>
            </w:pPr>
          </w:p>
        </w:tc>
        <w:tc>
          <w:tcPr>
            <w:tcW w:w="2308" w:type="dxa"/>
            <w:vMerge w:val="continue"/>
          </w:tcPr>
          <w:p>
            <w:pPr>
              <w:spacing w:line="360" w:lineRule="auto"/>
              <w:rPr>
                <w:rFonts w:hAnsi="宋体"/>
                <w:sz w:val="24"/>
              </w:rPr>
            </w:pPr>
          </w:p>
        </w:tc>
        <w:tc>
          <w:tcPr>
            <w:tcW w:w="1559" w:type="dxa"/>
            <w:vMerge w:val="restart"/>
          </w:tcPr>
          <w:p>
            <w:pPr>
              <w:spacing w:line="360" w:lineRule="auto"/>
              <w:rPr>
                <w:rFonts w:hAnsi="宋体"/>
                <w:sz w:val="24"/>
              </w:rPr>
            </w:pPr>
            <w:r>
              <w:rPr>
                <w:rFonts w:hAnsi="宋体"/>
                <w:sz w:val="24"/>
              </w:rPr>
              <w:t>5.2.4</w:t>
            </w:r>
            <w:r>
              <w:rPr>
                <w:rFonts w:hint="eastAsia" w:hAnsi="宋体"/>
                <w:sz w:val="24"/>
              </w:rPr>
              <w:t>条 -1</w:t>
            </w:r>
          </w:p>
        </w:tc>
        <w:tc>
          <w:tcPr>
            <w:tcW w:w="3969" w:type="dxa"/>
          </w:tcPr>
          <w:p>
            <w:pPr>
              <w:spacing w:line="360" w:lineRule="auto"/>
              <w:rPr>
                <w:rFonts w:hAnsi="宋体"/>
                <w:sz w:val="24"/>
              </w:rPr>
            </w:pPr>
            <w:r>
              <w:rPr>
                <w:rFonts w:hint="eastAsia" w:hAnsi="宋体"/>
                <w:sz w:val="24"/>
              </w:rPr>
              <w:t>围护结</w:t>
            </w:r>
            <w:r>
              <w:rPr>
                <w:rFonts w:hAnsi="宋体"/>
                <w:sz w:val="24"/>
              </w:rPr>
              <w:t>构</w:t>
            </w:r>
            <w:r>
              <w:rPr>
                <w:rFonts w:hint="eastAsia" w:hAnsi="宋体"/>
                <w:sz w:val="24"/>
              </w:rPr>
              <w:t>热</w:t>
            </w:r>
            <w:r>
              <w:rPr>
                <w:rFonts w:hAnsi="宋体"/>
                <w:sz w:val="24"/>
              </w:rPr>
              <w:t>工性能比国家</w:t>
            </w:r>
            <w:r>
              <w:rPr>
                <w:rFonts w:hint="eastAsia" w:hAnsi="宋体"/>
                <w:sz w:val="24"/>
              </w:rPr>
              <w:t>现</w:t>
            </w:r>
            <w:r>
              <w:rPr>
                <w:rFonts w:hAnsi="宋体"/>
                <w:sz w:val="24"/>
              </w:rPr>
              <w:t>行相关建筑</w:t>
            </w:r>
            <w:r>
              <w:rPr>
                <w:rFonts w:hint="eastAsia" w:hAnsi="宋体"/>
                <w:sz w:val="24"/>
              </w:rPr>
              <w:t>节</w:t>
            </w:r>
            <w:r>
              <w:rPr>
                <w:rFonts w:hAnsi="宋体"/>
                <w:sz w:val="24"/>
              </w:rPr>
              <w:t>能</w:t>
            </w:r>
            <w:r>
              <w:rPr>
                <w:rFonts w:hint="eastAsia" w:hAnsi="宋体"/>
                <w:sz w:val="24"/>
              </w:rPr>
              <w:t>设计标</w:t>
            </w:r>
            <w:r>
              <w:rPr>
                <w:rFonts w:hAnsi="宋体"/>
                <w:sz w:val="24"/>
              </w:rPr>
              <w:t>准</w:t>
            </w:r>
            <w:r>
              <w:rPr>
                <w:rFonts w:hint="eastAsia" w:hAnsi="宋体"/>
                <w:sz w:val="24"/>
              </w:rPr>
              <w:t>规定的提高幅度达到</w:t>
            </w:r>
            <w:r>
              <w:rPr>
                <w:rFonts w:hAnsi="宋体"/>
                <w:sz w:val="24"/>
              </w:rPr>
              <w:t>5%</w:t>
            </w:r>
            <w:r>
              <w:rPr>
                <w:rFonts w:hint="eastAsia" w:hAnsi="宋体"/>
                <w:sz w:val="24"/>
              </w:rPr>
              <w:t>，</w:t>
            </w:r>
            <w:r>
              <w:rPr>
                <w:rFonts w:hAnsi="宋体"/>
                <w:sz w:val="24"/>
              </w:rPr>
              <w:t xml:space="preserve">5 </w:t>
            </w:r>
            <w:r>
              <w:rPr>
                <w:rFonts w:hint="eastAsia"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44" w:type="dxa"/>
            <w:vMerge w:val="continue"/>
          </w:tcPr>
          <w:p>
            <w:pPr>
              <w:spacing w:line="360" w:lineRule="auto"/>
              <w:rPr>
                <w:rFonts w:hAnsi="宋体"/>
                <w:sz w:val="24"/>
              </w:rPr>
            </w:pPr>
          </w:p>
        </w:tc>
        <w:tc>
          <w:tcPr>
            <w:tcW w:w="2308" w:type="dxa"/>
            <w:vMerge w:val="continue"/>
          </w:tcPr>
          <w:p>
            <w:pPr>
              <w:spacing w:line="360" w:lineRule="auto"/>
              <w:rPr>
                <w:rFonts w:hAnsi="宋体"/>
                <w:sz w:val="24"/>
              </w:rPr>
            </w:pPr>
          </w:p>
        </w:tc>
        <w:tc>
          <w:tcPr>
            <w:tcW w:w="1559" w:type="dxa"/>
            <w:vMerge w:val="continue"/>
          </w:tcPr>
          <w:p>
            <w:pPr>
              <w:spacing w:line="360" w:lineRule="auto"/>
              <w:rPr>
                <w:rFonts w:hAnsi="宋体"/>
                <w:sz w:val="24"/>
              </w:rPr>
            </w:pPr>
          </w:p>
        </w:tc>
        <w:tc>
          <w:tcPr>
            <w:tcW w:w="3969" w:type="dxa"/>
          </w:tcPr>
          <w:p>
            <w:pPr>
              <w:spacing w:line="360" w:lineRule="auto"/>
              <w:rPr>
                <w:rFonts w:hAnsi="宋体"/>
                <w:sz w:val="24"/>
              </w:rPr>
            </w:pPr>
            <w:r>
              <w:rPr>
                <w:rFonts w:hint="eastAsia" w:hAnsi="宋体"/>
                <w:sz w:val="24"/>
              </w:rPr>
              <w:t>达到</w:t>
            </w:r>
            <w:r>
              <w:rPr>
                <w:rFonts w:hAnsi="宋体"/>
                <w:sz w:val="24"/>
              </w:rPr>
              <w:t>10%</w:t>
            </w:r>
            <w:r>
              <w:rPr>
                <w:rFonts w:hint="eastAsia" w:hAnsi="宋体"/>
                <w:sz w:val="24"/>
              </w:rPr>
              <w:t>，</w:t>
            </w:r>
            <w:r>
              <w:rPr>
                <w:rFonts w:hAnsi="宋体"/>
                <w:sz w:val="24"/>
              </w:rPr>
              <w:t>10</w:t>
            </w:r>
            <w:r>
              <w:rPr>
                <w:rFonts w:hint="eastAsia"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spacing w:line="360" w:lineRule="auto"/>
              <w:rPr>
                <w:rFonts w:hAnsi="宋体"/>
                <w:sz w:val="24"/>
              </w:rPr>
            </w:pPr>
          </w:p>
        </w:tc>
        <w:tc>
          <w:tcPr>
            <w:tcW w:w="2308"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559" w:type="dxa"/>
          </w:tcPr>
          <w:p>
            <w:pPr>
              <w:spacing w:line="360" w:lineRule="auto"/>
              <w:rPr>
                <w:rFonts w:hAnsi="宋体"/>
                <w:sz w:val="24"/>
              </w:rPr>
            </w:pPr>
            <w:r>
              <w:rPr>
                <w:rFonts w:hint="eastAsia" w:hAnsi="宋体"/>
                <w:sz w:val="24"/>
              </w:rPr>
              <w:t>5.1.</w:t>
            </w:r>
            <w:r>
              <w:rPr>
                <w:rFonts w:hAnsi="宋体"/>
                <w:sz w:val="24"/>
              </w:rPr>
              <w:t>3</w:t>
            </w:r>
            <w:r>
              <w:rPr>
                <w:rFonts w:hint="eastAsia" w:hAnsi="宋体"/>
                <w:sz w:val="24"/>
              </w:rPr>
              <w:t>条-</w:t>
            </w:r>
            <w:r>
              <w:rPr>
                <w:rFonts w:hAnsi="宋体"/>
                <w:sz w:val="24"/>
              </w:rPr>
              <w:t>2</w:t>
            </w:r>
          </w:p>
        </w:tc>
        <w:tc>
          <w:tcPr>
            <w:tcW w:w="3969" w:type="dxa"/>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spacing w:line="360" w:lineRule="auto"/>
              <w:rPr>
                <w:rFonts w:hAnsi="宋体"/>
                <w:sz w:val="24"/>
              </w:rPr>
            </w:pPr>
          </w:p>
        </w:tc>
        <w:tc>
          <w:tcPr>
            <w:tcW w:w="2308" w:type="dxa"/>
            <w:vMerge w:val="continue"/>
          </w:tcPr>
          <w:p>
            <w:pPr>
              <w:spacing w:line="360" w:lineRule="auto"/>
              <w:rPr>
                <w:rFonts w:hAnsi="宋体"/>
                <w:sz w:val="24"/>
              </w:rPr>
            </w:pPr>
          </w:p>
        </w:tc>
        <w:tc>
          <w:tcPr>
            <w:tcW w:w="1559" w:type="dxa"/>
          </w:tcPr>
          <w:p>
            <w:pPr>
              <w:spacing w:line="360" w:lineRule="auto"/>
              <w:rPr>
                <w:rFonts w:hAnsi="宋体"/>
                <w:sz w:val="24"/>
              </w:rPr>
            </w:pPr>
            <w:r>
              <w:rPr>
                <w:rFonts w:hint="eastAsia" w:hAnsi="宋体"/>
                <w:sz w:val="24"/>
              </w:rPr>
              <w:t>5.1.</w:t>
            </w:r>
            <w:r>
              <w:rPr>
                <w:rFonts w:hAnsi="宋体"/>
                <w:sz w:val="24"/>
              </w:rPr>
              <w:t>4</w:t>
            </w:r>
            <w:r>
              <w:rPr>
                <w:rFonts w:hint="eastAsia" w:hAnsi="宋体"/>
                <w:sz w:val="24"/>
              </w:rPr>
              <w:t>条</w:t>
            </w:r>
          </w:p>
        </w:tc>
        <w:tc>
          <w:tcPr>
            <w:tcW w:w="3969" w:type="dxa"/>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spacing w:line="360" w:lineRule="auto"/>
              <w:rPr>
                <w:rFonts w:hAnsi="宋体"/>
                <w:sz w:val="24"/>
              </w:rPr>
            </w:pPr>
          </w:p>
        </w:tc>
        <w:tc>
          <w:tcPr>
            <w:tcW w:w="2308" w:type="dxa"/>
            <w:vMerge w:val="continue"/>
          </w:tcPr>
          <w:p>
            <w:pPr>
              <w:spacing w:line="360" w:lineRule="auto"/>
              <w:rPr>
                <w:rFonts w:hAnsi="宋体"/>
                <w:sz w:val="24"/>
              </w:rPr>
            </w:pPr>
          </w:p>
        </w:tc>
        <w:tc>
          <w:tcPr>
            <w:tcW w:w="1559" w:type="dxa"/>
          </w:tcPr>
          <w:p>
            <w:pPr>
              <w:spacing w:line="360" w:lineRule="auto"/>
              <w:rPr>
                <w:rFonts w:hAnsi="宋体"/>
                <w:sz w:val="24"/>
              </w:rPr>
            </w:pPr>
            <w:r>
              <w:rPr>
                <w:rFonts w:hint="eastAsia" w:hAnsi="宋体"/>
                <w:sz w:val="24"/>
              </w:rPr>
              <w:t>5.2.</w:t>
            </w:r>
            <w:r>
              <w:rPr>
                <w:rFonts w:hAnsi="宋体"/>
                <w:sz w:val="24"/>
              </w:rPr>
              <w:t>9</w:t>
            </w:r>
            <w:r>
              <w:rPr>
                <w:rFonts w:hint="eastAsia" w:hAnsi="宋体"/>
                <w:sz w:val="24"/>
              </w:rPr>
              <w:t>条-</w:t>
            </w:r>
            <w:r>
              <w:rPr>
                <w:rFonts w:hAnsi="宋体"/>
                <w:sz w:val="24"/>
              </w:rPr>
              <w:t>1</w:t>
            </w:r>
          </w:p>
        </w:tc>
        <w:tc>
          <w:tcPr>
            <w:tcW w:w="3969"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spacing w:line="360" w:lineRule="auto"/>
              <w:rPr>
                <w:rFonts w:hAnsi="宋体"/>
                <w:sz w:val="24"/>
              </w:rPr>
            </w:pPr>
          </w:p>
        </w:tc>
        <w:tc>
          <w:tcPr>
            <w:tcW w:w="2308" w:type="dxa"/>
            <w:vMerge w:val="continue"/>
          </w:tcPr>
          <w:p>
            <w:pPr>
              <w:spacing w:line="360" w:lineRule="auto"/>
              <w:rPr>
                <w:rFonts w:hAnsi="宋体"/>
                <w:sz w:val="24"/>
              </w:rPr>
            </w:pPr>
          </w:p>
        </w:tc>
        <w:tc>
          <w:tcPr>
            <w:tcW w:w="1559" w:type="dxa"/>
          </w:tcPr>
          <w:p>
            <w:pPr>
              <w:spacing w:line="360" w:lineRule="auto"/>
              <w:rPr>
                <w:rFonts w:hAnsi="宋体"/>
                <w:sz w:val="24"/>
              </w:rPr>
            </w:pPr>
            <w:r>
              <w:rPr>
                <w:rFonts w:hint="eastAsia" w:hAnsi="宋体"/>
                <w:sz w:val="24"/>
              </w:rPr>
              <w:t>5.3.2条-</w:t>
            </w:r>
            <w:r>
              <w:rPr>
                <w:rFonts w:hAnsi="宋体"/>
                <w:sz w:val="24"/>
              </w:rPr>
              <w:t>1</w:t>
            </w:r>
          </w:p>
        </w:tc>
        <w:tc>
          <w:tcPr>
            <w:tcW w:w="3969" w:type="dxa"/>
          </w:tcPr>
          <w:p>
            <w:pPr>
              <w:spacing w:line="360" w:lineRule="auto"/>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spacing w:line="360" w:lineRule="auto"/>
              <w:rPr>
                <w:rFonts w:hAnsi="宋体"/>
                <w:sz w:val="24"/>
              </w:rPr>
            </w:pPr>
          </w:p>
        </w:tc>
        <w:tc>
          <w:tcPr>
            <w:tcW w:w="2308" w:type="dxa"/>
            <w:vMerge w:val="continue"/>
          </w:tcPr>
          <w:p>
            <w:pPr>
              <w:spacing w:line="360" w:lineRule="auto"/>
              <w:rPr>
                <w:rFonts w:hAnsi="宋体"/>
                <w:sz w:val="24"/>
              </w:rPr>
            </w:pPr>
          </w:p>
        </w:tc>
        <w:tc>
          <w:tcPr>
            <w:tcW w:w="1559" w:type="dxa"/>
          </w:tcPr>
          <w:p>
            <w:pPr>
              <w:spacing w:line="360" w:lineRule="auto"/>
              <w:rPr>
                <w:rFonts w:hAnsi="宋体"/>
                <w:sz w:val="24"/>
              </w:rPr>
            </w:pPr>
            <w:r>
              <w:rPr>
                <w:rFonts w:hint="eastAsia" w:hAnsi="宋体"/>
                <w:sz w:val="24"/>
              </w:rPr>
              <w:t>5</w:t>
            </w:r>
            <w:r>
              <w:rPr>
                <w:rFonts w:hAnsi="宋体"/>
                <w:sz w:val="24"/>
              </w:rPr>
              <w:t>.3.4</w:t>
            </w:r>
            <w:r>
              <w:rPr>
                <w:rFonts w:hint="eastAsia" w:hAnsi="宋体"/>
                <w:sz w:val="24"/>
              </w:rPr>
              <w:t>条</w:t>
            </w:r>
          </w:p>
        </w:tc>
        <w:tc>
          <w:tcPr>
            <w:tcW w:w="3969" w:type="dxa"/>
          </w:tcPr>
          <w:p>
            <w:pPr>
              <w:spacing w:line="360" w:lineRule="auto"/>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spacing w:line="360" w:lineRule="auto"/>
              <w:rPr>
                <w:rFonts w:hAnsi="宋体"/>
                <w:sz w:val="24"/>
              </w:rPr>
            </w:pPr>
          </w:p>
        </w:tc>
        <w:tc>
          <w:tcPr>
            <w:tcW w:w="2308" w:type="dxa"/>
            <w:vMerge w:val="continue"/>
          </w:tcPr>
          <w:p>
            <w:pPr>
              <w:spacing w:line="360" w:lineRule="auto"/>
              <w:rPr>
                <w:rFonts w:hAnsi="宋体"/>
                <w:sz w:val="24"/>
              </w:rPr>
            </w:pPr>
          </w:p>
        </w:tc>
        <w:tc>
          <w:tcPr>
            <w:tcW w:w="1559" w:type="dxa"/>
          </w:tcPr>
          <w:p>
            <w:pPr>
              <w:spacing w:line="360" w:lineRule="auto"/>
              <w:rPr>
                <w:rFonts w:hAnsi="宋体"/>
                <w:sz w:val="24"/>
              </w:rPr>
            </w:pPr>
            <w:r>
              <w:rPr>
                <w:rFonts w:hAnsi="宋体"/>
                <w:sz w:val="24"/>
              </w:rPr>
              <w:t>5.4.3</w:t>
            </w:r>
            <w:r>
              <w:rPr>
                <w:rFonts w:hint="eastAsia" w:hAnsi="宋体"/>
                <w:sz w:val="24"/>
              </w:rPr>
              <w:t>条-</w:t>
            </w:r>
            <w:r>
              <w:rPr>
                <w:rFonts w:hAnsi="宋体"/>
                <w:sz w:val="24"/>
              </w:rPr>
              <w:t>1</w:t>
            </w:r>
          </w:p>
        </w:tc>
        <w:tc>
          <w:tcPr>
            <w:tcW w:w="3969" w:type="dxa"/>
          </w:tcPr>
          <w:p>
            <w:pPr>
              <w:spacing w:line="360" w:lineRule="auto"/>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spacing w:line="360" w:lineRule="auto"/>
              <w:rPr>
                <w:rFonts w:hAnsi="宋体"/>
                <w:sz w:val="24"/>
              </w:rPr>
            </w:pPr>
          </w:p>
        </w:tc>
        <w:tc>
          <w:tcPr>
            <w:tcW w:w="2308" w:type="dxa"/>
            <w:vMerge w:val="continue"/>
          </w:tcPr>
          <w:p>
            <w:pPr>
              <w:spacing w:line="360" w:lineRule="auto"/>
              <w:rPr>
                <w:rFonts w:hAnsi="宋体"/>
                <w:sz w:val="24"/>
              </w:rPr>
            </w:pPr>
          </w:p>
        </w:tc>
        <w:tc>
          <w:tcPr>
            <w:tcW w:w="1559" w:type="dxa"/>
          </w:tcPr>
          <w:p>
            <w:pPr>
              <w:spacing w:line="360" w:lineRule="auto"/>
              <w:rPr>
                <w:rFonts w:hAnsi="宋体"/>
                <w:sz w:val="24"/>
              </w:rPr>
            </w:pPr>
            <w:r>
              <w:rPr>
                <w:rFonts w:hint="eastAsia" w:hAnsi="宋体"/>
                <w:sz w:val="24"/>
              </w:rPr>
              <w:t>5</w:t>
            </w:r>
            <w:r>
              <w:rPr>
                <w:rFonts w:hAnsi="宋体"/>
                <w:sz w:val="24"/>
              </w:rPr>
              <w:t>.4.5</w:t>
            </w:r>
            <w:r>
              <w:rPr>
                <w:rFonts w:hint="eastAsia" w:hAnsi="宋体"/>
                <w:sz w:val="24"/>
              </w:rPr>
              <w:t>条</w:t>
            </w:r>
          </w:p>
        </w:tc>
        <w:tc>
          <w:tcPr>
            <w:tcW w:w="3969" w:type="dxa"/>
          </w:tcPr>
          <w:p>
            <w:pPr>
              <w:spacing w:line="360" w:lineRule="auto"/>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pPr>
              <w:spacing w:line="360" w:lineRule="auto"/>
              <w:rPr>
                <w:rFonts w:hAnsi="宋体"/>
                <w:sz w:val="24"/>
              </w:rPr>
            </w:pPr>
            <w:r>
              <w:rPr>
                <w:rFonts w:hint="eastAsia" w:hAnsi="宋体"/>
                <w:sz w:val="24"/>
              </w:rPr>
              <w:t>依据材料</w:t>
            </w:r>
          </w:p>
        </w:tc>
        <w:tc>
          <w:tcPr>
            <w:tcW w:w="7836" w:type="dxa"/>
            <w:gridSpan w:val="3"/>
          </w:tcPr>
          <w:p>
            <w:pPr>
              <w:spacing w:line="360" w:lineRule="auto"/>
              <w:ind w:firstLine="480" w:firstLineChars="200"/>
              <w:rPr>
                <w:rFonts w:hAnsi="宋体"/>
                <w:sz w:val="24"/>
              </w:rPr>
            </w:pPr>
            <w:r>
              <w:rPr>
                <w:rFonts w:hint="eastAsia" w:hAnsi="宋体"/>
                <w:sz w:val="24"/>
              </w:rPr>
              <w:t>根据建筑施工图及设计说明、维护结构施工图详图、围护结构热工性能参数表、当地建筑节能审查相关文件、对供暖空调全年计算负荷报告等文件上的数据，以及建筑节能计算书中的专项计算分析报告，按照项目实际填写此项内容。</w:t>
            </w:r>
          </w:p>
          <w:p>
            <w:pPr>
              <w:spacing w:line="360" w:lineRule="auto"/>
              <w:ind w:firstLine="480" w:firstLineChars="200"/>
              <w:rPr>
                <w:rFonts w:hAnsi="宋体"/>
                <w:sz w:val="24"/>
              </w:rPr>
            </w:pPr>
            <w:r>
              <w:rPr>
                <w:rFonts w:hint="eastAsia" w:hAnsi="宋体"/>
                <w:sz w:val="24"/>
              </w:rPr>
              <w:t>另外值得注意的是，夏热冬冷地区多采用外墙外保温或外墙内外复合保温系统，如完全按照地方明确的节能构造图集进行设计，可直接认为是隔热验算通过的。</w:t>
            </w:r>
          </w:p>
        </w:tc>
      </w:tr>
    </w:tbl>
    <w:p>
      <w:pPr>
        <w:spacing w:line="360" w:lineRule="auto"/>
        <w:rPr>
          <w:rFonts w:hAnsi="宋体"/>
          <w:sz w:val="24"/>
        </w:rPr>
      </w:pPr>
      <w:r>
        <w:rPr>
          <w:rFonts w:hint="eastAsia" w:hAnsi="宋体"/>
          <w:sz w:val="24"/>
        </w:rPr>
        <w:t>2</w:t>
      </w:r>
      <w:r>
        <w:rPr>
          <w:rFonts w:hAnsi="宋体"/>
          <w:sz w:val="24"/>
        </w:rPr>
        <w:t>.2.2</w:t>
      </w:r>
      <w:r>
        <w:rPr>
          <w:rFonts w:hint="eastAsia" w:hAnsi="宋体"/>
          <w:sz w:val="24"/>
        </w:rPr>
        <w:t>住宅采用凸窗；居住空间北向未设置凸窗；其他朝向未设置凸窗；凸窗的上下及侧向非透明部分作</w:t>
      </w:r>
      <w:r>
        <w:rPr>
          <w:rFonts w:hAnsi="宋体"/>
          <w:sz w:val="24"/>
        </w:rPr>
        <w:t>保温处理</w:t>
      </w:r>
      <w:r>
        <w:rPr>
          <w:rFonts w:hint="eastAsia" w:hAnsi="宋体"/>
          <w:sz w:val="24"/>
        </w:rPr>
        <w:t>；</w:t>
      </w:r>
    </w:p>
    <w:p>
      <w:pPr>
        <w:spacing w:line="360" w:lineRule="auto"/>
        <w:rPr>
          <w:rFonts w:hAnsi="宋体"/>
          <w:sz w:val="24"/>
        </w:rPr>
      </w:pPr>
      <w:r>
        <w:rPr>
          <w:rFonts w:hint="eastAsia" w:hAnsi="宋体"/>
          <w:sz w:val="24"/>
        </w:rPr>
        <w:t>2.2.3 外窗（包括透光幕墙）玻璃选用；</w:t>
      </w:r>
    </w:p>
    <w:p>
      <w:pPr>
        <w:spacing w:line="360" w:lineRule="auto"/>
        <w:rPr>
          <w:rFonts w:hAnsi="宋体"/>
          <w:sz w:val="24"/>
        </w:rPr>
      </w:pPr>
      <w:r>
        <w:rPr>
          <w:rFonts w:hAnsi="宋体"/>
          <w:sz w:val="24"/>
        </w:rPr>
        <w:t>2.2.</w:t>
      </w:r>
      <w:r>
        <w:rPr>
          <w:rFonts w:hint="eastAsia" w:hAnsi="宋体"/>
          <w:sz w:val="24"/>
        </w:rPr>
        <w:t>4</w:t>
      </w:r>
      <w:r>
        <w:rPr>
          <w:rFonts w:hAnsi="宋体"/>
          <w:sz w:val="24"/>
        </w:rPr>
        <w:t xml:space="preserve"> </w:t>
      </w:r>
      <w:r>
        <w:rPr>
          <w:rFonts w:hint="eastAsia" w:hAnsi="宋体"/>
          <w:sz w:val="24"/>
        </w:rPr>
        <w:t>建筑外门窗及敞开式阳台门的气密性等级，符合现行国家标准《建筑幕墙、门窗通用技术条件》GB/T 31433、《建筑外窗气密、水密、抗风压性能检测方法》GB/T 7106的规定。1层～6层的外门窗及敞开式阳台门的气密性等级不低于4级；7层及7层以上的外门窗及敞开式阳台门的气密性等级，不低于该标准规定的6级；</w:t>
      </w:r>
    </w:p>
    <w:p>
      <w:pPr>
        <w:spacing w:line="360" w:lineRule="auto"/>
        <w:rPr>
          <w:rFonts w:hAnsi="宋体"/>
          <w:sz w:val="24"/>
        </w:rPr>
      </w:pPr>
      <w:r>
        <w:rPr>
          <w:rFonts w:hAnsi="宋体"/>
          <w:sz w:val="24"/>
        </w:rPr>
        <w:t>2.2.</w:t>
      </w:r>
      <w:r>
        <w:rPr>
          <w:rFonts w:hint="eastAsia" w:hAnsi="宋体"/>
          <w:sz w:val="24"/>
        </w:rPr>
        <w:t>5</w:t>
      </w:r>
      <w:r>
        <w:rPr>
          <w:rFonts w:hAnsi="宋体"/>
          <w:sz w:val="24"/>
        </w:rPr>
        <w:t xml:space="preserve"> </w:t>
      </w:r>
      <w:r>
        <w:rPr>
          <w:rFonts w:hint="eastAsia" w:hAnsi="宋体"/>
          <w:sz w:val="24"/>
        </w:rPr>
        <w:t>外窗框与外墙之间缝隙采用高效保温材料填充，并用密封材料嵌缝；</w:t>
      </w:r>
    </w:p>
    <w:p>
      <w:pPr>
        <w:spacing w:line="360" w:lineRule="auto"/>
        <w:rPr>
          <w:rFonts w:hAnsi="宋体"/>
          <w:sz w:val="24"/>
        </w:rPr>
      </w:pPr>
      <w:r>
        <w:rPr>
          <w:rFonts w:hAnsi="宋体"/>
          <w:sz w:val="24"/>
        </w:rPr>
        <w:t>2.2.</w:t>
      </w:r>
      <w:r>
        <w:rPr>
          <w:rFonts w:hint="eastAsia" w:hAnsi="宋体"/>
          <w:sz w:val="24"/>
        </w:rPr>
        <w:t>6</w:t>
      </w:r>
      <w:r>
        <w:rPr>
          <w:rFonts w:hAnsi="宋体"/>
          <w:sz w:val="24"/>
        </w:rPr>
        <w:t xml:space="preserve"> </w:t>
      </w:r>
      <w:r>
        <w:rPr>
          <w:rFonts w:hint="eastAsia" w:hAnsi="宋体"/>
          <w:sz w:val="24"/>
        </w:rPr>
        <w:t>金属窗框和明框幕墙型材采用隔断热桥措施；</w:t>
      </w:r>
    </w:p>
    <w:p>
      <w:pPr>
        <w:spacing w:line="360" w:lineRule="auto"/>
        <w:rPr>
          <w:rFonts w:hAnsi="宋体"/>
          <w:sz w:val="24"/>
        </w:rPr>
      </w:pPr>
      <w:r>
        <w:rPr>
          <w:rFonts w:hAnsi="宋体"/>
          <w:sz w:val="24"/>
        </w:rPr>
        <w:t>2.2.</w:t>
      </w:r>
      <w:r>
        <w:rPr>
          <w:rFonts w:hint="eastAsia" w:hAnsi="宋体"/>
          <w:sz w:val="24"/>
        </w:rPr>
        <w:t>7</w:t>
      </w:r>
      <w:r>
        <w:rPr>
          <w:rFonts w:hAnsi="宋体"/>
          <w:sz w:val="24"/>
        </w:rPr>
        <w:t xml:space="preserve"> </w:t>
      </w:r>
      <w:r>
        <w:rPr>
          <w:rFonts w:hint="eastAsia" w:hAnsi="宋体"/>
          <w:sz w:val="24"/>
        </w:rPr>
        <w:t>外窗选用取得“建筑门窗节能性能标识”认证的产品，且外窗使用地区与标识推荐的适宜地区一致；</w:t>
      </w:r>
    </w:p>
    <w:p>
      <w:pPr>
        <w:spacing w:line="360" w:lineRule="auto"/>
        <w:rPr>
          <w:rFonts w:hAnsi="宋体"/>
          <w:sz w:val="24"/>
        </w:rPr>
      </w:pPr>
      <w:r>
        <w:rPr>
          <w:rFonts w:hAnsi="宋体"/>
          <w:sz w:val="24"/>
        </w:rPr>
        <w:t>2.2.</w:t>
      </w:r>
      <w:r>
        <w:rPr>
          <w:rFonts w:hint="eastAsia" w:hAnsi="宋体"/>
          <w:sz w:val="24"/>
        </w:rPr>
        <w:t>8</w:t>
      </w:r>
      <w:r>
        <w:rPr>
          <w:rFonts w:hAnsi="宋体"/>
          <w:sz w:val="24"/>
        </w:rPr>
        <w:t xml:space="preserve"> </w:t>
      </w:r>
      <w:r>
        <w:rPr>
          <w:rFonts w:hint="eastAsia" w:hAnsi="宋体"/>
          <w:sz w:val="24"/>
        </w:rPr>
        <w:t>除常规保温隔热设计措施外，本项目屋面和东西向外墙采取以下强化隔热设计措施；</w:t>
      </w:r>
    </w:p>
    <w:p>
      <w:pPr>
        <w:spacing w:line="360" w:lineRule="auto"/>
        <w:rPr>
          <w:rFonts w:hAnsi="宋体"/>
          <w:sz w:val="24"/>
        </w:rPr>
      </w:pPr>
      <w:r>
        <w:rPr>
          <w:rFonts w:hAnsi="宋体"/>
          <w:sz w:val="24"/>
        </w:rPr>
        <w:t>2.2.</w:t>
      </w:r>
      <w:r>
        <w:rPr>
          <w:rFonts w:hint="eastAsia" w:hAnsi="宋体"/>
          <w:sz w:val="24"/>
        </w:rPr>
        <w:t>9</w:t>
      </w:r>
      <w:r>
        <w:rPr>
          <w:rFonts w:hAnsi="宋体"/>
          <w:sz w:val="24"/>
        </w:rPr>
        <w:t xml:space="preserve"> </w:t>
      </w:r>
      <w:r>
        <w:rPr>
          <w:rFonts w:hint="eastAsia" w:hAnsi="宋体"/>
          <w:sz w:val="24"/>
        </w:rPr>
        <w:t>屋顶绿化面积、太阳能板水平投影面积以及采用太阳辐射反射系数不小于0.4的屋面面积；</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348"/>
        <w:gridCol w:w="2058"/>
        <w:gridCol w:w="3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restart"/>
          </w:tcPr>
          <w:p>
            <w:pPr>
              <w:spacing w:line="360" w:lineRule="auto"/>
              <w:rPr>
                <w:rFonts w:hAnsi="宋体"/>
                <w:sz w:val="24"/>
              </w:rPr>
            </w:pPr>
            <w:r>
              <w:rPr>
                <w:rFonts w:hint="eastAsia" w:hAnsi="宋体"/>
                <w:sz w:val="24"/>
              </w:rPr>
              <w:t>条文来源</w:t>
            </w:r>
          </w:p>
        </w:tc>
        <w:tc>
          <w:tcPr>
            <w:tcW w:w="2348" w:type="dxa"/>
            <w:vMerge w:val="restart"/>
          </w:tcPr>
          <w:p>
            <w:pPr>
              <w:spacing w:line="360" w:lineRule="auto"/>
              <w:rPr>
                <w:rFonts w:hAnsi="宋体"/>
                <w:sz w:val="24"/>
              </w:rPr>
            </w:pPr>
            <w:r>
              <w:rPr>
                <w:rFonts w:hint="eastAsia" w:hAnsi="宋体"/>
                <w:sz w:val="24"/>
              </w:rPr>
              <w:t>GB/T 50378-201</w:t>
            </w:r>
            <w:r>
              <w:rPr>
                <w:rFonts w:hAnsi="宋体"/>
                <w:sz w:val="24"/>
              </w:rPr>
              <w:t>9</w:t>
            </w:r>
          </w:p>
        </w:tc>
        <w:tc>
          <w:tcPr>
            <w:tcW w:w="2058" w:type="dxa"/>
          </w:tcPr>
          <w:p>
            <w:pPr>
              <w:spacing w:line="360" w:lineRule="auto"/>
              <w:rPr>
                <w:rFonts w:hAnsi="宋体"/>
                <w:sz w:val="24"/>
              </w:rPr>
            </w:pPr>
            <w:r>
              <w:rPr>
                <w:rFonts w:hAnsi="宋体"/>
                <w:sz w:val="24"/>
              </w:rPr>
              <w:t>4.1.2</w:t>
            </w:r>
            <w:r>
              <w:rPr>
                <w:rFonts w:hint="eastAsia" w:hAnsi="宋体"/>
                <w:sz w:val="24"/>
              </w:rPr>
              <w:t>条</w:t>
            </w:r>
          </w:p>
        </w:tc>
        <w:tc>
          <w:tcPr>
            <w:tcW w:w="3390" w:type="dxa"/>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348" w:type="dxa"/>
            <w:vMerge w:val="continue"/>
          </w:tcPr>
          <w:p>
            <w:pPr>
              <w:spacing w:line="360" w:lineRule="auto"/>
              <w:rPr>
                <w:rFonts w:hAnsi="宋体"/>
                <w:sz w:val="24"/>
              </w:rPr>
            </w:pPr>
          </w:p>
        </w:tc>
        <w:tc>
          <w:tcPr>
            <w:tcW w:w="2058" w:type="dxa"/>
          </w:tcPr>
          <w:p>
            <w:pPr>
              <w:spacing w:line="360" w:lineRule="auto"/>
              <w:rPr>
                <w:rFonts w:hAnsi="宋体"/>
                <w:sz w:val="24"/>
              </w:rPr>
            </w:pPr>
            <w:r>
              <w:rPr>
                <w:rFonts w:hAnsi="宋体"/>
                <w:sz w:val="24"/>
              </w:rPr>
              <w:t>4.1.5</w:t>
            </w:r>
            <w:r>
              <w:rPr>
                <w:rFonts w:hint="eastAsia" w:hAnsi="宋体"/>
                <w:sz w:val="24"/>
              </w:rPr>
              <w:t>条</w:t>
            </w:r>
          </w:p>
        </w:tc>
        <w:tc>
          <w:tcPr>
            <w:tcW w:w="3390" w:type="dxa"/>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348" w:type="dxa"/>
            <w:vMerge w:val="continue"/>
          </w:tcPr>
          <w:p>
            <w:pPr>
              <w:spacing w:line="360" w:lineRule="auto"/>
              <w:rPr>
                <w:rFonts w:hAnsi="宋体"/>
                <w:sz w:val="24"/>
              </w:rPr>
            </w:pPr>
          </w:p>
        </w:tc>
        <w:tc>
          <w:tcPr>
            <w:tcW w:w="2058" w:type="dxa"/>
          </w:tcPr>
          <w:p>
            <w:pPr>
              <w:spacing w:line="360" w:lineRule="auto"/>
              <w:rPr>
                <w:rFonts w:hAnsi="宋体"/>
                <w:sz w:val="24"/>
              </w:rPr>
            </w:pPr>
            <w:r>
              <w:rPr>
                <w:rFonts w:hint="eastAsia" w:hAnsi="宋体"/>
                <w:sz w:val="24"/>
              </w:rPr>
              <w:t>8</w:t>
            </w:r>
            <w:r>
              <w:rPr>
                <w:rFonts w:hAnsi="宋体"/>
                <w:sz w:val="24"/>
              </w:rPr>
              <w:t>.2.9</w:t>
            </w:r>
            <w:r>
              <w:rPr>
                <w:rFonts w:hint="eastAsia" w:hAnsi="宋体"/>
                <w:sz w:val="24"/>
              </w:rPr>
              <w:t>条-</w:t>
            </w:r>
            <w:r>
              <w:rPr>
                <w:rFonts w:hAnsi="宋体"/>
                <w:sz w:val="24"/>
              </w:rPr>
              <w:t>3</w:t>
            </w:r>
          </w:p>
        </w:tc>
        <w:tc>
          <w:tcPr>
            <w:tcW w:w="3390" w:type="dxa"/>
          </w:tcPr>
          <w:p>
            <w:pPr>
              <w:spacing w:line="360" w:lineRule="auto"/>
              <w:rPr>
                <w:rFonts w:hAnsi="宋体"/>
                <w:sz w:val="24"/>
              </w:rPr>
            </w:pPr>
            <w:r>
              <w:rPr>
                <w:rFonts w:hint="eastAsia" w:hAnsi="宋体"/>
                <w:sz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348"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2058" w:type="dxa"/>
          </w:tcPr>
          <w:p>
            <w:pPr>
              <w:spacing w:line="360" w:lineRule="auto"/>
              <w:rPr>
                <w:rFonts w:hAnsi="宋体"/>
                <w:sz w:val="24"/>
              </w:rPr>
            </w:pPr>
            <w:r>
              <w:rPr>
                <w:rFonts w:hint="eastAsia" w:hAnsi="宋体"/>
                <w:sz w:val="24"/>
              </w:rPr>
              <w:t>5.1.</w:t>
            </w:r>
            <w:r>
              <w:rPr>
                <w:rFonts w:hAnsi="宋体"/>
                <w:sz w:val="24"/>
              </w:rPr>
              <w:t>6</w:t>
            </w:r>
            <w:r>
              <w:rPr>
                <w:rFonts w:hint="eastAsia" w:hAnsi="宋体"/>
                <w:sz w:val="24"/>
              </w:rPr>
              <w:t>条</w:t>
            </w:r>
          </w:p>
        </w:tc>
        <w:tc>
          <w:tcPr>
            <w:tcW w:w="3390" w:type="dxa"/>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348" w:type="dxa"/>
            <w:vMerge w:val="continue"/>
          </w:tcPr>
          <w:p>
            <w:pPr>
              <w:spacing w:line="360" w:lineRule="auto"/>
              <w:rPr>
                <w:rFonts w:hAnsi="宋体"/>
                <w:sz w:val="24"/>
              </w:rPr>
            </w:pPr>
          </w:p>
        </w:tc>
        <w:tc>
          <w:tcPr>
            <w:tcW w:w="2058" w:type="dxa"/>
          </w:tcPr>
          <w:p>
            <w:pPr>
              <w:spacing w:line="360" w:lineRule="auto"/>
              <w:rPr>
                <w:rFonts w:hAnsi="宋体"/>
                <w:sz w:val="24"/>
              </w:rPr>
            </w:pPr>
            <w:r>
              <w:rPr>
                <w:rFonts w:hint="eastAsia" w:hAnsi="宋体"/>
                <w:sz w:val="24"/>
              </w:rPr>
              <w:t>5.2.1</w:t>
            </w:r>
            <w:r>
              <w:rPr>
                <w:rFonts w:hAnsi="宋体"/>
                <w:sz w:val="24"/>
              </w:rPr>
              <w:t>1</w:t>
            </w:r>
            <w:r>
              <w:rPr>
                <w:rFonts w:hint="eastAsia" w:hAnsi="宋体"/>
                <w:sz w:val="24"/>
              </w:rPr>
              <w:t>条</w:t>
            </w:r>
          </w:p>
        </w:tc>
        <w:tc>
          <w:tcPr>
            <w:tcW w:w="3390"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348" w:type="dxa"/>
            <w:vMerge w:val="continue"/>
          </w:tcPr>
          <w:p>
            <w:pPr>
              <w:spacing w:line="360" w:lineRule="auto"/>
              <w:rPr>
                <w:rFonts w:hAnsi="宋体"/>
                <w:sz w:val="24"/>
              </w:rPr>
            </w:pPr>
          </w:p>
        </w:tc>
        <w:tc>
          <w:tcPr>
            <w:tcW w:w="2058" w:type="dxa"/>
          </w:tcPr>
          <w:p>
            <w:pPr>
              <w:spacing w:line="360" w:lineRule="auto"/>
              <w:rPr>
                <w:rFonts w:hAnsi="宋体"/>
                <w:sz w:val="24"/>
              </w:rPr>
            </w:pPr>
            <w:r>
              <w:rPr>
                <w:rFonts w:hint="eastAsia" w:hAnsi="宋体"/>
                <w:sz w:val="24"/>
              </w:rPr>
              <w:t>5</w:t>
            </w:r>
            <w:r>
              <w:rPr>
                <w:rFonts w:hAnsi="宋体"/>
                <w:sz w:val="24"/>
              </w:rPr>
              <w:t>.3.3</w:t>
            </w:r>
            <w:r>
              <w:rPr>
                <w:rFonts w:hint="eastAsia" w:hAnsi="宋体"/>
                <w:sz w:val="24"/>
              </w:rPr>
              <w:t>条</w:t>
            </w:r>
          </w:p>
        </w:tc>
        <w:tc>
          <w:tcPr>
            <w:tcW w:w="3390" w:type="dxa"/>
          </w:tcPr>
          <w:p>
            <w:pPr>
              <w:spacing w:line="360" w:lineRule="auto"/>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348" w:type="dxa"/>
            <w:vMerge w:val="restart"/>
          </w:tcPr>
          <w:p>
            <w:pPr>
              <w:spacing w:line="360" w:lineRule="auto"/>
              <w:rPr>
                <w:rFonts w:hAnsi="宋体"/>
                <w:sz w:val="24"/>
              </w:rPr>
            </w:pPr>
            <w:r>
              <w:rPr>
                <w:rFonts w:hint="eastAsia" w:hAnsi="宋体"/>
                <w:sz w:val="24"/>
              </w:rPr>
              <w:t>DB33/</w:t>
            </w:r>
            <w:r>
              <w:rPr>
                <w:rFonts w:hAnsi="宋体"/>
                <w:sz w:val="24"/>
              </w:rPr>
              <w:t>T</w:t>
            </w:r>
            <w:r>
              <w:rPr>
                <w:rFonts w:hint="eastAsia" w:hAnsi="宋体"/>
                <w:sz w:val="24"/>
              </w:rPr>
              <w:t>10</w:t>
            </w:r>
            <w:r>
              <w:rPr>
                <w:rFonts w:hAnsi="宋体"/>
                <w:sz w:val="24"/>
              </w:rPr>
              <w:t>64</w:t>
            </w:r>
            <w:r>
              <w:rPr>
                <w:rFonts w:hint="eastAsia" w:hAnsi="宋体"/>
                <w:sz w:val="24"/>
              </w:rPr>
              <w:t>-20</w:t>
            </w:r>
            <w:r>
              <w:rPr>
                <w:rFonts w:hAnsi="宋体"/>
                <w:sz w:val="24"/>
              </w:rPr>
              <w:t>21</w:t>
            </w:r>
          </w:p>
        </w:tc>
        <w:tc>
          <w:tcPr>
            <w:tcW w:w="2058" w:type="dxa"/>
          </w:tcPr>
          <w:p>
            <w:pPr>
              <w:spacing w:line="360" w:lineRule="auto"/>
              <w:rPr>
                <w:rFonts w:hAnsi="宋体"/>
                <w:sz w:val="24"/>
              </w:rPr>
            </w:pPr>
            <w:r>
              <w:rPr>
                <w:rFonts w:hint="eastAsia" w:hAnsi="宋体"/>
                <w:sz w:val="24"/>
              </w:rPr>
              <w:t>4</w:t>
            </w:r>
            <w:r>
              <w:rPr>
                <w:rFonts w:hAnsi="宋体"/>
                <w:sz w:val="24"/>
              </w:rPr>
              <w:t>.3.1</w:t>
            </w:r>
            <w:r>
              <w:rPr>
                <w:rFonts w:hint="eastAsia" w:hAnsi="宋体"/>
                <w:sz w:val="24"/>
              </w:rPr>
              <w:t>条</w:t>
            </w:r>
          </w:p>
        </w:tc>
        <w:tc>
          <w:tcPr>
            <w:tcW w:w="3390" w:type="dxa"/>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348" w:type="dxa"/>
            <w:vMerge w:val="continue"/>
          </w:tcPr>
          <w:p>
            <w:pPr>
              <w:spacing w:line="360" w:lineRule="auto"/>
              <w:rPr>
                <w:rFonts w:hAnsi="宋体"/>
                <w:sz w:val="24"/>
              </w:rPr>
            </w:pPr>
          </w:p>
        </w:tc>
        <w:tc>
          <w:tcPr>
            <w:tcW w:w="2058" w:type="dxa"/>
          </w:tcPr>
          <w:p>
            <w:pPr>
              <w:spacing w:line="360" w:lineRule="auto"/>
              <w:rPr>
                <w:rFonts w:hAnsi="宋体"/>
                <w:sz w:val="24"/>
              </w:rPr>
            </w:pPr>
            <w:r>
              <w:rPr>
                <w:rFonts w:hint="eastAsia" w:hAnsi="宋体"/>
                <w:sz w:val="24"/>
              </w:rPr>
              <w:t>4.3.2条</w:t>
            </w:r>
          </w:p>
        </w:tc>
        <w:tc>
          <w:tcPr>
            <w:tcW w:w="3390" w:type="dxa"/>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ind w:firstLine="480" w:firstLineChars="200"/>
              <w:rPr>
                <w:rFonts w:hAnsi="宋体"/>
                <w:sz w:val="24"/>
              </w:rPr>
            </w:pPr>
            <w:r>
              <w:rPr>
                <w:rFonts w:hint="eastAsia" w:hAnsi="宋体"/>
                <w:sz w:val="24"/>
              </w:rPr>
              <w:t>本条填写时应根据节能计算报告书；建筑立面图及门窗做法说明；并核对是否满足节能评估报告相关内容。</w:t>
            </w:r>
          </w:p>
          <w:p>
            <w:pPr>
              <w:spacing w:line="360" w:lineRule="auto"/>
              <w:ind w:firstLine="480" w:firstLineChars="200"/>
              <w:rPr>
                <w:rFonts w:hAnsi="宋体"/>
                <w:sz w:val="24"/>
              </w:rPr>
            </w:pPr>
            <w:r>
              <w:rPr>
                <w:rFonts w:hint="eastAsia" w:hAnsi="宋体"/>
                <w:sz w:val="24"/>
              </w:rPr>
              <w:t>数据来源应根据建筑设计相关文件、计算书、自然通风模拟分析报告、建筑节能计算书中的专项计算分析报告等，按实际如实填写本项内容。</w:t>
            </w:r>
          </w:p>
          <w:p>
            <w:pPr>
              <w:spacing w:line="360" w:lineRule="auto"/>
              <w:ind w:firstLine="480" w:firstLineChars="200"/>
              <w:rPr>
                <w:rFonts w:hAnsi="宋体"/>
                <w:sz w:val="24"/>
              </w:rPr>
            </w:pPr>
            <w:r>
              <w:rPr>
                <w:rFonts w:hint="eastAsia" w:hAnsi="宋体"/>
                <w:sz w:val="24"/>
              </w:rPr>
              <w:t>如项目未设置凸窗，可选“否”，并可不填写先关凸窗内容。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jc w:val="left"/>
              <w:rPr>
                <w:rFonts w:hAnsi="宋体"/>
                <w:sz w:val="24"/>
              </w:rPr>
            </w:pPr>
            <w:r>
              <w:rPr>
                <w:rFonts w:hint="eastAsia" w:hAnsi="宋体"/>
                <w:sz w:val="24"/>
              </w:rPr>
              <w:t>本条要求主要是避免外窗处的热桥，以加强围护结构保温隔热性能：</w:t>
            </w:r>
          </w:p>
          <w:p>
            <w:pPr>
              <w:spacing w:line="360" w:lineRule="auto"/>
              <w:ind w:firstLine="480" w:firstLineChars="200"/>
              <w:jc w:val="left"/>
              <w:rPr>
                <w:rFonts w:hAnsi="宋体"/>
                <w:sz w:val="24"/>
              </w:rPr>
            </w:pPr>
            <w:r>
              <w:rPr>
                <w:rFonts w:hAnsi="宋体"/>
                <w:sz w:val="24"/>
              </w:rPr>
              <w:t xml:space="preserve">1 </w:t>
            </w:r>
            <w:r>
              <w:rPr>
                <w:rFonts w:hint="eastAsia" w:hAnsi="宋体"/>
                <w:sz w:val="24"/>
              </w:rPr>
              <w:t>宜利用建筑本体自遮阳和建筑之间相互遮阳；</w:t>
            </w:r>
          </w:p>
          <w:p>
            <w:pPr>
              <w:spacing w:line="360" w:lineRule="auto"/>
              <w:ind w:firstLine="480" w:firstLineChars="200"/>
              <w:jc w:val="left"/>
              <w:rPr>
                <w:rFonts w:hAnsi="宋体"/>
                <w:sz w:val="24"/>
              </w:rPr>
            </w:pPr>
            <w:r>
              <w:rPr>
                <w:rFonts w:hAnsi="宋体"/>
                <w:sz w:val="24"/>
              </w:rPr>
              <w:t xml:space="preserve">2 </w:t>
            </w:r>
            <w:r>
              <w:rPr>
                <w:rFonts w:hint="eastAsia" w:hAnsi="宋体"/>
                <w:sz w:val="24"/>
              </w:rPr>
              <w:t>遮阳设计宜考虑住户间的安全防护和空调室外机的设置；</w:t>
            </w:r>
          </w:p>
          <w:p>
            <w:pPr>
              <w:spacing w:line="360" w:lineRule="auto"/>
              <w:ind w:firstLine="480" w:firstLineChars="200"/>
              <w:jc w:val="left"/>
              <w:rPr>
                <w:rFonts w:hAnsi="宋体"/>
                <w:sz w:val="24"/>
              </w:rPr>
            </w:pPr>
            <w:r>
              <w:rPr>
                <w:rFonts w:hAnsi="宋体"/>
                <w:sz w:val="24"/>
              </w:rPr>
              <w:t xml:space="preserve">3 </w:t>
            </w:r>
            <w:r>
              <w:rPr>
                <w:rFonts w:hint="eastAsia" w:hAnsi="宋体"/>
                <w:sz w:val="24"/>
              </w:rPr>
              <w:t>阳台宜考虑适合种植的构造措施，利用植物的遮蔽减少阳光对墙面的直晒。</w:t>
            </w:r>
          </w:p>
          <w:p>
            <w:pPr>
              <w:spacing w:line="360" w:lineRule="auto"/>
              <w:ind w:firstLine="480" w:firstLineChars="200"/>
              <w:jc w:val="left"/>
              <w:rPr>
                <w:rFonts w:hAnsi="宋体"/>
                <w:sz w:val="24"/>
              </w:rPr>
            </w:pPr>
            <w:r>
              <w:rPr>
                <w:rFonts w:hint="eastAsia" w:hAnsi="宋体"/>
                <w:sz w:val="24"/>
              </w:rPr>
              <w:t>主要是避免外窗处的热桥，以加强围护结构保温隔热性能。目前居住建筑设计的外窗面积越来越大，凸窗、弧形窗以及转角窗越来越多，可是对其上下、左右不透明的顶板、底板和侧板的保温隔热处理又不够重视，这些部位基本上是钢筋混吐出挑的部位，室外墙上热工性能最薄弱的部位。</w:t>
            </w:r>
          </w:p>
          <w:p>
            <w:pPr>
              <w:spacing w:line="360" w:lineRule="auto"/>
              <w:ind w:firstLine="480" w:firstLineChars="200"/>
              <w:jc w:val="left"/>
              <w:rPr>
                <w:rFonts w:hAnsi="宋体"/>
                <w:sz w:val="24"/>
              </w:rPr>
            </w:pPr>
            <w:r>
              <w:rPr>
                <w:rFonts w:hint="eastAsia" w:hAnsi="宋体"/>
                <w:sz w:val="24"/>
              </w:rPr>
              <w:t>当节能评估文件未进行相关模拟计算（由于项目规模较小，按《评估导则》相关要求，不需进行风热环境模拟）时；填写时按否项选择；否则需要补充模拟计算，并按其结论，据实填写。</w:t>
            </w:r>
          </w:p>
          <w:p>
            <w:pPr>
              <w:spacing w:line="360" w:lineRule="auto"/>
              <w:ind w:firstLine="480" w:firstLineChars="200"/>
              <w:jc w:val="left"/>
              <w:rPr>
                <w:rFonts w:hAnsi="宋体"/>
                <w:sz w:val="24"/>
              </w:rPr>
            </w:pPr>
            <w:r>
              <w:rPr>
                <w:rFonts w:hint="eastAsia" w:hAnsi="宋体"/>
                <w:sz w:val="24"/>
              </w:rPr>
              <w:t>建筑外窗风荷载标准值</w:t>
            </w:r>
            <w:r>
              <w:rPr>
                <w:rFonts w:hAnsi="宋体"/>
                <w:sz w:val="24"/>
              </w:rPr>
              <w:t>w</w:t>
            </w:r>
            <w:r>
              <w:rPr>
                <w:rFonts w:hAnsi="宋体"/>
                <w:sz w:val="24"/>
                <w:vertAlign w:val="subscript"/>
              </w:rPr>
              <w:t>k</w:t>
            </w:r>
            <w:r>
              <w:rPr>
                <w:rFonts w:hint="eastAsia" w:hAnsi="宋体"/>
                <w:sz w:val="24"/>
              </w:rPr>
              <w:t>应依据现行国家标准《建筑结构荷载规范》G</w:t>
            </w:r>
            <w:r>
              <w:rPr>
                <w:rFonts w:hAnsi="宋体"/>
                <w:sz w:val="24"/>
              </w:rPr>
              <w:t>B50009</w:t>
            </w:r>
            <w:r>
              <w:rPr>
                <w:rFonts w:hint="eastAsia" w:hAnsi="宋体"/>
                <w:sz w:val="24"/>
              </w:rPr>
              <w:t>的规定经计算确实。抗风压性能指标值（P</w:t>
            </w:r>
            <w:r>
              <w:rPr>
                <w:rFonts w:hint="eastAsia" w:hAnsi="宋体"/>
                <w:sz w:val="24"/>
                <w:vertAlign w:val="subscript"/>
              </w:rPr>
              <w:t>3</w:t>
            </w:r>
            <w:r>
              <w:rPr>
                <w:rFonts w:hint="eastAsia" w:hAnsi="宋体"/>
                <w:sz w:val="24"/>
              </w:rPr>
              <w:t>）应满足风荷载标准值</w:t>
            </w:r>
            <w:r>
              <w:rPr>
                <w:rFonts w:hAnsi="宋体"/>
                <w:sz w:val="24"/>
              </w:rPr>
              <w:t>w</w:t>
            </w:r>
            <w:r>
              <w:rPr>
                <w:rFonts w:hAnsi="宋体"/>
                <w:sz w:val="24"/>
                <w:vertAlign w:val="subscript"/>
              </w:rPr>
              <w:t>k</w:t>
            </w:r>
            <w:r>
              <w:rPr>
                <w:rFonts w:hint="eastAsia" w:hAnsi="宋体"/>
                <w:sz w:val="24"/>
              </w:rPr>
              <w:t>要求，且满足表4.3.1的规定。</w:t>
            </w:r>
          </w:p>
          <w:p>
            <w:pPr>
              <w:widowControl/>
              <w:spacing w:line="360" w:lineRule="auto"/>
              <w:jc w:val="left"/>
              <w:rPr>
                <w:rFonts w:hAnsi="宋体" w:cs="宋体"/>
                <w:kern w:val="0"/>
                <w:sz w:val="24"/>
              </w:rPr>
            </w:pPr>
            <w:r>
              <w:rPr>
                <w:rFonts w:hAnsi="宋体" w:cs="宋体"/>
                <w:kern w:val="0"/>
                <w:sz w:val="24"/>
              </w:rPr>
              <w:drawing>
                <wp:inline distT="0" distB="0" distL="0" distR="0">
                  <wp:extent cx="4679950" cy="1063625"/>
                  <wp:effectExtent l="0" t="0" r="6350" b="3175"/>
                  <wp:docPr id="2" name="图片 2" descr="C:\Users\yxjg.ZUADR\AppData\Roaming\Tencent\Users\195515799\QQ\WinTemp\RichOle\NSDV[R0AVS1MJALX8WV1MGD.png"/>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2" name="图片 2" descr="C:\Users\yxjg.ZUADR\AppData\Roaming\Tencent\Users\195515799\QQ\WinTemp\RichOle\NSDV[R0AVS1MJALX8WV1MGD.png"/>
                          <pic:cNvPicPr>
                            <a:picLocks noChangeAspect="true" noChangeArrowheads="true"/>
                          </pic:cNvPicPr>
                        </pic:nvPicPr>
                        <pic:blipFill>
                          <a:blip r:embed="rId16">
                            <a:extLst>
                              <a:ext uri="{28A0092B-C50C-407E-A947-70E740481C1C}">
                                <a14:useLocalDpi xmlns:a14="http://schemas.microsoft.com/office/drawing/2010/main" val="false"/>
                              </a:ext>
                            </a:extLst>
                          </a:blip>
                          <a:srcRect/>
                          <a:stretch>
                            <a:fillRect/>
                          </a:stretch>
                        </pic:blipFill>
                        <pic:spPr>
                          <a:xfrm>
                            <a:off x="0" y="0"/>
                            <a:ext cx="4680000" cy="1063920"/>
                          </a:xfrm>
                          <a:prstGeom prst="rect">
                            <a:avLst/>
                          </a:prstGeom>
                          <a:noFill/>
                          <a:ln>
                            <a:noFill/>
                          </a:ln>
                        </pic:spPr>
                      </pic:pic>
                    </a:graphicData>
                  </a:graphic>
                </wp:inline>
              </w:drawing>
            </w:r>
          </w:p>
          <w:p>
            <w:pPr>
              <w:spacing w:line="360" w:lineRule="auto"/>
              <w:jc w:val="left"/>
              <w:rPr>
                <w:rFonts w:hAnsi="宋体"/>
                <w:sz w:val="24"/>
              </w:rPr>
            </w:pPr>
            <w:r>
              <w:rPr>
                <w:rFonts w:hint="eastAsia" w:hAnsi="宋体"/>
                <w:sz w:val="24"/>
              </w:rPr>
              <w:t>水密性能指标值（△P）应根据具体工程设计确定，且不得小于3级（△P≥250</w:t>
            </w:r>
            <w:r>
              <w:rPr>
                <w:rFonts w:hAnsi="宋体"/>
                <w:sz w:val="24"/>
              </w:rPr>
              <w:t>P</w:t>
            </w:r>
            <w:r>
              <w:rPr>
                <w:rFonts w:hint="eastAsia" w:hAnsi="宋体"/>
                <w:sz w:val="24"/>
              </w:rPr>
              <w:t>a）。</w:t>
            </w:r>
          </w:p>
        </w:tc>
      </w:tr>
    </w:tbl>
    <w:p>
      <w:pPr>
        <w:spacing w:line="360" w:lineRule="auto"/>
        <w:rPr>
          <w:rFonts w:hAnsi="宋体"/>
          <w:sz w:val="24"/>
        </w:rPr>
      </w:pPr>
      <w:r>
        <w:rPr>
          <w:rFonts w:hAnsi="宋体"/>
          <w:sz w:val="24"/>
        </w:rPr>
        <w:t xml:space="preserve">2.3 </w:t>
      </w:r>
      <w:r>
        <w:rPr>
          <w:rFonts w:hint="eastAsia" w:hAnsi="宋体"/>
          <w:sz w:val="24"/>
        </w:rPr>
        <w:t>遮阳设计：</w:t>
      </w:r>
    </w:p>
    <w:p>
      <w:pPr>
        <w:spacing w:line="360" w:lineRule="auto"/>
        <w:rPr>
          <w:rFonts w:hAnsi="宋体"/>
          <w:sz w:val="24"/>
        </w:rPr>
      </w:pPr>
      <w:r>
        <w:rPr>
          <w:rFonts w:hint="eastAsia" w:hAnsi="宋体"/>
          <w:sz w:val="24"/>
        </w:rPr>
        <w:t>2</w:t>
      </w:r>
      <w:r>
        <w:rPr>
          <w:rFonts w:hAnsi="宋体"/>
          <w:sz w:val="24"/>
        </w:rPr>
        <w:t>.3.</w:t>
      </w:r>
      <w:r>
        <w:rPr>
          <w:rFonts w:hint="eastAsia" w:hAnsi="宋体"/>
          <w:sz w:val="24"/>
        </w:rPr>
        <w:t>1在保障安全性能的前提下，结合建筑的使用功能和造型风格进行合理的遮阳设计；利用计算机软件进行遮阳形式和效果的模拟分析；</w:t>
      </w:r>
    </w:p>
    <w:p>
      <w:pPr>
        <w:spacing w:line="360" w:lineRule="auto"/>
        <w:rPr>
          <w:rFonts w:hAnsi="宋体"/>
          <w:sz w:val="24"/>
        </w:rPr>
      </w:pPr>
      <w:r>
        <w:rPr>
          <w:rFonts w:hAnsi="宋体"/>
          <w:sz w:val="24"/>
        </w:rPr>
        <w:t>2.3.</w:t>
      </w:r>
      <w:r>
        <w:rPr>
          <w:rFonts w:hint="eastAsia" w:hAnsi="宋体"/>
          <w:sz w:val="24"/>
        </w:rPr>
        <w:t>2</w:t>
      </w:r>
      <w:r>
        <w:rPr>
          <w:rFonts w:hAnsi="宋体"/>
          <w:sz w:val="24"/>
        </w:rPr>
        <w:t xml:space="preserve"> 主要功能房间</w:t>
      </w:r>
      <w:r>
        <w:rPr>
          <w:rFonts w:hint="eastAsia" w:hAnsi="宋体"/>
          <w:sz w:val="24"/>
        </w:rPr>
        <w:t>的</w:t>
      </w:r>
      <w:r>
        <w:rPr>
          <w:rFonts w:hAnsi="宋体"/>
          <w:sz w:val="24"/>
        </w:rPr>
        <w:t>外窗</w:t>
      </w:r>
      <w:r>
        <w:rPr>
          <w:rFonts w:hint="eastAsia" w:hAnsi="宋体"/>
          <w:sz w:val="24"/>
        </w:rPr>
        <w:t>（</w:t>
      </w:r>
      <w:r>
        <w:rPr>
          <w:rFonts w:hAnsi="宋体"/>
          <w:sz w:val="24"/>
        </w:rPr>
        <w:t>包括透光幕墙</w:t>
      </w:r>
      <w:r>
        <w:rPr>
          <w:rFonts w:hint="eastAsia" w:hAnsi="宋体"/>
          <w:sz w:val="24"/>
        </w:rPr>
        <w:t>）除北向外，</w:t>
      </w:r>
      <w:r>
        <w:rPr>
          <w:rFonts w:hAnsi="宋体"/>
          <w:sz w:val="24"/>
        </w:rPr>
        <w:t>均采取遮阳措施</w:t>
      </w:r>
      <w:r>
        <w:rPr>
          <w:rFonts w:hint="eastAsia" w:hAnsi="宋体"/>
          <w:sz w:val="24"/>
        </w:rPr>
        <w:t>；</w:t>
      </w:r>
    </w:p>
    <w:p>
      <w:pPr>
        <w:spacing w:line="360" w:lineRule="auto"/>
        <w:rPr>
          <w:rFonts w:hAnsi="宋体"/>
          <w:sz w:val="24"/>
        </w:rPr>
      </w:pPr>
      <w:r>
        <w:rPr>
          <w:rFonts w:hAnsi="宋体"/>
          <w:sz w:val="24"/>
        </w:rPr>
        <w:t>2.3.</w:t>
      </w:r>
      <w:r>
        <w:rPr>
          <w:rFonts w:hint="eastAsia" w:hAnsi="宋体"/>
          <w:sz w:val="24"/>
        </w:rPr>
        <w:t>3</w:t>
      </w:r>
      <w:r>
        <w:rPr>
          <w:rFonts w:hAnsi="宋体"/>
          <w:sz w:val="24"/>
        </w:rPr>
        <w:t xml:space="preserve"> </w:t>
      </w:r>
      <w:r>
        <w:rPr>
          <w:rFonts w:hint="eastAsia" w:hAnsi="宋体"/>
          <w:sz w:val="24"/>
        </w:rPr>
        <w:t>对建筑主要使用空间的夏季遮阳和冬季阳光利用进行综合分析，并根据具体情况对外窗（包括透光幕墙）选用的措施；</w:t>
      </w:r>
    </w:p>
    <w:p>
      <w:pPr>
        <w:spacing w:line="360" w:lineRule="auto"/>
        <w:rPr>
          <w:rFonts w:hAnsi="宋体"/>
          <w:sz w:val="24"/>
        </w:rPr>
      </w:pPr>
      <w:r>
        <w:rPr>
          <w:rFonts w:hAnsi="宋体"/>
          <w:sz w:val="24"/>
        </w:rPr>
        <w:t>2.3.</w:t>
      </w:r>
      <w:r>
        <w:rPr>
          <w:rFonts w:hint="eastAsia" w:hAnsi="宋体"/>
          <w:sz w:val="24"/>
        </w:rPr>
        <w:t>4</w:t>
      </w:r>
      <w:r>
        <w:rPr>
          <w:rFonts w:hAnsi="宋体"/>
          <w:sz w:val="24"/>
        </w:rPr>
        <w:t xml:space="preserve"> </w:t>
      </w:r>
      <w:r>
        <w:rPr>
          <w:rFonts w:hint="eastAsia" w:hAnsi="宋体"/>
          <w:sz w:val="24"/>
        </w:rPr>
        <w:t>天窗可调节遮阳设施的形式。</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2167"/>
        <w:gridCol w:w="1701"/>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 w:hRule="atLeast"/>
        </w:trPr>
        <w:tc>
          <w:tcPr>
            <w:tcW w:w="1343" w:type="dxa"/>
            <w:vMerge w:val="restart"/>
          </w:tcPr>
          <w:p>
            <w:pPr>
              <w:spacing w:line="360" w:lineRule="auto"/>
              <w:rPr>
                <w:rFonts w:hAnsi="宋体"/>
                <w:sz w:val="24"/>
              </w:rPr>
            </w:pPr>
            <w:r>
              <w:rPr>
                <w:rFonts w:hint="eastAsia" w:hAnsi="宋体"/>
                <w:sz w:val="24"/>
              </w:rPr>
              <w:t>条文来源</w:t>
            </w:r>
          </w:p>
        </w:tc>
        <w:tc>
          <w:tcPr>
            <w:tcW w:w="2167" w:type="dxa"/>
            <w:vMerge w:val="restart"/>
          </w:tcPr>
          <w:p>
            <w:pPr>
              <w:spacing w:line="360" w:lineRule="auto"/>
              <w:rPr>
                <w:rFonts w:hAnsi="宋体"/>
                <w:sz w:val="24"/>
              </w:rPr>
            </w:pPr>
            <w:r>
              <w:rPr>
                <w:rFonts w:hint="eastAsia" w:hAnsi="宋体"/>
                <w:sz w:val="24"/>
              </w:rPr>
              <w:t>GB/T 50378-201</w:t>
            </w:r>
            <w:r>
              <w:rPr>
                <w:rFonts w:hAnsi="宋体"/>
                <w:sz w:val="24"/>
              </w:rPr>
              <w:t>9</w:t>
            </w:r>
          </w:p>
        </w:tc>
        <w:tc>
          <w:tcPr>
            <w:tcW w:w="1701" w:type="dxa"/>
          </w:tcPr>
          <w:p>
            <w:pPr>
              <w:spacing w:line="360" w:lineRule="auto"/>
              <w:rPr>
                <w:rFonts w:hAnsi="宋体"/>
                <w:sz w:val="24"/>
              </w:rPr>
            </w:pPr>
            <w:r>
              <w:rPr>
                <w:rFonts w:hAnsi="宋体"/>
                <w:sz w:val="24"/>
              </w:rPr>
              <w:t>4.1.3</w:t>
            </w:r>
            <w:r>
              <w:rPr>
                <w:rFonts w:hint="eastAsia" w:hAnsi="宋体"/>
                <w:sz w:val="24"/>
              </w:rPr>
              <w:t>条</w:t>
            </w:r>
          </w:p>
        </w:tc>
        <w:tc>
          <w:tcPr>
            <w:tcW w:w="3969" w:type="dxa"/>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167" w:type="dxa"/>
            <w:vMerge w:val="continue"/>
          </w:tcPr>
          <w:p>
            <w:pPr>
              <w:spacing w:line="360" w:lineRule="auto"/>
              <w:rPr>
                <w:rFonts w:hAnsi="宋体"/>
                <w:sz w:val="24"/>
              </w:rPr>
            </w:pPr>
          </w:p>
        </w:tc>
        <w:tc>
          <w:tcPr>
            <w:tcW w:w="1701" w:type="dxa"/>
            <w:vMerge w:val="restart"/>
          </w:tcPr>
          <w:p>
            <w:pPr>
              <w:spacing w:line="360" w:lineRule="auto"/>
              <w:rPr>
                <w:rFonts w:hAnsi="宋体"/>
                <w:sz w:val="24"/>
              </w:rPr>
            </w:pPr>
            <w:r>
              <w:rPr>
                <w:rFonts w:hint="eastAsia" w:hAnsi="宋体"/>
                <w:sz w:val="24"/>
              </w:rPr>
              <w:t>5</w:t>
            </w:r>
            <w:r>
              <w:rPr>
                <w:rFonts w:hAnsi="宋体"/>
                <w:sz w:val="24"/>
              </w:rPr>
              <w:t>.2.11</w:t>
            </w:r>
            <w:r>
              <w:rPr>
                <w:rFonts w:hint="eastAsia" w:hAnsi="宋体"/>
                <w:sz w:val="24"/>
              </w:rPr>
              <w:t>条</w:t>
            </w:r>
          </w:p>
        </w:tc>
        <w:tc>
          <w:tcPr>
            <w:tcW w:w="3969" w:type="dxa"/>
          </w:tcPr>
          <w:p>
            <w:pPr>
              <w:spacing w:line="360" w:lineRule="auto"/>
              <w:rPr>
                <w:rFonts w:hAnsi="宋体"/>
                <w:sz w:val="24"/>
              </w:rPr>
            </w:pPr>
            <w:r>
              <w:rPr>
                <w:rFonts w:hint="eastAsia" w:hAnsi="宋体"/>
                <w:sz w:val="24"/>
              </w:rPr>
              <w:t>2</w:t>
            </w:r>
            <w:r>
              <w:rPr>
                <w:rFonts w:hAnsi="宋体"/>
                <w:sz w:val="24"/>
              </w:rPr>
              <w:t>5</w:t>
            </w:r>
            <w:r>
              <w:rPr>
                <w:rFonts w:hint="eastAsia" w:hAnsi="宋体"/>
                <w:sz w:val="24"/>
              </w:rPr>
              <w:t>%≤</w:t>
            </w:r>
            <w:r>
              <w:rPr>
                <w:rFonts w:hAnsi="宋体"/>
                <w:sz w:val="24"/>
              </w:rPr>
              <w:t>S</w:t>
            </w:r>
            <w:r>
              <w:rPr>
                <w:rFonts w:hAnsi="宋体"/>
                <w:sz w:val="24"/>
                <w:vertAlign w:val="subscript"/>
              </w:rPr>
              <w:t>Z</w:t>
            </w:r>
            <w:r>
              <w:rPr>
                <w:rFonts w:hint="eastAsia" w:hAnsi="宋体"/>
                <w:sz w:val="24"/>
              </w:rPr>
              <w:t>＜3</w:t>
            </w:r>
            <w:r>
              <w:rPr>
                <w:rFonts w:hAnsi="宋体"/>
                <w:sz w:val="24"/>
              </w:rPr>
              <w:t>5</w:t>
            </w:r>
            <w:r>
              <w:rPr>
                <w:rFonts w:hint="eastAsia" w:hAnsi="宋体"/>
                <w:sz w:val="24"/>
              </w:rPr>
              <w:t>%，</w:t>
            </w:r>
            <w:r>
              <w:rPr>
                <w:rFonts w:hAnsi="宋体"/>
                <w:sz w:val="24"/>
              </w:rPr>
              <w:t>3</w:t>
            </w:r>
            <w:r>
              <w:rPr>
                <w:rFonts w:hint="eastAsia"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167" w:type="dxa"/>
            <w:vMerge w:val="continue"/>
          </w:tcPr>
          <w:p>
            <w:pPr>
              <w:spacing w:line="360" w:lineRule="auto"/>
              <w:rPr>
                <w:rFonts w:hAnsi="宋体"/>
                <w:sz w:val="24"/>
              </w:rPr>
            </w:pPr>
          </w:p>
        </w:tc>
        <w:tc>
          <w:tcPr>
            <w:tcW w:w="1701" w:type="dxa"/>
            <w:vMerge w:val="continue"/>
          </w:tcPr>
          <w:p>
            <w:pPr>
              <w:spacing w:line="360" w:lineRule="auto"/>
              <w:rPr>
                <w:rFonts w:hAnsi="宋体"/>
                <w:sz w:val="24"/>
              </w:rPr>
            </w:pPr>
          </w:p>
        </w:tc>
        <w:tc>
          <w:tcPr>
            <w:tcW w:w="3969" w:type="dxa"/>
          </w:tcPr>
          <w:p>
            <w:pPr>
              <w:spacing w:line="360" w:lineRule="auto"/>
              <w:rPr>
                <w:rFonts w:hAnsi="宋体"/>
                <w:sz w:val="24"/>
              </w:rPr>
            </w:pPr>
            <w:r>
              <w:rPr>
                <w:rFonts w:hAnsi="宋体"/>
                <w:sz w:val="24"/>
              </w:rPr>
              <w:t>35</w:t>
            </w:r>
            <w:r>
              <w:rPr>
                <w:rFonts w:hint="eastAsia" w:hAnsi="宋体"/>
                <w:sz w:val="24"/>
              </w:rPr>
              <w:t>%≤</w:t>
            </w:r>
            <w:r>
              <w:rPr>
                <w:rFonts w:hAnsi="宋体"/>
                <w:sz w:val="24"/>
              </w:rPr>
              <w:t>S</w:t>
            </w:r>
            <w:r>
              <w:rPr>
                <w:rFonts w:hAnsi="宋体"/>
                <w:sz w:val="24"/>
                <w:vertAlign w:val="subscript"/>
              </w:rPr>
              <w:t>Z</w:t>
            </w:r>
            <w:r>
              <w:rPr>
                <w:rFonts w:hint="eastAsia" w:hAnsi="宋体"/>
                <w:sz w:val="24"/>
              </w:rPr>
              <w:t>＜</w:t>
            </w:r>
            <w:r>
              <w:rPr>
                <w:rFonts w:hAnsi="宋体"/>
                <w:sz w:val="24"/>
              </w:rPr>
              <w:t>45</w:t>
            </w:r>
            <w:r>
              <w:rPr>
                <w:rFonts w:hint="eastAsia" w:hAnsi="宋体"/>
                <w:sz w:val="24"/>
              </w:rPr>
              <w:t>%，</w:t>
            </w:r>
            <w:r>
              <w:rPr>
                <w:rFonts w:hAnsi="宋体"/>
                <w:sz w:val="24"/>
              </w:rPr>
              <w:t>5</w:t>
            </w:r>
            <w:r>
              <w:rPr>
                <w:rFonts w:hint="eastAsia"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167" w:type="dxa"/>
            <w:vMerge w:val="continue"/>
          </w:tcPr>
          <w:p>
            <w:pPr>
              <w:spacing w:line="360" w:lineRule="auto"/>
              <w:rPr>
                <w:rFonts w:hAnsi="宋体"/>
                <w:sz w:val="24"/>
              </w:rPr>
            </w:pPr>
          </w:p>
        </w:tc>
        <w:tc>
          <w:tcPr>
            <w:tcW w:w="1701" w:type="dxa"/>
            <w:vMerge w:val="continue"/>
          </w:tcPr>
          <w:p>
            <w:pPr>
              <w:spacing w:line="360" w:lineRule="auto"/>
              <w:rPr>
                <w:rFonts w:hAnsi="宋体"/>
                <w:sz w:val="24"/>
              </w:rPr>
            </w:pPr>
          </w:p>
        </w:tc>
        <w:tc>
          <w:tcPr>
            <w:tcW w:w="3969" w:type="dxa"/>
          </w:tcPr>
          <w:p>
            <w:pPr>
              <w:spacing w:line="360" w:lineRule="auto"/>
              <w:rPr>
                <w:rFonts w:hAnsi="宋体"/>
                <w:sz w:val="24"/>
              </w:rPr>
            </w:pPr>
            <w:r>
              <w:rPr>
                <w:rFonts w:hAnsi="宋体"/>
                <w:sz w:val="24"/>
              </w:rPr>
              <w:t>45</w:t>
            </w:r>
            <w:r>
              <w:rPr>
                <w:rFonts w:hint="eastAsia" w:hAnsi="宋体"/>
                <w:sz w:val="24"/>
              </w:rPr>
              <w:t>%≤</w:t>
            </w:r>
            <w:r>
              <w:rPr>
                <w:rFonts w:hAnsi="宋体"/>
                <w:sz w:val="24"/>
              </w:rPr>
              <w:t>S</w:t>
            </w:r>
            <w:r>
              <w:rPr>
                <w:rFonts w:hAnsi="宋体"/>
                <w:sz w:val="24"/>
                <w:vertAlign w:val="subscript"/>
              </w:rPr>
              <w:t>Z</w:t>
            </w:r>
            <w:r>
              <w:rPr>
                <w:rFonts w:hint="eastAsia" w:hAnsi="宋体"/>
                <w:sz w:val="24"/>
              </w:rPr>
              <w:t>＜</w:t>
            </w:r>
            <w:r>
              <w:rPr>
                <w:rFonts w:hAnsi="宋体"/>
                <w:sz w:val="24"/>
              </w:rPr>
              <w:t>55</w:t>
            </w:r>
            <w:r>
              <w:rPr>
                <w:rFonts w:hint="eastAsia" w:hAnsi="宋体"/>
                <w:sz w:val="24"/>
              </w:rPr>
              <w:t>%，</w:t>
            </w:r>
            <w:r>
              <w:rPr>
                <w:rFonts w:hAnsi="宋体"/>
                <w:sz w:val="24"/>
              </w:rPr>
              <w:t>7</w:t>
            </w:r>
            <w:r>
              <w:rPr>
                <w:rFonts w:hint="eastAsia"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167" w:type="dxa"/>
            <w:vMerge w:val="continue"/>
          </w:tcPr>
          <w:p>
            <w:pPr>
              <w:spacing w:line="360" w:lineRule="auto"/>
              <w:rPr>
                <w:rFonts w:hAnsi="宋体"/>
                <w:sz w:val="24"/>
              </w:rPr>
            </w:pPr>
          </w:p>
        </w:tc>
        <w:tc>
          <w:tcPr>
            <w:tcW w:w="1701" w:type="dxa"/>
            <w:vMerge w:val="continue"/>
          </w:tcPr>
          <w:p>
            <w:pPr>
              <w:spacing w:line="360" w:lineRule="auto"/>
              <w:rPr>
                <w:rFonts w:hAnsi="宋体"/>
                <w:sz w:val="24"/>
              </w:rPr>
            </w:pPr>
          </w:p>
        </w:tc>
        <w:tc>
          <w:tcPr>
            <w:tcW w:w="3969" w:type="dxa"/>
          </w:tcPr>
          <w:p>
            <w:pPr>
              <w:spacing w:line="360" w:lineRule="auto"/>
              <w:rPr>
                <w:rFonts w:hAnsi="宋体"/>
                <w:sz w:val="24"/>
              </w:rPr>
            </w:pPr>
            <w:r>
              <w:rPr>
                <w:rFonts w:hAnsi="宋体"/>
                <w:sz w:val="24"/>
              </w:rPr>
              <w:t>S</w:t>
            </w:r>
            <w:r>
              <w:rPr>
                <w:rFonts w:hAnsi="宋体"/>
                <w:sz w:val="24"/>
                <w:vertAlign w:val="subscript"/>
              </w:rPr>
              <w:t>Z</w:t>
            </w:r>
            <w:r>
              <w:rPr>
                <w:rFonts w:hint="eastAsia" w:hAnsi="宋体"/>
                <w:sz w:val="24"/>
              </w:rPr>
              <w:t>≥</w:t>
            </w:r>
            <w:r>
              <w:rPr>
                <w:rFonts w:hAnsi="宋体"/>
                <w:sz w:val="24"/>
              </w:rPr>
              <w:t>55</w:t>
            </w:r>
            <w:r>
              <w:rPr>
                <w:rFonts w:hint="eastAsia" w:hAnsi="宋体"/>
                <w:sz w:val="24"/>
              </w:rPr>
              <w:t>%，</w:t>
            </w:r>
            <w:r>
              <w:rPr>
                <w:rFonts w:hAnsi="宋体"/>
                <w:sz w:val="24"/>
              </w:rPr>
              <w:t>9</w:t>
            </w:r>
            <w:r>
              <w:rPr>
                <w:rFonts w:hint="eastAsia" w:hAnsi="宋体"/>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167"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701" w:type="dxa"/>
          </w:tcPr>
          <w:p>
            <w:pPr>
              <w:spacing w:line="360" w:lineRule="auto"/>
              <w:rPr>
                <w:rFonts w:hAnsi="宋体"/>
                <w:sz w:val="24"/>
              </w:rPr>
            </w:pPr>
            <w:r>
              <w:rPr>
                <w:rFonts w:hint="eastAsia" w:hAnsi="宋体"/>
                <w:sz w:val="24"/>
              </w:rPr>
              <w:t>5.</w:t>
            </w:r>
            <w:r>
              <w:rPr>
                <w:rFonts w:hAnsi="宋体"/>
                <w:sz w:val="24"/>
              </w:rPr>
              <w:t>1</w:t>
            </w:r>
            <w:r>
              <w:rPr>
                <w:rFonts w:hint="eastAsia" w:hAnsi="宋体"/>
                <w:sz w:val="24"/>
              </w:rPr>
              <w:t>.</w:t>
            </w:r>
            <w:r>
              <w:rPr>
                <w:rFonts w:hAnsi="宋体"/>
                <w:sz w:val="24"/>
              </w:rPr>
              <w:t>3</w:t>
            </w:r>
            <w:r>
              <w:rPr>
                <w:rFonts w:hint="eastAsia" w:hAnsi="宋体"/>
                <w:sz w:val="24"/>
              </w:rPr>
              <w:t>条</w:t>
            </w:r>
          </w:p>
        </w:tc>
        <w:tc>
          <w:tcPr>
            <w:tcW w:w="3969" w:type="dxa"/>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167" w:type="dxa"/>
            <w:vMerge w:val="continue"/>
          </w:tcPr>
          <w:p>
            <w:pPr>
              <w:spacing w:line="360" w:lineRule="auto"/>
              <w:rPr>
                <w:rFonts w:hAnsi="宋体"/>
                <w:sz w:val="24"/>
              </w:rPr>
            </w:pPr>
          </w:p>
        </w:tc>
        <w:tc>
          <w:tcPr>
            <w:tcW w:w="1701" w:type="dxa"/>
          </w:tcPr>
          <w:p>
            <w:pPr>
              <w:spacing w:line="360" w:lineRule="auto"/>
              <w:rPr>
                <w:rFonts w:hAnsi="宋体"/>
                <w:sz w:val="24"/>
              </w:rPr>
            </w:pPr>
            <w:r>
              <w:rPr>
                <w:rFonts w:hAnsi="宋体"/>
                <w:sz w:val="24"/>
              </w:rPr>
              <w:t>5.2.11</w:t>
            </w:r>
            <w:r>
              <w:rPr>
                <w:rFonts w:hint="eastAsia" w:hAnsi="宋体"/>
                <w:sz w:val="24"/>
              </w:rPr>
              <w:t>条</w:t>
            </w:r>
          </w:p>
        </w:tc>
        <w:tc>
          <w:tcPr>
            <w:tcW w:w="3969"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167"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5</w:t>
            </w:r>
            <w:r>
              <w:rPr>
                <w:rFonts w:hAnsi="宋体"/>
                <w:sz w:val="24"/>
              </w:rPr>
              <w:t>.2.12</w:t>
            </w:r>
            <w:r>
              <w:rPr>
                <w:rFonts w:hint="eastAsia" w:hAnsi="宋体"/>
                <w:sz w:val="24"/>
              </w:rPr>
              <w:t>条</w:t>
            </w:r>
          </w:p>
        </w:tc>
        <w:tc>
          <w:tcPr>
            <w:tcW w:w="3969"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167"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5.</w:t>
            </w:r>
            <w:r>
              <w:rPr>
                <w:rFonts w:hAnsi="宋体"/>
                <w:sz w:val="24"/>
              </w:rPr>
              <w:t>3.4</w:t>
            </w:r>
            <w:r>
              <w:rPr>
                <w:rFonts w:hint="eastAsia" w:hAnsi="宋体"/>
                <w:sz w:val="24"/>
              </w:rPr>
              <w:t>条</w:t>
            </w:r>
          </w:p>
        </w:tc>
        <w:tc>
          <w:tcPr>
            <w:tcW w:w="3969" w:type="dxa"/>
          </w:tcPr>
          <w:p>
            <w:pPr>
              <w:spacing w:line="360" w:lineRule="auto"/>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3" w:type="dxa"/>
            <w:vMerge w:val="continue"/>
          </w:tcPr>
          <w:p>
            <w:pPr>
              <w:spacing w:line="360" w:lineRule="auto"/>
              <w:rPr>
                <w:rFonts w:hAnsi="宋体"/>
                <w:sz w:val="24"/>
              </w:rPr>
            </w:pPr>
          </w:p>
        </w:tc>
        <w:tc>
          <w:tcPr>
            <w:tcW w:w="2167"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5.</w:t>
            </w:r>
            <w:r>
              <w:rPr>
                <w:rFonts w:hAnsi="宋体"/>
                <w:sz w:val="24"/>
              </w:rPr>
              <w:t>4.5</w:t>
            </w:r>
            <w:r>
              <w:rPr>
                <w:rFonts w:hint="eastAsia" w:hAnsi="宋体"/>
                <w:sz w:val="24"/>
              </w:rPr>
              <w:t>条</w:t>
            </w:r>
          </w:p>
        </w:tc>
        <w:tc>
          <w:tcPr>
            <w:tcW w:w="3969" w:type="dxa"/>
          </w:tcPr>
          <w:p>
            <w:pPr>
              <w:spacing w:line="360" w:lineRule="auto"/>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spacing w:line="360" w:lineRule="auto"/>
              <w:rPr>
                <w:rFonts w:hAnsi="宋体"/>
                <w:sz w:val="24"/>
              </w:rPr>
            </w:pPr>
            <w:r>
              <w:rPr>
                <w:rFonts w:hint="eastAsia" w:hAnsi="宋体"/>
                <w:sz w:val="24"/>
              </w:rPr>
              <w:t>依据材料</w:t>
            </w:r>
          </w:p>
        </w:tc>
        <w:tc>
          <w:tcPr>
            <w:tcW w:w="7837" w:type="dxa"/>
            <w:gridSpan w:val="3"/>
          </w:tcPr>
          <w:p>
            <w:pPr>
              <w:spacing w:line="360" w:lineRule="auto"/>
              <w:ind w:firstLine="480" w:firstLineChars="200"/>
              <w:rPr>
                <w:rFonts w:hAnsi="宋体"/>
                <w:sz w:val="24"/>
              </w:rPr>
            </w:pPr>
            <w:r>
              <w:rPr>
                <w:rFonts w:hint="eastAsia" w:hAnsi="宋体"/>
                <w:sz w:val="24"/>
              </w:rPr>
              <w:t>本条填写时应根据相关设计文件、产品说明书、可控遮阳覆盖率计算参数表；建筑立面图及门窗做法说明；节能计算报告书，节能评估报告相关内容填写此项。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3" w:type="dxa"/>
          </w:tcPr>
          <w:p>
            <w:pPr>
              <w:spacing w:line="360" w:lineRule="auto"/>
              <w:rPr>
                <w:rFonts w:hAnsi="宋体"/>
                <w:sz w:val="24"/>
              </w:rPr>
            </w:pPr>
            <w:r>
              <w:rPr>
                <w:rFonts w:hint="eastAsia" w:hAnsi="宋体"/>
                <w:sz w:val="24"/>
              </w:rPr>
              <w:t>备注</w:t>
            </w:r>
          </w:p>
        </w:tc>
        <w:tc>
          <w:tcPr>
            <w:tcW w:w="7837" w:type="dxa"/>
            <w:gridSpan w:val="3"/>
          </w:tcPr>
          <w:p>
            <w:pPr>
              <w:spacing w:line="360" w:lineRule="auto"/>
              <w:ind w:firstLine="480" w:firstLineChars="200"/>
              <w:rPr>
                <w:rFonts w:hAnsi="宋体"/>
                <w:sz w:val="24"/>
              </w:rPr>
            </w:pPr>
            <w:r>
              <w:rPr>
                <w:rFonts w:hint="eastAsia" w:hAnsi="宋体"/>
                <w:sz w:val="24"/>
              </w:rPr>
              <w:t>绿色建筑应当在满足上诉节能设计标准各项要求的基础上有更高的要求。本条对设置可控遮阳调节装置的具体数量提供了明确要求。对于可控遮阳的类型，除活动外遮阳外，永久设施（中空玻璃夹层智能内遮阳）、固定外遮阳加内部高反射率可调节遮阳也可作为可调节外遮阳措施。对没有阳光直射的透明围护结构，不计入面积计算。</w:t>
            </w:r>
          </w:p>
          <w:p>
            <w:pPr>
              <w:spacing w:line="360" w:lineRule="auto"/>
              <w:ind w:firstLine="480" w:firstLineChars="200"/>
              <w:rPr>
                <w:rFonts w:hAnsi="宋体"/>
                <w:sz w:val="24"/>
              </w:rPr>
            </w:pPr>
            <w:r>
              <w:rPr>
                <w:rFonts w:hint="eastAsia" w:hAnsi="宋体"/>
                <w:sz w:val="24"/>
              </w:rPr>
              <w:t>对遮阳设计方式做出以下要求：</w:t>
            </w:r>
          </w:p>
          <w:p>
            <w:pPr>
              <w:spacing w:line="360" w:lineRule="auto"/>
              <w:ind w:firstLine="480" w:firstLineChars="200"/>
              <w:rPr>
                <w:rFonts w:hAnsi="宋体"/>
                <w:sz w:val="24"/>
              </w:rPr>
            </w:pPr>
            <w:r>
              <w:rPr>
                <w:rFonts w:hAnsi="宋体"/>
                <w:sz w:val="24"/>
              </w:rPr>
              <w:t xml:space="preserve">1 </w:t>
            </w:r>
            <w:r>
              <w:rPr>
                <w:rFonts w:hint="eastAsia" w:hAnsi="宋体"/>
                <w:sz w:val="24"/>
              </w:rPr>
              <w:t>宜利用建筑形体或构件等进行建筑自遮阳设计。</w:t>
            </w:r>
          </w:p>
          <w:p>
            <w:pPr>
              <w:spacing w:line="360" w:lineRule="auto"/>
              <w:ind w:firstLine="480" w:firstLineChars="200"/>
              <w:rPr>
                <w:rFonts w:hAnsi="宋体"/>
                <w:sz w:val="24"/>
              </w:rPr>
            </w:pPr>
            <w:r>
              <w:rPr>
                <w:rFonts w:hint="eastAsia" w:hAnsi="宋体"/>
                <w:sz w:val="24"/>
              </w:rPr>
              <w:t>2</w:t>
            </w:r>
            <w:r>
              <w:rPr>
                <w:rFonts w:hAnsi="宋体"/>
                <w:sz w:val="24"/>
              </w:rPr>
              <w:t xml:space="preserve"> </w:t>
            </w:r>
            <w:r>
              <w:rPr>
                <w:rFonts w:hint="eastAsia" w:hAnsi="宋体"/>
                <w:sz w:val="24"/>
              </w:rPr>
              <w:t>建筑遮阳设计宜满足下列要求：</w:t>
            </w:r>
          </w:p>
          <w:p>
            <w:pPr>
              <w:spacing w:line="360" w:lineRule="auto"/>
              <w:ind w:firstLine="480" w:firstLineChars="200"/>
              <w:rPr>
                <w:rFonts w:hAnsi="宋体"/>
                <w:sz w:val="24"/>
              </w:rPr>
            </w:pPr>
            <w:r>
              <w:rPr>
                <w:rFonts w:hint="eastAsia" w:hAnsi="宋体"/>
                <w:sz w:val="24"/>
              </w:rPr>
              <w:t>2.2遮阳装置面向室外侧宜采用能反射太阳辐射的材料；</w:t>
            </w:r>
          </w:p>
          <w:p>
            <w:pPr>
              <w:spacing w:line="360" w:lineRule="auto"/>
              <w:ind w:firstLine="480" w:firstLineChars="200"/>
              <w:rPr>
                <w:rFonts w:hAnsi="宋体"/>
                <w:sz w:val="24"/>
              </w:rPr>
            </w:pPr>
            <w:r>
              <w:rPr>
                <w:rFonts w:hint="eastAsia" w:hAnsi="宋体"/>
                <w:sz w:val="24"/>
              </w:rPr>
              <w:t>2.3建筑遮阳构件宜呈百叶或网格状，实体遮阳构件宜与建筑主体留有空隙。</w:t>
            </w:r>
          </w:p>
          <w:p>
            <w:pPr>
              <w:spacing w:line="360" w:lineRule="auto"/>
              <w:ind w:firstLine="480" w:firstLineChars="200"/>
              <w:rPr>
                <w:rFonts w:hAnsi="宋体"/>
                <w:sz w:val="24"/>
              </w:rPr>
            </w:pPr>
            <w:r>
              <w:rPr>
                <w:rFonts w:hint="eastAsia" w:hAnsi="宋体"/>
                <w:sz w:val="24"/>
              </w:rPr>
              <w:t>3</w:t>
            </w:r>
            <w:r>
              <w:rPr>
                <w:rFonts w:hAnsi="宋体"/>
                <w:sz w:val="24"/>
              </w:rPr>
              <w:t xml:space="preserve"> </w:t>
            </w:r>
            <w:r>
              <w:rPr>
                <w:rFonts w:hint="eastAsia" w:hAnsi="宋体"/>
                <w:sz w:val="24"/>
              </w:rPr>
              <w:t>设有天窗的建筑，天窗应采取活动遮阳措施。遮阳系数不应大于0.4。</w:t>
            </w:r>
          </w:p>
          <w:p>
            <w:pPr>
              <w:spacing w:line="360" w:lineRule="auto"/>
              <w:rPr>
                <w:rFonts w:hAnsi="宋体"/>
                <w:sz w:val="24"/>
                <w:lang w:val="en-GB"/>
              </w:rPr>
            </w:pPr>
            <w:r>
              <w:rPr>
                <w:rFonts w:hint="eastAsia" w:hAnsi="宋体"/>
                <w:sz w:val="24"/>
              </w:rPr>
              <w:t xml:space="preserve">    遮阳调节措施包括：</w:t>
            </w:r>
            <w:r>
              <w:rPr>
                <w:rFonts w:hint="eastAsia" w:hAnsi="宋体"/>
                <w:sz w:val="24"/>
                <w:lang w:val="en-GB"/>
              </w:rPr>
              <w:t>固定外遮阳附加内部高反射率可调节遮阳；活动外遮阳；中空玻璃夹层智能内遮阳等永久设施。</w:t>
            </w:r>
          </w:p>
        </w:tc>
      </w:tr>
    </w:tbl>
    <w:p>
      <w:pPr>
        <w:spacing w:line="360" w:lineRule="auto"/>
        <w:rPr>
          <w:rFonts w:hAnsi="宋体"/>
          <w:sz w:val="24"/>
        </w:rPr>
      </w:pPr>
    </w:p>
    <w:p>
      <w:pPr>
        <w:pStyle w:val="17"/>
        <w:spacing w:line="360" w:lineRule="auto"/>
        <w:rPr>
          <w:rFonts w:hAnsi="宋体"/>
          <w:b/>
          <w:sz w:val="24"/>
        </w:rPr>
      </w:pPr>
      <w:r>
        <w:rPr>
          <w:rFonts w:hAnsi="宋体"/>
          <w:b/>
          <w:sz w:val="24"/>
        </w:rPr>
        <w:t>3</w:t>
      </w:r>
      <w:r>
        <w:rPr>
          <w:rFonts w:hint="eastAsia" w:hAnsi="宋体"/>
          <w:b/>
          <w:sz w:val="24"/>
        </w:rPr>
        <w:t>.</w:t>
      </w:r>
      <w:r>
        <w:rPr>
          <w:rFonts w:hAnsi="宋体"/>
          <w:b/>
          <w:sz w:val="24"/>
        </w:rPr>
        <w:t xml:space="preserve"> </w:t>
      </w:r>
      <w:r>
        <w:rPr>
          <w:rFonts w:hint="eastAsia" w:hAnsi="宋体"/>
          <w:b/>
          <w:bCs/>
          <w:sz w:val="24"/>
        </w:rPr>
        <w:t>空调与可再生能源</w:t>
      </w:r>
      <w:r>
        <w:rPr>
          <w:rFonts w:hint="eastAsia" w:hAnsi="宋体"/>
          <w:b/>
          <w:sz w:val="24"/>
        </w:rPr>
        <w:t>:</w:t>
      </w:r>
    </w:p>
    <w:p>
      <w:pPr>
        <w:spacing w:line="360" w:lineRule="auto"/>
        <w:rPr>
          <w:rFonts w:hAnsi="宋体"/>
          <w:sz w:val="24"/>
        </w:rPr>
      </w:pPr>
      <w:r>
        <w:rPr>
          <w:rFonts w:hAnsi="宋体"/>
          <w:sz w:val="24"/>
        </w:rPr>
        <w:t xml:space="preserve">3.1 </w:t>
      </w:r>
      <w:r>
        <w:rPr>
          <w:rFonts w:hint="eastAsia" w:hAnsi="宋体"/>
          <w:sz w:val="24"/>
        </w:rPr>
        <w:t>空调形式；</w:t>
      </w:r>
    </w:p>
    <w:p>
      <w:pPr>
        <w:spacing w:line="360" w:lineRule="auto"/>
        <w:rPr>
          <w:rFonts w:hAnsi="宋体"/>
          <w:sz w:val="24"/>
        </w:rPr>
      </w:pPr>
      <w:r>
        <w:rPr>
          <w:rFonts w:hAnsi="宋体"/>
          <w:sz w:val="24"/>
        </w:rPr>
        <w:t xml:space="preserve">3.2 </w:t>
      </w:r>
      <w:r>
        <w:rPr>
          <w:rFonts w:hint="eastAsia" w:hAnsi="宋体"/>
          <w:sz w:val="24"/>
        </w:rPr>
        <w:t>空调外机设置安装距离满足标准要求；</w:t>
      </w:r>
    </w:p>
    <w:p>
      <w:pPr>
        <w:spacing w:line="360" w:lineRule="auto"/>
        <w:rPr>
          <w:rFonts w:hAnsi="宋体"/>
          <w:sz w:val="24"/>
        </w:rPr>
      </w:pPr>
      <w:r>
        <w:rPr>
          <w:rFonts w:hAnsi="宋体"/>
          <w:sz w:val="24"/>
        </w:rPr>
        <w:t xml:space="preserve">3.3 </w:t>
      </w:r>
      <w:r>
        <w:rPr>
          <w:rFonts w:hint="eastAsia" w:hAnsi="宋体"/>
          <w:sz w:val="24"/>
        </w:rPr>
        <w:t>可再生能源设施与建筑一体化设计。</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89"/>
        <w:gridCol w:w="1701"/>
        <w:gridCol w:w="39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restart"/>
          </w:tcPr>
          <w:p>
            <w:pPr>
              <w:spacing w:line="360" w:lineRule="auto"/>
              <w:rPr>
                <w:rFonts w:hAnsi="宋体"/>
                <w:sz w:val="24"/>
              </w:rPr>
            </w:pPr>
            <w:r>
              <w:rPr>
                <w:rFonts w:hint="eastAsia" w:hAnsi="宋体"/>
                <w:sz w:val="24"/>
              </w:rPr>
              <w:t>条文来源</w:t>
            </w:r>
          </w:p>
        </w:tc>
        <w:tc>
          <w:tcPr>
            <w:tcW w:w="2189" w:type="dxa"/>
          </w:tcPr>
          <w:p>
            <w:pPr>
              <w:spacing w:line="360" w:lineRule="auto"/>
              <w:rPr>
                <w:rFonts w:hAnsi="宋体"/>
                <w:sz w:val="24"/>
              </w:rPr>
            </w:pPr>
            <w:r>
              <w:rPr>
                <w:rFonts w:hint="eastAsia" w:hAnsi="宋体"/>
                <w:sz w:val="24"/>
              </w:rPr>
              <w:t>GB/T 50378-201</w:t>
            </w:r>
            <w:r>
              <w:rPr>
                <w:rFonts w:hAnsi="宋体"/>
                <w:sz w:val="24"/>
              </w:rPr>
              <w:t>9</w:t>
            </w:r>
          </w:p>
        </w:tc>
        <w:tc>
          <w:tcPr>
            <w:tcW w:w="1701" w:type="dxa"/>
          </w:tcPr>
          <w:p>
            <w:pPr>
              <w:spacing w:line="360" w:lineRule="auto"/>
              <w:rPr>
                <w:rFonts w:hAnsi="宋体"/>
                <w:sz w:val="24"/>
              </w:rPr>
            </w:pPr>
            <w:r>
              <w:rPr>
                <w:rFonts w:hAnsi="宋体"/>
                <w:sz w:val="24"/>
              </w:rPr>
              <w:t>5.1.5</w:t>
            </w:r>
            <w:r>
              <w:rPr>
                <w:rFonts w:hint="eastAsia" w:hAnsi="宋体"/>
                <w:sz w:val="24"/>
              </w:rPr>
              <w:t>条</w:t>
            </w:r>
          </w:p>
        </w:tc>
        <w:tc>
          <w:tcPr>
            <w:tcW w:w="3906" w:type="dxa"/>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189"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701" w:type="dxa"/>
          </w:tcPr>
          <w:p>
            <w:pPr>
              <w:spacing w:line="360" w:lineRule="auto"/>
              <w:rPr>
                <w:rFonts w:hAnsi="宋体"/>
                <w:sz w:val="24"/>
              </w:rPr>
            </w:pPr>
            <w:r>
              <w:rPr>
                <w:rFonts w:hint="eastAsia" w:hAnsi="宋体"/>
                <w:sz w:val="24"/>
              </w:rPr>
              <w:t>3</w:t>
            </w:r>
            <w:r>
              <w:rPr>
                <w:rFonts w:hAnsi="宋体"/>
                <w:sz w:val="24"/>
              </w:rPr>
              <w:t>.0.9</w:t>
            </w:r>
            <w:r>
              <w:rPr>
                <w:rFonts w:hint="eastAsia" w:hAnsi="宋体"/>
                <w:sz w:val="24"/>
              </w:rPr>
              <w:t>条</w:t>
            </w:r>
          </w:p>
        </w:tc>
        <w:tc>
          <w:tcPr>
            <w:tcW w:w="3906" w:type="dxa"/>
          </w:tcPr>
          <w:p>
            <w:pPr>
              <w:spacing w:line="360" w:lineRule="auto"/>
              <w:rPr>
                <w:rFonts w:hAnsi="宋体"/>
                <w:sz w:val="24"/>
              </w:rPr>
            </w:pPr>
            <w:r>
              <w:rPr>
                <w:rFonts w:hint="eastAsia" w:hAnsi="宋体"/>
                <w:sz w:val="24"/>
              </w:rPr>
              <w:t>基本规定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189"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4</w:t>
            </w:r>
            <w:r>
              <w:rPr>
                <w:rFonts w:hAnsi="宋体"/>
                <w:sz w:val="24"/>
              </w:rPr>
              <w:t>.2.5</w:t>
            </w:r>
            <w:r>
              <w:rPr>
                <w:rFonts w:hint="eastAsia" w:hAnsi="宋体"/>
                <w:sz w:val="24"/>
              </w:rPr>
              <w:t>条</w:t>
            </w:r>
          </w:p>
        </w:tc>
        <w:tc>
          <w:tcPr>
            <w:tcW w:w="3906"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189"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5</w:t>
            </w:r>
            <w:r>
              <w:rPr>
                <w:rFonts w:hAnsi="宋体"/>
                <w:sz w:val="24"/>
              </w:rPr>
              <w:t>.1.5</w:t>
            </w:r>
            <w:r>
              <w:rPr>
                <w:rFonts w:hint="eastAsia" w:hAnsi="宋体"/>
                <w:sz w:val="24"/>
              </w:rPr>
              <w:t>条-</w:t>
            </w:r>
            <w:r>
              <w:rPr>
                <w:rFonts w:hAnsi="宋体"/>
                <w:sz w:val="24"/>
              </w:rPr>
              <w:t>3</w:t>
            </w:r>
          </w:p>
        </w:tc>
        <w:tc>
          <w:tcPr>
            <w:tcW w:w="3906" w:type="dxa"/>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189" w:type="dxa"/>
            <w:vMerge w:val="continue"/>
          </w:tcPr>
          <w:p>
            <w:pPr>
              <w:spacing w:line="360" w:lineRule="auto"/>
              <w:rPr>
                <w:rFonts w:hAnsi="宋体"/>
                <w:sz w:val="24"/>
              </w:rPr>
            </w:pPr>
          </w:p>
        </w:tc>
        <w:tc>
          <w:tcPr>
            <w:tcW w:w="5607" w:type="dxa"/>
            <w:gridSpan w:val="2"/>
          </w:tcPr>
          <w:p>
            <w:pPr>
              <w:spacing w:line="360" w:lineRule="auto"/>
              <w:rPr>
                <w:rFonts w:hAnsi="宋体"/>
                <w:sz w:val="24"/>
              </w:rPr>
            </w:pPr>
            <w:r>
              <w:rPr>
                <w:rFonts w:hint="eastAsia" w:hAnsi="宋体"/>
                <w:sz w:val="24"/>
              </w:rPr>
              <w:t>表D.0.1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jc w:val="left"/>
              <w:rPr>
                <w:rFonts w:hAnsi="宋体"/>
                <w:sz w:val="24"/>
              </w:rPr>
            </w:pPr>
            <w:r>
              <w:rPr>
                <w:rFonts w:hint="eastAsia" w:hAnsi="宋体"/>
                <w:sz w:val="24"/>
              </w:rPr>
              <w:t xml:space="preserve">    设计人员在填写此项内容时，应根据建筑平面图、立面图，与暖通专业对接，对照设备专业施工图、产品说明，按照项目实际，填写此项内容。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Ansi="宋体"/>
                <w:sz w:val="24"/>
              </w:rPr>
              <w:t>外部设施需要定期检修和维护，因此在建筑设计时应考虑后期检修和维护条件，如设计检修通道、马道和吊篮固定端等。当与主体结构不同时施工时，应设预埋件，并在设计文件中明确预埋件的检测验证参数及要求，确保其安全性与耐久性。比如，每年频发的空调外机坠落伤人或安装人员作业时跌落伤亡事故，已成为建筑的重大危险源，故新建或改建建筑设计时预留与主体结构连接牢固的空调外机安装位置，并与拟定的机型大小匹配，同时预留操作空间，保障安装、检修、 维护人员安全。</w:t>
            </w:r>
          </w:p>
        </w:tc>
      </w:tr>
    </w:tbl>
    <w:p>
      <w:pPr>
        <w:pStyle w:val="17"/>
        <w:spacing w:line="360" w:lineRule="auto"/>
        <w:rPr>
          <w:rFonts w:hAnsi="宋体"/>
          <w:b/>
          <w:sz w:val="24"/>
        </w:rPr>
      </w:pPr>
    </w:p>
    <w:p>
      <w:pPr>
        <w:pStyle w:val="17"/>
        <w:spacing w:line="360" w:lineRule="auto"/>
        <w:rPr>
          <w:rFonts w:hAnsi="宋体"/>
          <w:b/>
          <w:sz w:val="24"/>
        </w:rPr>
      </w:pPr>
      <w:r>
        <w:rPr>
          <w:rFonts w:hAnsi="宋体"/>
          <w:b/>
          <w:sz w:val="24"/>
        </w:rPr>
        <w:t>4</w:t>
      </w:r>
      <w:r>
        <w:rPr>
          <w:rFonts w:hint="eastAsia" w:hAnsi="宋体"/>
          <w:b/>
          <w:sz w:val="24"/>
        </w:rPr>
        <w:t>.</w:t>
      </w:r>
      <w:r>
        <w:rPr>
          <w:rFonts w:hAnsi="宋体"/>
          <w:b/>
          <w:sz w:val="24"/>
        </w:rPr>
        <w:t xml:space="preserve"> </w:t>
      </w:r>
      <w:r>
        <w:rPr>
          <w:rFonts w:hint="eastAsia" w:hAnsi="宋体"/>
          <w:b/>
          <w:sz w:val="24"/>
        </w:rPr>
        <w:t>建筑光环境设计:</w:t>
      </w:r>
    </w:p>
    <w:p>
      <w:pPr>
        <w:pStyle w:val="17"/>
        <w:spacing w:line="360" w:lineRule="auto"/>
        <w:rPr>
          <w:rFonts w:hAnsi="宋体"/>
          <w:sz w:val="24"/>
        </w:rPr>
      </w:pPr>
      <w:r>
        <w:rPr>
          <w:rFonts w:hint="eastAsia" w:hAnsi="宋体"/>
          <w:sz w:val="24"/>
        </w:rPr>
        <w:t>4.1住宅建筑外门窗设置遮阳措施时应满足日照和采光标准的要求；</w:t>
      </w:r>
    </w:p>
    <w:p>
      <w:pPr>
        <w:pStyle w:val="17"/>
        <w:spacing w:line="360" w:lineRule="auto"/>
        <w:rPr>
          <w:rFonts w:hAnsi="宋体"/>
          <w:sz w:val="24"/>
        </w:rPr>
      </w:pPr>
      <w:r>
        <w:rPr>
          <w:rFonts w:hint="eastAsia" w:hAnsi="宋体"/>
          <w:sz w:val="24"/>
        </w:rPr>
        <w:t>4.2 当住宅户型有4个及4个以上居住空间时，至少有2个居住空间满足日照标准的要求；4.3 居住建筑卧室、起居室（厅）、厨房应有直接天然采光；</w:t>
      </w:r>
    </w:p>
    <w:p>
      <w:pPr>
        <w:pStyle w:val="17"/>
        <w:spacing w:line="360" w:lineRule="auto"/>
        <w:rPr>
          <w:rFonts w:hAnsi="宋体"/>
          <w:sz w:val="24"/>
        </w:rPr>
      </w:pPr>
      <w:r>
        <w:rPr>
          <w:rFonts w:hint="eastAsia" w:hAnsi="宋体"/>
          <w:sz w:val="24"/>
        </w:rPr>
        <w:t>4.4卧室、起居室窗地面积比</w:t>
      </w:r>
      <w:r>
        <w:rPr>
          <w:rFonts w:hAnsi="宋体"/>
          <w:sz w:val="24"/>
        </w:rPr>
        <w:t>不小于</w:t>
      </w:r>
      <w:r>
        <w:rPr>
          <w:rFonts w:hint="eastAsia" w:hAnsi="宋体"/>
          <w:sz w:val="24"/>
        </w:rPr>
        <w:t>1/6；</w:t>
      </w:r>
      <w:r>
        <w:rPr>
          <w:rFonts w:hAnsi="宋体"/>
          <w:sz w:val="24"/>
        </w:rPr>
        <w:t xml:space="preserve"> </w:t>
      </w:r>
    </w:p>
    <w:p>
      <w:pPr>
        <w:pStyle w:val="17"/>
        <w:spacing w:line="360" w:lineRule="auto"/>
        <w:rPr>
          <w:rFonts w:hAnsi="宋体"/>
          <w:sz w:val="24"/>
        </w:rPr>
      </w:pPr>
      <w:r>
        <w:rPr>
          <w:rFonts w:hint="eastAsia" w:hAnsi="宋体"/>
          <w:sz w:val="24"/>
        </w:rPr>
        <w:t>4.5 主要功能房间有合理的控制眩光措施；</w:t>
      </w:r>
      <w:r>
        <w:rPr>
          <w:rFonts w:hAnsi="宋体"/>
          <w:sz w:val="24"/>
        </w:rPr>
        <w:t xml:space="preserve"> </w:t>
      </w:r>
      <w:r>
        <w:rPr>
          <w:rFonts w:hint="eastAsia" w:hAnsi="宋体"/>
          <w:sz w:val="24"/>
        </w:rPr>
        <w:t xml:space="preserve"> </w:t>
      </w:r>
    </w:p>
    <w:p>
      <w:pPr>
        <w:pStyle w:val="17"/>
        <w:spacing w:line="360" w:lineRule="auto"/>
        <w:rPr>
          <w:rFonts w:hAnsi="宋体"/>
          <w:sz w:val="24"/>
        </w:rPr>
      </w:pPr>
      <w:r>
        <w:rPr>
          <w:rFonts w:hint="eastAsia" w:hAnsi="宋体"/>
          <w:sz w:val="24"/>
        </w:rPr>
        <w:t>4.6 建筑外立面设计及选材未对周围环境产生光照污染未对周围环境产生光照污染，采用的外立面材料为；</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1560"/>
        <w:gridCol w:w="4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restart"/>
          </w:tcPr>
          <w:p>
            <w:pPr>
              <w:spacing w:line="360" w:lineRule="auto"/>
              <w:rPr>
                <w:rFonts w:hAnsi="宋体"/>
                <w:sz w:val="24"/>
              </w:rPr>
            </w:pPr>
            <w:r>
              <w:rPr>
                <w:rFonts w:hint="eastAsia" w:hAnsi="宋体"/>
                <w:sz w:val="24"/>
              </w:rPr>
              <w:t>条文来源</w:t>
            </w:r>
          </w:p>
        </w:tc>
        <w:tc>
          <w:tcPr>
            <w:tcW w:w="2126" w:type="dxa"/>
          </w:tcPr>
          <w:p>
            <w:pPr>
              <w:spacing w:line="360" w:lineRule="auto"/>
              <w:rPr>
                <w:rFonts w:hAnsi="宋体"/>
                <w:sz w:val="24"/>
              </w:rPr>
            </w:pPr>
            <w:r>
              <w:rPr>
                <w:rFonts w:hint="eastAsia" w:hAnsi="宋体"/>
                <w:sz w:val="24"/>
              </w:rPr>
              <w:t>GB/T 50378-201</w:t>
            </w:r>
            <w:r>
              <w:rPr>
                <w:rFonts w:hAnsi="宋体"/>
                <w:sz w:val="24"/>
              </w:rPr>
              <w:t>9</w:t>
            </w:r>
          </w:p>
        </w:tc>
        <w:tc>
          <w:tcPr>
            <w:tcW w:w="1560" w:type="dxa"/>
          </w:tcPr>
          <w:p>
            <w:pPr>
              <w:spacing w:line="360" w:lineRule="auto"/>
              <w:rPr>
                <w:rFonts w:hAnsi="宋体"/>
                <w:sz w:val="24"/>
              </w:rPr>
            </w:pPr>
            <w:r>
              <w:rPr>
                <w:rFonts w:hAnsi="宋体"/>
                <w:sz w:val="24"/>
              </w:rPr>
              <w:t>8.2.7</w:t>
            </w:r>
            <w:r>
              <w:rPr>
                <w:rFonts w:hint="eastAsia" w:hAnsi="宋体"/>
                <w:sz w:val="24"/>
              </w:rPr>
              <w:t>条-1</w:t>
            </w:r>
          </w:p>
        </w:tc>
        <w:tc>
          <w:tcPr>
            <w:tcW w:w="4110" w:type="dxa"/>
          </w:tcPr>
          <w:p>
            <w:pPr>
              <w:spacing w:line="360" w:lineRule="auto"/>
              <w:rPr>
                <w:rFonts w:hAnsi="宋体"/>
                <w:sz w:val="24"/>
              </w:rPr>
            </w:pPr>
            <w:r>
              <w:rPr>
                <w:rFonts w:hint="eastAsia" w:hAnsi="宋体"/>
                <w:sz w:val="24"/>
              </w:rPr>
              <w:t>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126"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560" w:type="dxa"/>
          </w:tcPr>
          <w:p>
            <w:pPr>
              <w:spacing w:line="360" w:lineRule="auto"/>
              <w:rPr>
                <w:rFonts w:hAnsi="宋体"/>
                <w:sz w:val="24"/>
              </w:rPr>
            </w:pPr>
            <w:r>
              <w:rPr>
                <w:rFonts w:hint="eastAsia" w:hAnsi="宋体"/>
                <w:sz w:val="24"/>
              </w:rPr>
              <w:t>4.2.</w:t>
            </w:r>
            <w:r>
              <w:rPr>
                <w:rFonts w:hAnsi="宋体"/>
                <w:sz w:val="24"/>
              </w:rPr>
              <w:t>6</w:t>
            </w:r>
            <w:r>
              <w:rPr>
                <w:rFonts w:hint="eastAsia" w:hAnsi="宋体"/>
                <w:sz w:val="24"/>
              </w:rPr>
              <w:t>条-2</w:t>
            </w:r>
          </w:p>
        </w:tc>
        <w:tc>
          <w:tcPr>
            <w:tcW w:w="4110" w:type="dxa"/>
          </w:tcPr>
          <w:p>
            <w:pPr>
              <w:spacing w:line="360" w:lineRule="auto"/>
              <w:rPr>
                <w:rFonts w:hAnsi="宋体"/>
                <w:sz w:val="24"/>
              </w:rPr>
            </w:pPr>
            <w:r>
              <w:rPr>
                <w:rFonts w:hint="eastAsia" w:hAnsi="宋体"/>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126" w:type="dxa"/>
            <w:vMerge w:val="continue"/>
          </w:tcPr>
          <w:p>
            <w:pPr>
              <w:spacing w:line="360" w:lineRule="auto"/>
              <w:rPr>
                <w:rFonts w:hAnsi="宋体"/>
                <w:sz w:val="24"/>
              </w:rPr>
            </w:pPr>
          </w:p>
        </w:tc>
        <w:tc>
          <w:tcPr>
            <w:tcW w:w="1560" w:type="dxa"/>
          </w:tcPr>
          <w:p>
            <w:pPr>
              <w:spacing w:line="360" w:lineRule="auto"/>
              <w:rPr>
                <w:rFonts w:hAnsi="宋体"/>
                <w:sz w:val="24"/>
              </w:rPr>
            </w:pPr>
            <w:r>
              <w:rPr>
                <w:rFonts w:hint="eastAsia" w:hAnsi="宋体"/>
                <w:sz w:val="24"/>
              </w:rPr>
              <w:t>5.2.15条</w:t>
            </w:r>
          </w:p>
        </w:tc>
        <w:tc>
          <w:tcPr>
            <w:tcW w:w="4110" w:type="dxa"/>
          </w:tcPr>
          <w:p>
            <w:pPr>
              <w:spacing w:line="360" w:lineRule="auto"/>
              <w:rPr>
                <w:rFonts w:hAnsi="宋体"/>
                <w:sz w:val="24"/>
              </w:rPr>
            </w:pPr>
            <w:r>
              <w:rPr>
                <w:rFonts w:hint="eastAsia" w:hAnsi="宋体"/>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rPr>
                <w:rFonts w:hAnsi="宋体"/>
                <w:sz w:val="24"/>
              </w:rPr>
            </w:pPr>
            <w:r>
              <w:rPr>
                <w:rFonts w:hint="eastAsia" w:hAnsi="宋体"/>
                <w:sz w:val="24"/>
              </w:rPr>
              <w:t xml:space="preserve">    若项目为非玻璃幕墙建筑直接填写“是”。</w:t>
            </w:r>
          </w:p>
          <w:p>
            <w:pPr>
              <w:spacing w:line="360" w:lineRule="auto"/>
              <w:rPr>
                <w:rFonts w:hAnsi="宋体"/>
                <w:sz w:val="24"/>
              </w:rPr>
            </w:pPr>
            <w:r>
              <w:rPr>
                <w:rFonts w:hint="eastAsia" w:hAnsi="宋体"/>
                <w:sz w:val="24"/>
              </w:rPr>
              <w:t xml:space="preserve">    设计人员应根据光污染分析专项报告、玻璃的光学性能检验报告、节能计算报告书；建筑立面图及门窗做法说明等文件，按照项目实际填写此项内容。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20"/>
              <w:rPr>
                <w:rFonts w:hAnsi="宋体"/>
                <w:sz w:val="24"/>
              </w:rPr>
            </w:pPr>
            <w:r>
              <w:rPr>
                <w:rFonts w:hint="eastAsia" w:hAnsi="宋体"/>
                <w:sz w:val="24"/>
              </w:rPr>
              <w:t>建筑物光污染包括建筑反射光(眩光)、夜间的室外夜景照明以及广告照明等造成的光污染。光污染产生的眩光会让人感到不舒服，还会使人降低对灯光信号等重要信息的辨识力，甚至带来道路安全隐患。</w:t>
            </w:r>
          </w:p>
          <w:p>
            <w:pPr>
              <w:spacing w:line="360" w:lineRule="auto"/>
              <w:ind w:firstLine="420"/>
              <w:rPr>
                <w:rFonts w:hAnsi="宋体"/>
                <w:sz w:val="24"/>
              </w:rPr>
            </w:pPr>
            <w:r>
              <w:rPr>
                <w:rFonts w:hint="eastAsia" w:hAnsi="宋体"/>
                <w:sz w:val="24"/>
              </w:rPr>
              <w:t>光污染控制对策包括降低建筑物表面(玻璃和其他材料、涂料)的可见光反射比，合理选配照明器具，采取防止溢光措施等。现行国家标准《玻璃幕墙光热性能》GB/T 18091将玻璃幕墙的光污染定义为有害光反射，对玻璃幕墙的可见光反射比作了规定。本条要求玻璃幕墙的可见光反射比及反射光对周边环境的影响符合《玻璃幕墙光热性能》GB/T 18091的规定。</w:t>
            </w:r>
          </w:p>
        </w:tc>
      </w:tr>
    </w:tbl>
    <w:p>
      <w:pPr>
        <w:spacing w:line="360" w:lineRule="auto"/>
        <w:rPr>
          <w:rFonts w:hAnsi="宋体"/>
          <w:sz w:val="24"/>
        </w:rPr>
      </w:pPr>
      <w:r>
        <w:rPr>
          <w:rFonts w:hint="eastAsia" w:hAnsi="宋体"/>
          <w:sz w:val="24"/>
        </w:rPr>
        <w:t>4.7居住建筑外窗玻璃的可见光透射比不应小于0.40；</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tcPr>
          <w:p>
            <w:pPr>
              <w:spacing w:line="360" w:lineRule="auto"/>
              <w:rPr>
                <w:rFonts w:hAnsi="宋体"/>
                <w:sz w:val="24"/>
              </w:rPr>
            </w:pPr>
            <w:r>
              <w:rPr>
                <w:rFonts w:hint="eastAsia" w:hAnsi="宋体"/>
                <w:sz w:val="24"/>
              </w:rPr>
              <w:t>条文来源</w:t>
            </w:r>
          </w:p>
        </w:tc>
        <w:tc>
          <w:tcPr>
            <w:tcW w:w="7796" w:type="dxa"/>
          </w:tcPr>
          <w:p>
            <w:pPr>
              <w:spacing w:line="360" w:lineRule="auto"/>
              <w:rPr>
                <w:rFonts w:hAnsi="宋体"/>
                <w:sz w:val="24"/>
              </w:rPr>
            </w:pPr>
            <w:r>
              <w:rPr>
                <w:rFonts w:hint="eastAsia" w:hAnsi="宋体"/>
                <w:sz w:val="24"/>
              </w:rPr>
              <w:t>GB55015-2021  第3.1.17条（强条）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tcPr>
          <w:p>
            <w:pPr>
              <w:spacing w:line="360" w:lineRule="auto"/>
              <w:rPr>
                <w:rFonts w:hAnsi="宋体"/>
                <w:sz w:val="24"/>
              </w:rPr>
            </w:pPr>
            <w:r>
              <w:rPr>
                <w:rFonts w:hint="eastAsia" w:hAnsi="宋体"/>
                <w:sz w:val="24"/>
              </w:rPr>
              <w:t>设计人员应根据规范要求控制透光材料的可见光透射比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tcPr>
          <w:p>
            <w:pPr>
              <w:spacing w:line="360" w:lineRule="auto"/>
              <w:rPr>
                <w:rFonts w:hAnsi="宋体"/>
                <w:sz w:val="24"/>
              </w:rPr>
            </w:pPr>
          </w:p>
        </w:tc>
      </w:tr>
    </w:tbl>
    <w:p>
      <w:pPr>
        <w:spacing w:line="360" w:lineRule="auto"/>
        <w:rPr>
          <w:rFonts w:hAnsi="宋体"/>
          <w:sz w:val="24"/>
        </w:rPr>
      </w:pPr>
      <w:r>
        <w:rPr>
          <w:rFonts w:hAnsi="宋体"/>
          <w:sz w:val="24"/>
        </w:rPr>
        <w:t>4.</w:t>
      </w:r>
      <w:r>
        <w:rPr>
          <w:rFonts w:hint="eastAsia" w:hAnsi="宋体"/>
          <w:sz w:val="24"/>
        </w:rPr>
        <w:t>8 主要功能房间具有良好的户外视野，居住建筑与其相邻建筑的直接间距超过18m；</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8"/>
        <w:gridCol w:w="2162"/>
        <w:gridCol w:w="1701"/>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8" w:type="dxa"/>
          </w:tcPr>
          <w:p>
            <w:pPr>
              <w:spacing w:line="360" w:lineRule="auto"/>
              <w:rPr>
                <w:rFonts w:hAnsi="宋体"/>
                <w:sz w:val="24"/>
              </w:rPr>
            </w:pPr>
            <w:r>
              <w:rPr>
                <w:rFonts w:hint="eastAsia" w:hAnsi="宋体"/>
                <w:sz w:val="24"/>
              </w:rPr>
              <w:t>条文来源</w:t>
            </w:r>
          </w:p>
        </w:tc>
        <w:tc>
          <w:tcPr>
            <w:tcW w:w="2162" w:type="dxa"/>
          </w:tcPr>
          <w:p>
            <w:pPr>
              <w:spacing w:line="360" w:lineRule="auto"/>
              <w:rPr>
                <w:rFonts w:hAnsi="宋体"/>
                <w:sz w:val="24"/>
              </w:rPr>
            </w:pPr>
            <w:r>
              <w:rPr>
                <w:rFonts w:hint="eastAsia" w:hAnsi="宋体"/>
                <w:sz w:val="24"/>
              </w:rPr>
              <w:t>DB 33/1092-20</w:t>
            </w:r>
            <w:r>
              <w:rPr>
                <w:rFonts w:hAnsi="宋体"/>
                <w:sz w:val="24"/>
              </w:rPr>
              <w:t>21</w:t>
            </w:r>
          </w:p>
        </w:tc>
        <w:tc>
          <w:tcPr>
            <w:tcW w:w="1701" w:type="dxa"/>
          </w:tcPr>
          <w:p>
            <w:pPr>
              <w:spacing w:line="360" w:lineRule="auto"/>
              <w:rPr>
                <w:rFonts w:hAnsi="宋体"/>
                <w:sz w:val="24"/>
              </w:rPr>
            </w:pPr>
            <w:r>
              <w:rPr>
                <w:rFonts w:hint="eastAsia" w:hAnsi="宋体"/>
                <w:sz w:val="24"/>
              </w:rPr>
              <w:t>5.2.</w:t>
            </w:r>
            <w:r>
              <w:rPr>
                <w:rFonts w:hAnsi="宋体"/>
                <w:sz w:val="24"/>
              </w:rPr>
              <w:t>6</w:t>
            </w:r>
            <w:r>
              <w:rPr>
                <w:rFonts w:hint="eastAsia" w:hAnsi="宋体"/>
                <w:sz w:val="24"/>
              </w:rPr>
              <w:t>条</w:t>
            </w:r>
          </w:p>
        </w:tc>
        <w:tc>
          <w:tcPr>
            <w:tcW w:w="3969"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8" w:type="dxa"/>
          </w:tcPr>
          <w:p>
            <w:pPr>
              <w:spacing w:line="360" w:lineRule="auto"/>
              <w:rPr>
                <w:rFonts w:hAnsi="宋体"/>
                <w:sz w:val="24"/>
              </w:rPr>
            </w:pPr>
            <w:r>
              <w:rPr>
                <w:rFonts w:hint="eastAsia" w:hAnsi="宋体"/>
                <w:sz w:val="24"/>
              </w:rPr>
              <w:t>依据材料</w:t>
            </w:r>
          </w:p>
        </w:tc>
        <w:tc>
          <w:tcPr>
            <w:tcW w:w="7832" w:type="dxa"/>
            <w:gridSpan w:val="3"/>
          </w:tcPr>
          <w:p>
            <w:pPr>
              <w:spacing w:line="360" w:lineRule="auto"/>
              <w:ind w:firstLine="480" w:firstLineChars="200"/>
              <w:rPr>
                <w:rFonts w:hAnsi="宋体"/>
                <w:sz w:val="24"/>
              </w:rPr>
            </w:pPr>
            <w:r>
              <w:rPr>
                <w:rFonts w:hint="eastAsia" w:hAnsi="宋体"/>
                <w:sz w:val="24"/>
              </w:rPr>
              <w:t>设计人员应根据总平面图，测量住宅与相邻建筑的直接间距，按照项目实际，来填写此项内容。</w:t>
            </w:r>
          </w:p>
          <w:p>
            <w:pPr>
              <w:autoSpaceDE w:val="0"/>
              <w:autoSpaceDN w:val="0"/>
              <w:adjustRightInd w:val="0"/>
              <w:spacing w:line="360" w:lineRule="auto"/>
              <w:ind w:firstLine="480" w:firstLineChars="200"/>
              <w:jc w:val="left"/>
              <w:rPr>
                <w:rFonts w:hAnsi="宋体"/>
                <w:sz w:val="24"/>
              </w:rPr>
            </w:pPr>
            <w:r>
              <w:rPr>
                <w:rFonts w:hint="eastAsia" w:hAnsi="宋体"/>
                <w:sz w:val="24"/>
              </w:rPr>
              <w:t>当两建筑相对的外墙间距不足18m，但至少有一面外墙上无窗户时，也可以认为是没有产生私密问题。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8" w:type="dxa"/>
          </w:tcPr>
          <w:p>
            <w:pPr>
              <w:spacing w:line="360" w:lineRule="auto"/>
              <w:rPr>
                <w:rFonts w:hAnsi="宋体"/>
                <w:sz w:val="24"/>
              </w:rPr>
            </w:pPr>
            <w:r>
              <w:rPr>
                <w:rFonts w:hint="eastAsia" w:hAnsi="宋体"/>
                <w:sz w:val="24"/>
              </w:rPr>
              <w:t>备注</w:t>
            </w:r>
          </w:p>
        </w:tc>
        <w:tc>
          <w:tcPr>
            <w:tcW w:w="7832" w:type="dxa"/>
            <w:gridSpan w:val="3"/>
          </w:tcPr>
          <w:p>
            <w:pPr>
              <w:autoSpaceDE w:val="0"/>
              <w:autoSpaceDN w:val="0"/>
              <w:adjustRightInd w:val="0"/>
              <w:spacing w:line="360" w:lineRule="auto"/>
              <w:jc w:val="left"/>
              <w:rPr>
                <w:rFonts w:hAnsi="宋体"/>
                <w:sz w:val="24"/>
              </w:rPr>
            </w:pPr>
            <w:r>
              <w:rPr>
                <w:rFonts w:hint="eastAsia" w:hAnsi="宋体"/>
                <w:sz w:val="24"/>
              </w:rPr>
              <w:t xml:space="preserve">    在本条填写时应考虑最不利楼层或房间的平面图。视野模拟分析报告中应将周边高大建筑物、构筑物的影响都考虑在内，建筑自身遮挡也不可忽略，并涵盖所有朝向的最不利房间。</w:t>
            </w:r>
          </w:p>
          <w:p>
            <w:pPr>
              <w:autoSpaceDE w:val="0"/>
              <w:autoSpaceDN w:val="0"/>
              <w:adjustRightInd w:val="0"/>
              <w:spacing w:line="360" w:lineRule="auto"/>
              <w:jc w:val="left"/>
              <w:rPr>
                <w:rFonts w:hAnsi="宋体"/>
                <w:sz w:val="24"/>
              </w:rPr>
            </w:pPr>
            <w:r>
              <w:rPr>
                <w:rFonts w:hint="eastAsia" w:hAnsi="宋体"/>
                <w:sz w:val="24"/>
              </w:rPr>
              <w:t xml:space="preserve">    对于居住建筑，主要依靠控制建筑间距来获得良好的视野。根据经验，当两幢住在楼居住空间的水平视线距离超过18m时即能基本满足要求。当两幢住宅楼水平视线距离不超过18m时，临近住宅应通过建筑户型设计避免产生私密问题。</w:t>
            </w:r>
          </w:p>
        </w:tc>
      </w:tr>
    </w:tbl>
    <w:p>
      <w:pPr>
        <w:spacing w:line="360" w:lineRule="auto"/>
        <w:rPr>
          <w:rFonts w:hAnsi="宋体"/>
          <w:sz w:val="24"/>
        </w:rPr>
      </w:pPr>
      <w:r>
        <w:rPr>
          <w:rFonts w:hAnsi="宋体"/>
          <w:sz w:val="24"/>
        </w:rPr>
        <w:t>4.</w:t>
      </w:r>
      <w:r>
        <w:rPr>
          <w:rFonts w:hint="eastAsia" w:hAnsi="宋体"/>
          <w:sz w:val="24"/>
        </w:rPr>
        <w:t>9 房间内区采光系数满足采光要求的面积比例达到60％；</w:t>
      </w:r>
    </w:p>
    <w:p>
      <w:pPr>
        <w:spacing w:line="360" w:lineRule="auto"/>
        <w:rPr>
          <w:rFonts w:hAnsi="宋体"/>
          <w:sz w:val="24"/>
        </w:rPr>
      </w:pPr>
      <w:r>
        <w:rPr>
          <w:rFonts w:hint="eastAsia" w:hAnsi="宋体"/>
          <w:sz w:val="24"/>
        </w:rPr>
        <w:t>4</w:t>
      </w:r>
      <w:r>
        <w:rPr>
          <w:rFonts w:hAnsi="宋体"/>
          <w:sz w:val="24"/>
        </w:rPr>
        <w:t>.</w:t>
      </w:r>
      <w:r>
        <w:rPr>
          <w:rFonts w:hint="eastAsia" w:hAnsi="宋体"/>
          <w:sz w:val="24"/>
        </w:rPr>
        <w:t>10</w:t>
      </w:r>
      <w:r>
        <w:rPr>
          <w:rFonts w:hAnsi="宋体"/>
          <w:sz w:val="24"/>
        </w:rPr>
        <w:t xml:space="preserve"> </w:t>
      </w:r>
      <w:r>
        <w:rPr>
          <w:rFonts w:hint="eastAsia" w:hAnsi="宋体"/>
          <w:sz w:val="24"/>
        </w:rPr>
        <w:t>居住建筑的公共空间采光系数标准值≥0.5％</w:t>
      </w:r>
    </w:p>
    <w:p>
      <w:pPr>
        <w:spacing w:line="360" w:lineRule="auto"/>
        <w:rPr>
          <w:rFonts w:hAnsi="宋体"/>
          <w:sz w:val="24"/>
        </w:rPr>
      </w:pPr>
      <w:r>
        <w:rPr>
          <w:rFonts w:hAnsi="宋体"/>
          <w:sz w:val="24"/>
        </w:rPr>
        <w:t>4.1</w:t>
      </w:r>
      <w:r>
        <w:rPr>
          <w:rFonts w:hint="eastAsia" w:hAnsi="宋体"/>
          <w:sz w:val="24"/>
        </w:rPr>
        <w:t>1 地下空间设置天然采光及措施；</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4"/>
        <w:gridCol w:w="2025"/>
        <w:gridCol w:w="1701"/>
        <w:gridCol w:w="4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 w:hRule="atLeast"/>
        </w:trPr>
        <w:tc>
          <w:tcPr>
            <w:tcW w:w="1344" w:type="dxa"/>
            <w:vMerge w:val="restart"/>
          </w:tcPr>
          <w:p>
            <w:pPr>
              <w:spacing w:line="360" w:lineRule="auto"/>
              <w:rPr>
                <w:rFonts w:hAnsi="宋体"/>
                <w:sz w:val="24"/>
              </w:rPr>
            </w:pPr>
            <w:r>
              <w:rPr>
                <w:rFonts w:hint="eastAsia" w:hAnsi="宋体"/>
                <w:sz w:val="24"/>
              </w:rPr>
              <w:t>条文来源</w:t>
            </w:r>
          </w:p>
        </w:tc>
        <w:tc>
          <w:tcPr>
            <w:tcW w:w="2025" w:type="dxa"/>
          </w:tcPr>
          <w:p>
            <w:pPr>
              <w:spacing w:line="360" w:lineRule="auto"/>
              <w:rPr>
                <w:rFonts w:hAnsi="宋体"/>
                <w:sz w:val="24"/>
              </w:rPr>
            </w:pPr>
            <w:r>
              <w:rPr>
                <w:rFonts w:hint="eastAsia" w:hAnsi="宋体"/>
                <w:sz w:val="24"/>
              </w:rPr>
              <w:t>GB/T 50378-201</w:t>
            </w:r>
            <w:r>
              <w:rPr>
                <w:rFonts w:hAnsi="宋体"/>
                <w:sz w:val="24"/>
              </w:rPr>
              <w:t>9</w:t>
            </w:r>
          </w:p>
        </w:tc>
        <w:tc>
          <w:tcPr>
            <w:tcW w:w="1701" w:type="dxa"/>
          </w:tcPr>
          <w:p>
            <w:pPr>
              <w:spacing w:line="360" w:lineRule="auto"/>
              <w:rPr>
                <w:rFonts w:hAnsi="宋体"/>
                <w:sz w:val="24"/>
              </w:rPr>
            </w:pPr>
            <w:r>
              <w:rPr>
                <w:rFonts w:hint="eastAsia" w:hAnsi="宋体"/>
                <w:sz w:val="24"/>
              </w:rPr>
              <w:t>5</w:t>
            </w:r>
            <w:r>
              <w:rPr>
                <w:rFonts w:hAnsi="宋体"/>
                <w:sz w:val="24"/>
              </w:rPr>
              <w:t>.2.8</w:t>
            </w:r>
            <w:r>
              <w:rPr>
                <w:rFonts w:hint="eastAsia" w:hAnsi="宋体"/>
                <w:sz w:val="24"/>
              </w:rPr>
              <w:t>条-</w:t>
            </w:r>
            <w:r>
              <w:rPr>
                <w:rFonts w:hAnsi="宋体"/>
                <w:sz w:val="24"/>
              </w:rPr>
              <w:t>1</w:t>
            </w:r>
          </w:p>
        </w:tc>
        <w:tc>
          <w:tcPr>
            <w:tcW w:w="4110" w:type="dxa"/>
          </w:tcPr>
          <w:p>
            <w:pPr>
              <w:spacing w:line="360" w:lineRule="auto"/>
              <w:rPr>
                <w:rFonts w:hAnsi="宋体"/>
                <w:sz w:val="24"/>
              </w:rPr>
            </w:pPr>
            <w:r>
              <w:rPr>
                <w:rFonts w:hint="eastAsia" w:hAnsi="宋体"/>
                <w:sz w:val="24"/>
              </w:rPr>
              <w:t>9分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spacing w:line="360" w:lineRule="auto"/>
              <w:rPr>
                <w:rFonts w:hAnsi="宋体"/>
                <w:sz w:val="24"/>
              </w:rPr>
            </w:pPr>
          </w:p>
        </w:tc>
        <w:tc>
          <w:tcPr>
            <w:tcW w:w="2025"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701" w:type="dxa"/>
          </w:tcPr>
          <w:p>
            <w:pPr>
              <w:spacing w:line="360" w:lineRule="auto"/>
              <w:rPr>
                <w:rFonts w:hAnsi="宋体"/>
                <w:sz w:val="24"/>
              </w:rPr>
            </w:pPr>
            <w:r>
              <w:rPr>
                <w:rFonts w:hAnsi="宋体"/>
                <w:sz w:val="24"/>
              </w:rPr>
              <w:t>5.2.1</w:t>
            </w:r>
            <w:r>
              <w:rPr>
                <w:rFonts w:hint="eastAsia" w:hAnsi="宋体"/>
                <w:sz w:val="24"/>
              </w:rPr>
              <w:t xml:space="preserve">4条 </w:t>
            </w:r>
          </w:p>
        </w:tc>
        <w:tc>
          <w:tcPr>
            <w:tcW w:w="4110"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4" w:type="dxa"/>
            <w:vMerge w:val="continue"/>
          </w:tcPr>
          <w:p>
            <w:pPr>
              <w:spacing w:line="360" w:lineRule="auto"/>
              <w:rPr>
                <w:rFonts w:hAnsi="宋体"/>
                <w:sz w:val="24"/>
              </w:rPr>
            </w:pPr>
          </w:p>
        </w:tc>
        <w:tc>
          <w:tcPr>
            <w:tcW w:w="2025"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5.3.</w:t>
            </w:r>
            <w:r>
              <w:rPr>
                <w:rFonts w:hAnsi="宋体"/>
                <w:sz w:val="24"/>
              </w:rPr>
              <w:t>5</w:t>
            </w:r>
            <w:r>
              <w:rPr>
                <w:rFonts w:hint="eastAsia" w:hAnsi="宋体"/>
                <w:sz w:val="24"/>
              </w:rPr>
              <w:t>条</w:t>
            </w:r>
            <w:r>
              <w:rPr>
                <w:rFonts w:hAnsi="宋体"/>
                <w:sz w:val="24"/>
              </w:rPr>
              <w:t>-2-3</w:t>
            </w:r>
          </w:p>
        </w:tc>
        <w:tc>
          <w:tcPr>
            <w:tcW w:w="4110" w:type="dxa"/>
          </w:tcPr>
          <w:p>
            <w:pPr>
              <w:spacing w:line="360" w:lineRule="auto"/>
              <w:rPr>
                <w:rFonts w:hAnsi="宋体"/>
                <w:sz w:val="24"/>
              </w:rPr>
            </w:pPr>
            <w:r>
              <w:rPr>
                <w:rFonts w:hint="eastAsia" w:hAnsi="宋体"/>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7" w:hRule="atLeast"/>
        </w:trPr>
        <w:tc>
          <w:tcPr>
            <w:tcW w:w="1344" w:type="dxa"/>
            <w:vMerge w:val="continue"/>
          </w:tcPr>
          <w:p>
            <w:pPr>
              <w:spacing w:line="360" w:lineRule="auto"/>
              <w:rPr>
                <w:rFonts w:hAnsi="宋体"/>
                <w:sz w:val="24"/>
              </w:rPr>
            </w:pPr>
          </w:p>
        </w:tc>
        <w:tc>
          <w:tcPr>
            <w:tcW w:w="2025"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5.4.7条</w:t>
            </w:r>
          </w:p>
        </w:tc>
        <w:tc>
          <w:tcPr>
            <w:tcW w:w="4110" w:type="dxa"/>
          </w:tcPr>
          <w:p>
            <w:pPr>
              <w:spacing w:line="360" w:lineRule="auto"/>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pPr>
              <w:spacing w:line="360" w:lineRule="auto"/>
              <w:rPr>
                <w:rFonts w:hAnsi="宋体"/>
                <w:sz w:val="24"/>
              </w:rPr>
            </w:pPr>
            <w:r>
              <w:rPr>
                <w:rFonts w:hint="eastAsia" w:hAnsi="宋体"/>
                <w:sz w:val="24"/>
              </w:rPr>
              <w:t>依据材料</w:t>
            </w:r>
          </w:p>
        </w:tc>
        <w:tc>
          <w:tcPr>
            <w:tcW w:w="7836" w:type="dxa"/>
            <w:gridSpan w:val="3"/>
          </w:tcPr>
          <w:p>
            <w:pPr>
              <w:spacing w:line="360" w:lineRule="auto"/>
              <w:ind w:firstLine="480" w:firstLineChars="200"/>
              <w:rPr>
                <w:rFonts w:hAnsi="宋体"/>
                <w:sz w:val="24"/>
              </w:rPr>
            </w:pPr>
            <w:r>
              <w:rPr>
                <w:rFonts w:hint="eastAsia" w:hAnsi="宋体"/>
                <w:sz w:val="24"/>
              </w:rPr>
              <w:t>设计人员应根据建筑专业图纸、采光报告上的数据（眩光计算、采光系数计算、面积统计等）、光污染分析专项报告、玻璃的光学性能检验报告、灯具的光度检验报告、照明设计方案（含计算书）、照明施工图、节能计算报告书等，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pPr>
              <w:spacing w:line="360" w:lineRule="auto"/>
              <w:rPr>
                <w:rFonts w:hAnsi="宋体"/>
                <w:sz w:val="24"/>
              </w:rPr>
            </w:pPr>
            <w:r>
              <w:rPr>
                <w:rFonts w:hint="eastAsia" w:hAnsi="宋体"/>
                <w:sz w:val="24"/>
              </w:rPr>
              <w:t>备注</w:t>
            </w:r>
          </w:p>
        </w:tc>
        <w:tc>
          <w:tcPr>
            <w:tcW w:w="7836" w:type="dxa"/>
            <w:gridSpan w:val="3"/>
          </w:tcPr>
          <w:p>
            <w:pPr>
              <w:autoSpaceDE w:val="0"/>
              <w:autoSpaceDN w:val="0"/>
              <w:adjustRightInd w:val="0"/>
              <w:spacing w:line="360" w:lineRule="auto"/>
              <w:jc w:val="left"/>
              <w:rPr>
                <w:rFonts w:hAnsi="宋体"/>
                <w:sz w:val="24"/>
              </w:rPr>
            </w:pPr>
            <w:r>
              <w:rPr>
                <w:rFonts w:hint="eastAsia" w:hAnsi="宋体"/>
                <w:sz w:val="24"/>
              </w:rPr>
              <w:t xml:space="preserve">    各种光源的视觉试验结果表明，在同样照度的条件下，天然光的辨认能力优于人工光，从而有利于人们工作、生活、保护视力和提高劳动生产率。</w:t>
            </w:r>
          </w:p>
          <w:p>
            <w:pPr>
              <w:autoSpaceDE w:val="0"/>
              <w:autoSpaceDN w:val="0"/>
              <w:adjustRightInd w:val="0"/>
              <w:spacing w:line="360" w:lineRule="auto"/>
              <w:jc w:val="left"/>
              <w:rPr>
                <w:rFonts w:hAnsi="宋体"/>
                <w:sz w:val="24"/>
              </w:rPr>
            </w:pPr>
            <w:r>
              <w:rPr>
                <w:rFonts w:hint="eastAsia" w:hAnsi="宋体"/>
                <w:sz w:val="24"/>
              </w:rPr>
              <w:t xml:space="preserve">   “内区”定义：是相对</w:t>
            </w:r>
            <w:r>
              <w:rPr>
                <w:rFonts w:hAnsi="宋体"/>
                <w:sz w:val="24"/>
              </w:rPr>
              <w:t>外区而言的</w:t>
            </w:r>
            <w:r>
              <w:rPr>
                <w:rFonts w:hint="eastAsia" w:hAnsi="宋体"/>
                <w:sz w:val="24"/>
              </w:rPr>
              <w:t>，为简</w:t>
            </w:r>
            <w:r>
              <w:rPr>
                <w:rFonts w:hAnsi="宋体"/>
                <w:sz w:val="24"/>
              </w:rPr>
              <w:t>化，一般情况下</w:t>
            </w:r>
            <w:r>
              <w:rPr>
                <w:rFonts w:hint="eastAsia" w:hAnsi="宋体"/>
                <w:sz w:val="24"/>
              </w:rPr>
              <w:t>外区定义为</w:t>
            </w:r>
            <w:r>
              <w:rPr>
                <w:rFonts w:hAnsi="宋体"/>
                <w:sz w:val="24"/>
              </w:rPr>
              <w:t>距离建筑外</w:t>
            </w:r>
            <w:r>
              <w:rPr>
                <w:rFonts w:hint="eastAsia" w:hAnsi="宋体"/>
                <w:sz w:val="24"/>
              </w:rPr>
              <w:t>围护结</w:t>
            </w:r>
            <w:r>
              <w:rPr>
                <w:rFonts w:hAnsi="宋体"/>
                <w:sz w:val="24"/>
              </w:rPr>
              <w:t xml:space="preserve">构5m </w:t>
            </w:r>
            <w:r>
              <w:rPr>
                <w:rFonts w:hint="eastAsia" w:hAnsi="宋体"/>
                <w:sz w:val="24"/>
              </w:rPr>
              <w:t>范围内的区域。</w:t>
            </w:r>
          </w:p>
          <w:p>
            <w:pPr>
              <w:autoSpaceDE w:val="0"/>
              <w:autoSpaceDN w:val="0"/>
              <w:adjustRightInd w:val="0"/>
              <w:spacing w:line="360" w:lineRule="auto"/>
              <w:jc w:val="left"/>
              <w:rPr>
                <w:rFonts w:hAnsi="宋体"/>
                <w:sz w:val="24"/>
              </w:rPr>
            </w:pPr>
            <w:r>
              <w:rPr>
                <w:rFonts w:hint="eastAsia" w:hAnsi="宋体"/>
                <w:sz w:val="24"/>
              </w:rPr>
              <w:t xml:space="preserve">    天然采光不仅</w:t>
            </w:r>
            <w:r>
              <w:rPr>
                <w:rFonts w:hAnsi="宋体"/>
                <w:sz w:val="24"/>
              </w:rPr>
              <w:t>有利于照明</w:t>
            </w:r>
            <w:r>
              <w:rPr>
                <w:rFonts w:hint="eastAsia" w:hAnsi="宋体"/>
                <w:sz w:val="24"/>
              </w:rPr>
              <w:t>节</w:t>
            </w:r>
            <w:r>
              <w:rPr>
                <w:rFonts w:hAnsi="宋体"/>
                <w:sz w:val="24"/>
              </w:rPr>
              <w:t>能，而且有利于增加室内外的自然信</w:t>
            </w:r>
            <w:r>
              <w:rPr>
                <w:rFonts w:hint="eastAsia" w:hAnsi="宋体"/>
                <w:sz w:val="24"/>
              </w:rPr>
              <w:t>息交流句改善空间卫生环境，调节空间使用者的心情。建筑的地下空间和大进深的地上室内空间，容易出现天然采光不足的情况。通过反光板、棱镜玻璃窗、天窗、下沉庭院等设计手法或采用导</w:t>
            </w:r>
            <w:r>
              <w:rPr>
                <w:rFonts w:hAnsi="宋体"/>
                <w:sz w:val="24"/>
              </w:rPr>
              <w:t>光管技</w:t>
            </w:r>
            <w:r>
              <w:rPr>
                <w:rFonts w:hint="eastAsia" w:hAnsi="宋体"/>
                <w:sz w:val="24"/>
              </w:rPr>
              <w:t>术</w:t>
            </w:r>
            <w:r>
              <w:rPr>
                <w:rFonts w:hAnsi="宋体"/>
                <w:sz w:val="24"/>
              </w:rPr>
              <w:t>，可以有效改善</w:t>
            </w:r>
            <w:r>
              <w:rPr>
                <w:rFonts w:hint="eastAsia" w:hAnsi="宋体"/>
                <w:sz w:val="24"/>
              </w:rPr>
              <w:t>这</w:t>
            </w:r>
            <w:r>
              <w:rPr>
                <w:rFonts w:hAnsi="宋体"/>
                <w:sz w:val="24"/>
              </w:rPr>
              <w:t>些空</w:t>
            </w:r>
            <w:r>
              <w:rPr>
                <w:rFonts w:hint="eastAsia" w:hAnsi="宋体"/>
                <w:sz w:val="24"/>
              </w:rPr>
              <w:t>间</w:t>
            </w:r>
            <w:r>
              <w:rPr>
                <w:rFonts w:hAnsi="宋体"/>
                <w:sz w:val="24"/>
              </w:rPr>
              <w:t xml:space="preserve">的天然采光效果。本条第1 </w:t>
            </w:r>
            <w:r>
              <w:rPr>
                <w:rFonts w:hint="eastAsia" w:hAnsi="宋体"/>
                <w:sz w:val="24"/>
              </w:rPr>
              <w:t>款，要求符合现</w:t>
            </w:r>
            <w:r>
              <w:rPr>
                <w:rFonts w:hAnsi="宋体"/>
                <w:sz w:val="24"/>
              </w:rPr>
              <w:t>行国家</w:t>
            </w:r>
            <w:r>
              <w:rPr>
                <w:rFonts w:hint="eastAsia" w:hAnsi="宋体"/>
                <w:sz w:val="24"/>
              </w:rPr>
              <w:t>标</w:t>
            </w:r>
            <w:r>
              <w:rPr>
                <w:rFonts w:hAnsi="宋体"/>
                <w:sz w:val="24"/>
              </w:rPr>
              <w:t>准《建筑采光</w:t>
            </w:r>
            <w:r>
              <w:rPr>
                <w:rFonts w:hint="eastAsia" w:hAnsi="宋体"/>
                <w:sz w:val="24"/>
              </w:rPr>
              <w:t>设计标</w:t>
            </w:r>
            <w:r>
              <w:rPr>
                <w:rFonts w:hAnsi="宋体"/>
                <w:sz w:val="24"/>
              </w:rPr>
              <w:t>准》GB 50033</w:t>
            </w:r>
            <w:r>
              <w:rPr>
                <w:rFonts w:hint="eastAsia" w:hAnsi="宋体"/>
                <w:sz w:val="24"/>
              </w:rPr>
              <w:t>中控制不舒适眩光的相关规</w:t>
            </w:r>
            <w:r>
              <w:rPr>
                <w:rFonts w:hAnsi="宋体"/>
                <w:sz w:val="24"/>
              </w:rPr>
              <w:t>定</w:t>
            </w:r>
            <w:r>
              <w:rPr>
                <w:rFonts w:hint="eastAsia" w:hAnsi="宋体"/>
                <w:sz w:val="24"/>
              </w:rPr>
              <w:t>。</w:t>
            </w:r>
          </w:p>
        </w:tc>
      </w:tr>
    </w:tbl>
    <w:p>
      <w:pPr>
        <w:pStyle w:val="17"/>
        <w:spacing w:line="360" w:lineRule="auto"/>
        <w:rPr>
          <w:rFonts w:hAnsi="宋体"/>
          <w:b/>
          <w:sz w:val="24"/>
        </w:rPr>
      </w:pPr>
    </w:p>
    <w:p>
      <w:pPr>
        <w:pStyle w:val="17"/>
        <w:spacing w:line="360" w:lineRule="auto"/>
        <w:rPr>
          <w:rFonts w:hAnsi="宋体"/>
          <w:b/>
          <w:sz w:val="24"/>
        </w:rPr>
      </w:pPr>
      <w:r>
        <w:rPr>
          <w:rFonts w:hAnsi="宋体"/>
          <w:b/>
          <w:sz w:val="24"/>
        </w:rPr>
        <w:t>5</w:t>
      </w:r>
      <w:r>
        <w:rPr>
          <w:rFonts w:hint="eastAsia" w:hAnsi="宋体"/>
          <w:b/>
          <w:sz w:val="24"/>
        </w:rPr>
        <w:t>.</w:t>
      </w:r>
      <w:r>
        <w:rPr>
          <w:rFonts w:hAnsi="宋体"/>
          <w:b/>
          <w:sz w:val="24"/>
        </w:rPr>
        <w:t xml:space="preserve"> </w:t>
      </w:r>
      <w:r>
        <w:rPr>
          <w:rFonts w:hint="eastAsia" w:hAnsi="宋体"/>
          <w:b/>
          <w:sz w:val="24"/>
        </w:rPr>
        <w:t>建筑风环境设计:</w:t>
      </w:r>
    </w:p>
    <w:p>
      <w:pPr>
        <w:spacing w:line="360" w:lineRule="auto"/>
        <w:rPr>
          <w:rFonts w:hAnsi="宋体"/>
          <w:sz w:val="24"/>
        </w:rPr>
      </w:pPr>
      <w:r>
        <w:rPr>
          <w:rFonts w:hAnsi="宋体"/>
          <w:sz w:val="24"/>
        </w:rPr>
        <w:t xml:space="preserve">5.1 </w:t>
      </w:r>
      <w:r>
        <w:rPr>
          <w:rFonts w:hint="eastAsia" w:hAnsi="宋体"/>
          <w:sz w:val="24"/>
        </w:rPr>
        <w:t>设计进</w:t>
      </w:r>
      <w:r>
        <w:rPr>
          <w:rFonts w:hAnsi="宋体"/>
          <w:sz w:val="24"/>
        </w:rPr>
        <w:t>行</w:t>
      </w:r>
      <w:r>
        <w:rPr>
          <w:rFonts w:hint="eastAsia" w:hAnsi="宋体"/>
          <w:sz w:val="24"/>
        </w:rPr>
        <w:t>风环</w:t>
      </w:r>
      <w:r>
        <w:rPr>
          <w:rFonts w:hAnsi="宋体"/>
          <w:sz w:val="24"/>
        </w:rPr>
        <w:t>境模</w:t>
      </w:r>
      <w:r>
        <w:rPr>
          <w:rFonts w:hint="eastAsia" w:hAnsi="宋体"/>
          <w:sz w:val="24"/>
        </w:rPr>
        <w:t>拟</w:t>
      </w:r>
      <w:r>
        <w:rPr>
          <w:rFonts w:hAnsi="宋体"/>
          <w:sz w:val="24"/>
        </w:rPr>
        <w:t>分析，指</w:t>
      </w:r>
      <w:r>
        <w:rPr>
          <w:rFonts w:hint="eastAsia" w:hAnsi="宋体"/>
          <w:sz w:val="24"/>
        </w:rPr>
        <w:t>导</w:t>
      </w:r>
      <w:r>
        <w:rPr>
          <w:rFonts w:hAnsi="宋体"/>
          <w:sz w:val="24"/>
        </w:rPr>
        <w:t>并</w:t>
      </w:r>
      <w:r>
        <w:rPr>
          <w:rFonts w:hint="eastAsia" w:hAnsi="宋体"/>
          <w:sz w:val="24"/>
        </w:rPr>
        <w:t>优</w:t>
      </w:r>
      <w:r>
        <w:rPr>
          <w:rFonts w:hAnsi="宋体"/>
          <w:sz w:val="24"/>
        </w:rPr>
        <w:t>化自然通</w:t>
      </w:r>
      <w:r>
        <w:rPr>
          <w:rFonts w:hint="eastAsia" w:hAnsi="宋体"/>
          <w:sz w:val="24"/>
        </w:rPr>
        <w:t>风设计；</w:t>
      </w:r>
    </w:p>
    <w:p>
      <w:pPr>
        <w:spacing w:line="360" w:lineRule="auto"/>
        <w:rPr>
          <w:rFonts w:hAnsi="宋体"/>
          <w:sz w:val="24"/>
        </w:rPr>
      </w:pPr>
      <w:r>
        <w:rPr>
          <w:rFonts w:hAnsi="宋体"/>
          <w:sz w:val="24"/>
        </w:rPr>
        <w:t xml:space="preserve">5.2 </w:t>
      </w:r>
      <w:r>
        <w:rPr>
          <w:rFonts w:hint="eastAsia" w:hAnsi="宋体"/>
          <w:sz w:val="24"/>
        </w:rPr>
        <w:t>主要用房均以自然通风为主；卧室、起居室（厅）、厨房有自然通风；</w:t>
      </w:r>
    </w:p>
    <w:p>
      <w:pPr>
        <w:spacing w:line="360" w:lineRule="auto"/>
        <w:rPr>
          <w:rFonts w:hAnsi="宋体"/>
          <w:sz w:val="24"/>
        </w:rPr>
      </w:pPr>
      <w:r>
        <w:rPr>
          <w:rFonts w:hAnsi="宋体"/>
          <w:sz w:val="24"/>
        </w:rPr>
        <w:t>5.3</w:t>
      </w:r>
      <w:r>
        <w:rPr>
          <w:rFonts w:hint="eastAsia" w:hAnsi="宋体"/>
          <w:sz w:val="24"/>
        </w:rPr>
        <w:t xml:space="preserve"> 地下空间自然通风的加强措施；</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163"/>
        <w:gridCol w:w="1560"/>
        <w:gridCol w:w="4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47" w:type="dxa"/>
          </w:tcPr>
          <w:p>
            <w:pPr>
              <w:spacing w:line="360" w:lineRule="auto"/>
              <w:rPr>
                <w:rFonts w:hAnsi="宋体"/>
                <w:sz w:val="24"/>
              </w:rPr>
            </w:pPr>
            <w:r>
              <w:rPr>
                <w:rFonts w:hint="eastAsia" w:hAnsi="宋体"/>
                <w:sz w:val="24"/>
              </w:rPr>
              <w:t>条文来源</w:t>
            </w:r>
          </w:p>
        </w:tc>
        <w:tc>
          <w:tcPr>
            <w:tcW w:w="2163" w:type="dxa"/>
          </w:tcPr>
          <w:p>
            <w:pPr>
              <w:spacing w:line="360" w:lineRule="auto"/>
              <w:rPr>
                <w:rFonts w:hAnsi="宋体"/>
                <w:sz w:val="24"/>
              </w:rPr>
            </w:pPr>
            <w:r>
              <w:rPr>
                <w:rFonts w:hint="eastAsia" w:hAnsi="宋体"/>
                <w:sz w:val="24"/>
              </w:rPr>
              <w:t>DB 33/1092-20</w:t>
            </w:r>
            <w:r>
              <w:rPr>
                <w:rFonts w:hAnsi="宋体"/>
                <w:sz w:val="24"/>
              </w:rPr>
              <w:t>21</w:t>
            </w:r>
          </w:p>
        </w:tc>
        <w:tc>
          <w:tcPr>
            <w:tcW w:w="1560" w:type="dxa"/>
          </w:tcPr>
          <w:p>
            <w:pPr>
              <w:spacing w:line="360" w:lineRule="auto"/>
              <w:rPr>
                <w:rFonts w:hAnsi="宋体"/>
                <w:sz w:val="24"/>
              </w:rPr>
            </w:pPr>
            <w:r>
              <w:rPr>
                <w:rFonts w:hAnsi="宋体"/>
                <w:sz w:val="24"/>
              </w:rPr>
              <w:t>5.4.12</w:t>
            </w:r>
            <w:r>
              <w:rPr>
                <w:rFonts w:hint="eastAsia" w:hAnsi="宋体"/>
                <w:sz w:val="24"/>
              </w:rPr>
              <w:t>条</w:t>
            </w:r>
          </w:p>
        </w:tc>
        <w:tc>
          <w:tcPr>
            <w:tcW w:w="4110" w:type="dxa"/>
          </w:tcPr>
          <w:p>
            <w:pPr>
              <w:spacing w:line="360" w:lineRule="auto"/>
              <w:rPr>
                <w:rFonts w:hAnsi="宋体"/>
                <w:sz w:val="24"/>
              </w:rPr>
            </w:pPr>
            <w:r>
              <w:rPr>
                <w:rFonts w:hint="eastAsia" w:hAnsi="宋体"/>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依据材料</w:t>
            </w:r>
          </w:p>
        </w:tc>
        <w:tc>
          <w:tcPr>
            <w:tcW w:w="7833" w:type="dxa"/>
            <w:gridSpan w:val="3"/>
          </w:tcPr>
          <w:p>
            <w:pPr>
              <w:spacing w:line="360" w:lineRule="auto"/>
              <w:rPr>
                <w:rFonts w:hAnsi="宋体"/>
                <w:sz w:val="24"/>
              </w:rPr>
            </w:pPr>
            <w:r>
              <w:rPr>
                <w:rFonts w:hint="eastAsia" w:hAnsi="宋体"/>
                <w:sz w:val="24"/>
              </w:rPr>
              <w:t xml:space="preserve">    设计人员应根据建筑设计相关文件、计算书、自然通风模拟分析报告等，按项目实际，填写本项内容。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tcPr>
          <w:p>
            <w:pPr>
              <w:spacing w:line="360" w:lineRule="auto"/>
              <w:rPr>
                <w:rFonts w:hAnsi="宋体"/>
                <w:sz w:val="24"/>
              </w:rPr>
            </w:pPr>
            <w:r>
              <w:rPr>
                <w:rFonts w:hint="eastAsia" w:hAnsi="宋体"/>
                <w:sz w:val="24"/>
              </w:rPr>
              <w:t>备注</w:t>
            </w:r>
          </w:p>
        </w:tc>
        <w:tc>
          <w:tcPr>
            <w:tcW w:w="7833" w:type="dxa"/>
            <w:gridSpan w:val="3"/>
          </w:tcPr>
          <w:p>
            <w:pPr>
              <w:spacing w:line="360" w:lineRule="auto"/>
              <w:rPr>
                <w:rFonts w:hAnsi="宋体"/>
                <w:sz w:val="24"/>
              </w:rPr>
            </w:pPr>
            <w:r>
              <w:rPr>
                <w:rFonts w:hint="eastAsia" w:hAnsi="宋体"/>
                <w:sz w:val="24"/>
              </w:rPr>
              <w:t xml:space="preserve">    地下空间</w:t>
            </w:r>
            <w:r>
              <w:rPr>
                <w:rFonts w:hAnsi="宋体"/>
                <w:sz w:val="24"/>
              </w:rPr>
              <w:t>（如地下</w:t>
            </w:r>
            <w:r>
              <w:rPr>
                <w:rFonts w:hint="eastAsia" w:hAnsi="宋体"/>
                <w:sz w:val="24"/>
              </w:rPr>
              <w:t>车库</w:t>
            </w:r>
            <w:r>
              <w:rPr>
                <w:rFonts w:hAnsi="宋体"/>
                <w:sz w:val="24"/>
              </w:rPr>
              <w:t>、超市）的自然通</w:t>
            </w:r>
            <w:r>
              <w:rPr>
                <w:rFonts w:hint="eastAsia" w:hAnsi="宋体"/>
                <w:sz w:val="24"/>
              </w:rPr>
              <w:t>风</w:t>
            </w:r>
            <w:r>
              <w:rPr>
                <w:rFonts w:hAnsi="宋体"/>
                <w:sz w:val="24"/>
              </w:rPr>
              <w:t>，可提高</w:t>
            </w:r>
            <w:r>
              <w:rPr>
                <w:rFonts w:hint="eastAsia" w:hAnsi="宋体"/>
                <w:sz w:val="24"/>
              </w:rPr>
              <w:t>地下空间品质，节省通风设备。设置下沉式庭院（广场），不仅能够</w:t>
            </w:r>
            <w:r>
              <w:rPr>
                <w:rFonts w:hAnsi="宋体"/>
                <w:sz w:val="24"/>
              </w:rPr>
              <w:t>促</w:t>
            </w:r>
            <w:r>
              <w:rPr>
                <w:rFonts w:hint="eastAsia" w:hAnsi="宋体"/>
                <w:sz w:val="24"/>
              </w:rPr>
              <w:t>进</w:t>
            </w:r>
            <w:r>
              <w:rPr>
                <w:rFonts w:hAnsi="宋体"/>
                <w:sz w:val="24"/>
              </w:rPr>
              <w:t>天然采光通</w:t>
            </w:r>
            <w:r>
              <w:rPr>
                <w:rFonts w:hint="eastAsia" w:hAnsi="宋体"/>
                <w:sz w:val="24"/>
              </w:rPr>
              <w:t>风</w:t>
            </w:r>
            <w:r>
              <w:rPr>
                <w:rFonts w:hAnsi="宋体"/>
                <w:sz w:val="24"/>
              </w:rPr>
              <w:t>，</w:t>
            </w:r>
            <w:r>
              <w:rPr>
                <w:rFonts w:hint="eastAsia" w:hAnsi="宋体"/>
                <w:sz w:val="24"/>
              </w:rPr>
              <w:t>还</w:t>
            </w:r>
            <w:r>
              <w:rPr>
                <w:rFonts w:hAnsi="宋体"/>
                <w:sz w:val="24"/>
              </w:rPr>
              <w:t>可以增加</w:t>
            </w:r>
            <w:r>
              <w:rPr>
                <w:rFonts w:hint="eastAsia" w:hAnsi="宋体"/>
                <w:sz w:val="24"/>
              </w:rPr>
              <w:t>绿</w:t>
            </w:r>
            <w:r>
              <w:rPr>
                <w:rFonts w:hAnsi="宋体"/>
                <w:sz w:val="24"/>
              </w:rPr>
              <w:t>化率，丰富景</w:t>
            </w:r>
            <w:r>
              <w:rPr>
                <w:rFonts w:hint="eastAsia" w:hAnsi="宋体"/>
                <w:sz w:val="24"/>
              </w:rPr>
              <w:t>观</w:t>
            </w:r>
            <w:r>
              <w:rPr>
                <w:rFonts w:hAnsi="宋体"/>
                <w:sz w:val="24"/>
              </w:rPr>
              <w:t>空</w:t>
            </w:r>
            <w:r>
              <w:rPr>
                <w:rFonts w:hint="eastAsia" w:hAnsi="宋体"/>
                <w:sz w:val="24"/>
              </w:rPr>
              <w:t>间</w:t>
            </w:r>
            <w:r>
              <w:rPr>
                <w:rFonts w:hAnsi="宋体"/>
                <w:sz w:val="24"/>
              </w:rPr>
              <w:t>。地</w:t>
            </w:r>
            <w:r>
              <w:rPr>
                <w:rFonts w:hint="eastAsia" w:hAnsi="宋体"/>
                <w:sz w:val="24"/>
              </w:rPr>
              <w:t>下停车库</w:t>
            </w:r>
            <w:r>
              <w:rPr>
                <w:rFonts w:hAnsi="宋体"/>
                <w:sz w:val="24"/>
              </w:rPr>
              <w:t>的下沉庭院</w:t>
            </w:r>
            <w:r>
              <w:rPr>
                <w:rFonts w:hint="eastAsia" w:hAnsi="宋体"/>
                <w:sz w:val="24"/>
              </w:rPr>
              <w:t>应</w:t>
            </w:r>
            <w:r>
              <w:rPr>
                <w:rFonts w:hAnsi="宋体"/>
                <w:sz w:val="24"/>
              </w:rPr>
              <w:t>注意避免汽</w:t>
            </w:r>
            <w:r>
              <w:rPr>
                <w:rFonts w:hint="eastAsia" w:hAnsi="宋体"/>
                <w:sz w:val="24"/>
              </w:rPr>
              <w:t>车</w:t>
            </w:r>
            <w:r>
              <w:rPr>
                <w:rFonts w:hAnsi="宋体"/>
                <w:sz w:val="24"/>
              </w:rPr>
              <w:t>尾气</w:t>
            </w:r>
            <w:r>
              <w:rPr>
                <w:rFonts w:hint="eastAsia" w:hAnsi="宋体"/>
                <w:sz w:val="24"/>
              </w:rPr>
              <w:t>对</w:t>
            </w:r>
            <w:r>
              <w:rPr>
                <w:rFonts w:hAnsi="宋体"/>
                <w:sz w:val="24"/>
              </w:rPr>
              <w:t>建筑使用空</w:t>
            </w:r>
            <w:r>
              <w:rPr>
                <w:rFonts w:hint="eastAsia" w:hAnsi="宋体"/>
                <w:sz w:val="24"/>
              </w:rPr>
              <w:t>间</w:t>
            </w:r>
            <w:r>
              <w:rPr>
                <w:rFonts w:hAnsi="宋体"/>
                <w:sz w:val="24"/>
              </w:rPr>
              <w:t>的影</w:t>
            </w:r>
            <w:r>
              <w:rPr>
                <w:rFonts w:hint="eastAsia" w:hAnsi="宋体"/>
                <w:sz w:val="24"/>
              </w:rPr>
              <w:t>响。</w:t>
            </w:r>
          </w:p>
        </w:tc>
      </w:tr>
    </w:tbl>
    <w:p>
      <w:pPr>
        <w:pStyle w:val="271"/>
        <w:numPr>
          <w:ilvl w:val="1"/>
          <w:numId w:val="46"/>
        </w:numPr>
        <w:spacing w:line="360" w:lineRule="auto"/>
        <w:ind w:firstLineChars="0"/>
        <w:rPr>
          <w:rFonts w:hAnsi="宋体"/>
          <w:sz w:val="24"/>
        </w:rPr>
      </w:pPr>
      <w:r>
        <w:rPr>
          <w:rFonts w:hint="eastAsia" w:hAnsi="宋体"/>
          <w:sz w:val="24"/>
        </w:rPr>
        <w:t>建筑具有良好的通风换气性能：</w:t>
      </w:r>
    </w:p>
    <w:p>
      <w:pPr>
        <w:spacing w:line="360" w:lineRule="auto"/>
        <w:rPr>
          <w:rFonts w:hAnsi="宋体"/>
          <w:sz w:val="24"/>
        </w:rPr>
      </w:pPr>
      <w:r>
        <w:rPr>
          <w:rFonts w:hint="eastAsia" w:hAnsi="宋体"/>
          <w:sz w:val="24"/>
        </w:rPr>
        <w:t>5</w:t>
      </w:r>
      <w:r>
        <w:rPr>
          <w:rFonts w:hAnsi="宋体"/>
          <w:sz w:val="24"/>
        </w:rPr>
        <w:t xml:space="preserve">.4.1 </w:t>
      </w:r>
      <w:r>
        <w:rPr>
          <w:rFonts w:hint="eastAsia"/>
          <w:sz w:val="24"/>
        </w:rPr>
        <w:t>每套住宅的外窗（包括阳台门）通风开口面积</w:t>
      </w:r>
      <w:r>
        <w:rPr>
          <w:rFonts w:hint="eastAsia"/>
          <w:sz w:val="24"/>
          <w:lang w:eastAsia="zh-Hans"/>
        </w:rPr>
        <w:t>与房间地面面积的比例；</w:t>
      </w:r>
      <w:r>
        <w:rPr>
          <w:rFonts w:hint="eastAsia" w:hAnsi="宋体"/>
          <w:sz w:val="24"/>
        </w:rPr>
        <w:t>厨房的直接自然通风开口面积不小于该房间地面面积的10％，并不小于0.60</w:t>
      </w:r>
      <w:r>
        <w:rPr>
          <w:rFonts w:hAnsi="宋体"/>
          <w:sz w:val="24"/>
        </w:rPr>
        <w:t>m²</w:t>
      </w:r>
      <w:r>
        <w:rPr>
          <w:rFonts w:hint="eastAsia" w:hAnsi="宋体"/>
          <w:sz w:val="24"/>
        </w:rPr>
        <w:t>；</w:t>
      </w:r>
    </w:p>
    <w:p>
      <w:pPr>
        <w:spacing w:line="360" w:lineRule="auto"/>
        <w:rPr>
          <w:rFonts w:hAnsi="宋体"/>
          <w:sz w:val="24"/>
        </w:rPr>
      </w:pPr>
      <w:r>
        <w:rPr>
          <w:rFonts w:hint="eastAsia" w:hAnsi="宋体"/>
          <w:sz w:val="24"/>
        </w:rPr>
        <w:t>5</w:t>
      </w:r>
      <w:r>
        <w:rPr>
          <w:rFonts w:hAnsi="宋体"/>
          <w:sz w:val="24"/>
        </w:rPr>
        <w:t xml:space="preserve">.4.2 </w:t>
      </w:r>
      <w:r>
        <w:rPr>
          <w:rFonts w:hint="eastAsia" w:hAnsi="宋体"/>
          <w:sz w:val="24"/>
        </w:rPr>
        <w:t>厨房和卫生间设置辅助排气设施；</w:t>
      </w:r>
    </w:p>
    <w:p>
      <w:pPr>
        <w:spacing w:line="360" w:lineRule="auto"/>
        <w:rPr>
          <w:rFonts w:hAnsi="宋体"/>
          <w:sz w:val="24"/>
        </w:rPr>
      </w:pPr>
      <w:r>
        <w:rPr>
          <w:rFonts w:hint="eastAsia" w:hAnsi="宋体"/>
          <w:sz w:val="24"/>
        </w:rPr>
        <w:t>5</w:t>
      </w:r>
      <w:r>
        <w:rPr>
          <w:rFonts w:hAnsi="宋体"/>
          <w:sz w:val="24"/>
        </w:rPr>
        <w:t xml:space="preserve">.4.3 </w:t>
      </w:r>
      <w:r>
        <w:rPr>
          <w:rFonts w:hint="eastAsia" w:hAnsi="宋体"/>
          <w:sz w:val="24"/>
        </w:rPr>
        <w:t>建筑预留有组织通风换气装置的安装条件；</w:t>
      </w:r>
    </w:p>
    <w:p>
      <w:pPr>
        <w:spacing w:line="360" w:lineRule="auto"/>
        <w:rPr>
          <w:rFonts w:hAnsi="宋体"/>
          <w:sz w:val="24"/>
        </w:rPr>
      </w:pPr>
      <w:r>
        <w:rPr>
          <w:rFonts w:hint="eastAsia" w:hAnsi="宋体"/>
          <w:sz w:val="24"/>
        </w:rPr>
        <w:t>5</w:t>
      </w:r>
      <w:r>
        <w:rPr>
          <w:rFonts w:hAnsi="宋体"/>
          <w:sz w:val="24"/>
        </w:rPr>
        <w:t xml:space="preserve">.4.4 </w:t>
      </w:r>
      <w:r>
        <w:rPr>
          <w:rFonts w:hint="eastAsia" w:hAnsi="宋体"/>
          <w:sz w:val="24"/>
        </w:rPr>
        <w:t>单朝向住宅采取改善自然通风的措施。</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1701"/>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restart"/>
          </w:tcPr>
          <w:p>
            <w:pPr>
              <w:spacing w:line="360" w:lineRule="auto"/>
              <w:rPr>
                <w:rFonts w:hAnsi="宋体"/>
                <w:sz w:val="24"/>
              </w:rPr>
            </w:pPr>
            <w:r>
              <w:rPr>
                <w:rFonts w:hint="eastAsia" w:hAnsi="宋体"/>
                <w:sz w:val="24"/>
              </w:rPr>
              <w:t>条文来源</w:t>
            </w:r>
          </w:p>
        </w:tc>
        <w:tc>
          <w:tcPr>
            <w:tcW w:w="2268" w:type="dxa"/>
          </w:tcPr>
          <w:p>
            <w:pPr>
              <w:spacing w:line="360" w:lineRule="auto"/>
              <w:rPr>
                <w:rFonts w:hAnsi="宋体"/>
                <w:sz w:val="24"/>
              </w:rPr>
            </w:pPr>
            <w:r>
              <w:rPr>
                <w:rFonts w:hint="eastAsia" w:hAnsi="宋体"/>
                <w:sz w:val="24"/>
              </w:rPr>
              <w:t>GB/T 50378-201</w:t>
            </w:r>
            <w:r>
              <w:rPr>
                <w:rFonts w:hAnsi="宋体"/>
                <w:sz w:val="24"/>
              </w:rPr>
              <w:t>9</w:t>
            </w:r>
          </w:p>
        </w:tc>
        <w:tc>
          <w:tcPr>
            <w:tcW w:w="1701" w:type="dxa"/>
          </w:tcPr>
          <w:p>
            <w:pPr>
              <w:spacing w:line="360" w:lineRule="auto"/>
              <w:rPr>
                <w:rFonts w:hAnsi="宋体"/>
                <w:sz w:val="24"/>
              </w:rPr>
            </w:pPr>
            <w:r>
              <w:rPr>
                <w:rFonts w:hAnsi="宋体"/>
                <w:sz w:val="24"/>
              </w:rPr>
              <w:t>5.2.10</w:t>
            </w:r>
            <w:r>
              <w:rPr>
                <w:rFonts w:hint="eastAsia" w:hAnsi="宋体"/>
                <w:sz w:val="24"/>
              </w:rPr>
              <w:t>条-</w:t>
            </w:r>
            <w:r>
              <w:rPr>
                <w:rFonts w:hAnsi="宋体"/>
                <w:sz w:val="24"/>
              </w:rPr>
              <w:t>1</w:t>
            </w:r>
          </w:p>
        </w:tc>
        <w:tc>
          <w:tcPr>
            <w:tcW w:w="3827" w:type="dxa"/>
          </w:tcPr>
          <w:p>
            <w:pPr>
              <w:spacing w:line="360" w:lineRule="auto"/>
              <w:rPr>
                <w:rFonts w:hAnsi="宋体"/>
                <w:sz w:val="24"/>
              </w:rPr>
            </w:pPr>
            <w:r>
              <w:rPr>
                <w:rFonts w:hint="eastAsia" w:hAnsi="宋体"/>
                <w:sz w:val="24"/>
              </w:rPr>
              <w:t>达到</w:t>
            </w:r>
            <w:r>
              <w:rPr>
                <w:rFonts w:hAnsi="宋体"/>
                <w:sz w:val="24"/>
              </w:rPr>
              <w:t>8</w:t>
            </w:r>
            <w:r>
              <w:rPr>
                <w:rFonts w:hint="eastAsia" w:hAnsi="宋体"/>
                <w:sz w:val="24"/>
              </w:rPr>
              <w:t>％，5分；每再增加</w:t>
            </w:r>
            <w:r>
              <w:rPr>
                <w:rFonts w:hAnsi="宋体"/>
                <w:sz w:val="24"/>
              </w:rPr>
              <w:t>2</w:t>
            </w:r>
            <w:r>
              <w:rPr>
                <w:rFonts w:hint="eastAsia" w:hAnsi="宋体"/>
                <w:sz w:val="24"/>
              </w:rPr>
              <w:t>％，再得1分，最高得8分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268" w:type="dxa"/>
            <w:vMerge w:val="restart"/>
          </w:tcPr>
          <w:p>
            <w:pPr>
              <w:spacing w:line="360" w:lineRule="auto"/>
              <w:rPr>
                <w:rFonts w:hAnsi="宋体"/>
                <w:sz w:val="24"/>
              </w:rPr>
            </w:pPr>
            <w:r>
              <w:rPr>
                <w:rFonts w:hint="eastAsia" w:hAnsi="宋体"/>
                <w:sz w:val="24"/>
              </w:rPr>
              <w:t>DB 33/1092-20</w:t>
            </w:r>
            <w:r>
              <w:rPr>
                <w:rFonts w:hAnsi="宋体"/>
                <w:sz w:val="24"/>
              </w:rPr>
              <w:t>21</w:t>
            </w:r>
          </w:p>
        </w:tc>
        <w:tc>
          <w:tcPr>
            <w:tcW w:w="1701" w:type="dxa"/>
          </w:tcPr>
          <w:p>
            <w:pPr>
              <w:spacing w:line="360" w:lineRule="auto"/>
              <w:rPr>
                <w:rFonts w:hAnsi="宋体"/>
                <w:sz w:val="24"/>
              </w:rPr>
            </w:pPr>
            <w:r>
              <w:rPr>
                <w:rFonts w:hint="eastAsia" w:hAnsi="宋体"/>
                <w:sz w:val="24"/>
              </w:rPr>
              <w:t>5.2.18条</w:t>
            </w:r>
          </w:p>
        </w:tc>
        <w:tc>
          <w:tcPr>
            <w:tcW w:w="3827" w:type="dxa"/>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268" w:type="dxa"/>
            <w:vMerge w:val="continue"/>
          </w:tcPr>
          <w:p>
            <w:pPr>
              <w:spacing w:line="360" w:lineRule="auto"/>
              <w:rPr>
                <w:rFonts w:hAnsi="宋体"/>
                <w:sz w:val="24"/>
              </w:rPr>
            </w:pPr>
          </w:p>
        </w:tc>
        <w:tc>
          <w:tcPr>
            <w:tcW w:w="1701" w:type="dxa"/>
          </w:tcPr>
          <w:p>
            <w:pPr>
              <w:spacing w:line="360" w:lineRule="auto"/>
              <w:rPr>
                <w:rFonts w:hAnsi="宋体"/>
                <w:sz w:val="24"/>
              </w:rPr>
            </w:pPr>
            <w:r>
              <w:rPr>
                <w:rFonts w:hAnsi="宋体"/>
                <w:sz w:val="24"/>
              </w:rPr>
              <w:t>5.2.19</w:t>
            </w:r>
            <w:r>
              <w:rPr>
                <w:rFonts w:hint="eastAsia" w:hAnsi="宋体"/>
                <w:sz w:val="24"/>
                <w:lang w:eastAsia="zh-Hans"/>
              </w:rPr>
              <w:t>条</w:t>
            </w:r>
          </w:p>
        </w:tc>
        <w:tc>
          <w:tcPr>
            <w:tcW w:w="3827" w:type="dxa"/>
          </w:tcPr>
          <w:p>
            <w:pPr>
              <w:spacing w:line="360" w:lineRule="auto"/>
              <w:rPr>
                <w:rFonts w:hAnsi="宋体"/>
                <w:sz w:val="24"/>
                <w:lang w:eastAsia="zh-Hans"/>
              </w:rPr>
            </w:pPr>
            <w:r>
              <w:rPr>
                <w:rFonts w:hint="eastAsia" w:hAnsi="宋体"/>
                <w:sz w:val="24"/>
                <w:lang w:eastAsia="zh-Hans"/>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268" w:type="dxa"/>
            <w:vMerge w:val="continue"/>
          </w:tcPr>
          <w:p>
            <w:pPr>
              <w:spacing w:line="360" w:lineRule="auto"/>
              <w:rPr>
                <w:rFonts w:hAnsi="宋体"/>
                <w:sz w:val="24"/>
              </w:rPr>
            </w:pPr>
          </w:p>
        </w:tc>
        <w:tc>
          <w:tcPr>
            <w:tcW w:w="1701" w:type="dxa"/>
          </w:tcPr>
          <w:p>
            <w:pPr>
              <w:spacing w:line="360" w:lineRule="auto"/>
              <w:rPr>
                <w:rFonts w:hAnsi="宋体"/>
                <w:sz w:val="24"/>
              </w:rPr>
            </w:pPr>
            <w:r>
              <w:rPr>
                <w:rFonts w:hAnsi="宋体"/>
                <w:sz w:val="24"/>
              </w:rPr>
              <w:t>5.3.6</w:t>
            </w:r>
            <w:r>
              <w:rPr>
                <w:rFonts w:hint="eastAsia" w:hAnsi="宋体"/>
                <w:sz w:val="24"/>
              </w:rPr>
              <w:t>条</w:t>
            </w:r>
          </w:p>
        </w:tc>
        <w:tc>
          <w:tcPr>
            <w:tcW w:w="3827" w:type="dxa"/>
          </w:tcPr>
          <w:p>
            <w:pPr>
              <w:spacing w:line="360" w:lineRule="auto"/>
              <w:rPr>
                <w:rFonts w:hAnsi="宋体"/>
                <w:sz w:val="24"/>
              </w:rPr>
            </w:pPr>
            <w:r>
              <w:rPr>
                <w:rFonts w:hint="eastAsia" w:hAnsi="宋体"/>
                <w:sz w:val="24"/>
              </w:rPr>
              <w:t>二星级</w:t>
            </w:r>
            <w:r>
              <w:rPr>
                <w:rFonts w:hAnsi="宋体"/>
                <w:sz w:val="24"/>
              </w:rPr>
              <w:t>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268"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5.4.</w:t>
            </w:r>
            <w:r>
              <w:rPr>
                <w:rFonts w:hAnsi="宋体"/>
                <w:sz w:val="24"/>
              </w:rPr>
              <w:t>9</w:t>
            </w:r>
            <w:r>
              <w:rPr>
                <w:rFonts w:hint="eastAsia" w:hAnsi="宋体"/>
                <w:sz w:val="24"/>
              </w:rPr>
              <w:t>条</w:t>
            </w:r>
          </w:p>
        </w:tc>
        <w:tc>
          <w:tcPr>
            <w:tcW w:w="3827" w:type="dxa"/>
          </w:tcPr>
          <w:p>
            <w:pPr>
              <w:spacing w:line="360" w:lineRule="auto"/>
              <w:rPr>
                <w:rFonts w:hAnsi="宋体"/>
                <w:sz w:val="24"/>
              </w:rPr>
            </w:pPr>
            <w:r>
              <w:rPr>
                <w:rFonts w:hint="eastAsia" w:hAnsi="宋体"/>
                <w:sz w:val="24"/>
              </w:rPr>
              <w:t>三星级</w:t>
            </w:r>
            <w:r>
              <w:rPr>
                <w:rFonts w:hAnsi="宋体"/>
                <w:sz w:val="24"/>
              </w:rPr>
              <w:t>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rPr>
                <w:rFonts w:hAnsi="宋体"/>
                <w:sz w:val="24"/>
              </w:rPr>
            </w:pPr>
            <w:r>
              <w:rPr>
                <w:rFonts w:hint="eastAsia" w:hAnsi="宋体"/>
                <w:sz w:val="24"/>
              </w:rPr>
              <w:t xml:space="preserve">    设计人员应根据建筑设计相关文件、计算书、自然通风模拟分析报告等，按项目实际，填写本项内容。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rPr>
                <w:rFonts w:hAnsi="宋体"/>
                <w:sz w:val="24"/>
              </w:rPr>
            </w:pPr>
            <w:r>
              <w:rPr>
                <w:rFonts w:hint="eastAsia" w:hAnsi="宋体"/>
                <w:sz w:val="24"/>
              </w:rPr>
              <w:t xml:space="preserve">   </w:t>
            </w:r>
            <w:r>
              <w:rPr>
                <w:rFonts w:hAnsi="宋体"/>
                <w:sz w:val="24"/>
              </w:rPr>
              <w:t xml:space="preserve"> 居住建筑的新风设置是为了满足卫生防疫要求。套内居住空间外墙的合适位置应设置通风口，预留条件供住户安装有组织通风换气装置。</w:t>
            </w:r>
          </w:p>
        </w:tc>
      </w:tr>
    </w:tbl>
    <w:p>
      <w:pPr>
        <w:pStyle w:val="17"/>
        <w:spacing w:line="360" w:lineRule="auto"/>
        <w:rPr>
          <w:rFonts w:hAnsi="宋体"/>
          <w:b/>
          <w:sz w:val="24"/>
        </w:rPr>
      </w:pPr>
    </w:p>
    <w:p>
      <w:pPr>
        <w:tabs>
          <w:tab w:val="left" w:pos="360"/>
        </w:tabs>
        <w:spacing w:before="124" w:beforeLines="40" w:after="124" w:afterLines="40" w:line="360" w:lineRule="auto"/>
        <w:rPr>
          <w:rFonts w:hAnsi="宋体"/>
          <w:b/>
          <w:sz w:val="24"/>
        </w:rPr>
      </w:pPr>
      <w:r>
        <w:rPr>
          <w:rFonts w:hint="eastAsia" w:hAnsi="宋体"/>
          <w:b/>
          <w:sz w:val="24"/>
        </w:rPr>
        <w:t>6.室内声环境设计：</w:t>
      </w:r>
    </w:p>
    <w:p>
      <w:pPr>
        <w:pStyle w:val="17"/>
        <w:spacing w:line="360" w:lineRule="auto"/>
        <w:rPr>
          <w:rFonts w:hAnsi="宋体"/>
          <w:sz w:val="24"/>
        </w:rPr>
      </w:pPr>
      <w:r>
        <w:rPr>
          <w:rFonts w:hint="eastAsia" w:hAnsi="宋体"/>
          <w:sz w:val="24"/>
        </w:rPr>
        <w:t>6.1声环境标准：</w:t>
      </w:r>
    </w:p>
    <w:p>
      <w:pPr>
        <w:pStyle w:val="17"/>
        <w:spacing w:line="360" w:lineRule="auto"/>
        <w:rPr>
          <w:rFonts w:hAnsi="宋体"/>
          <w:sz w:val="24"/>
        </w:rPr>
      </w:pPr>
      <w:r>
        <w:rPr>
          <w:rFonts w:hint="eastAsia" w:hAnsi="宋体"/>
          <w:sz w:val="24"/>
        </w:rPr>
        <w:t>6.1.1主要功能房间室内噪声级达到现行国家标准《民用建筑隔声设计规范》 GB50118中的；</w:t>
      </w:r>
    </w:p>
    <w:p>
      <w:pPr>
        <w:pStyle w:val="17"/>
        <w:spacing w:line="360" w:lineRule="auto"/>
        <w:rPr>
          <w:rFonts w:hAnsi="宋体"/>
          <w:sz w:val="24"/>
        </w:rPr>
      </w:pPr>
      <w:r>
        <w:rPr>
          <w:rFonts w:hint="eastAsia" w:hAnsi="宋体"/>
          <w:sz w:val="24"/>
        </w:rPr>
        <w:t>6.1.2主要功能房间的隔声性能；</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843"/>
        <w:gridCol w:w="1701"/>
        <w:gridCol w:w="1984"/>
        <w:gridCol w:w="22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384" w:type="dxa"/>
            <w:vMerge w:val="restart"/>
          </w:tcPr>
          <w:p>
            <w:pPr>
              <w:spacing w:line="360" w:lineRule="auto"/>
              <w:rPr>
                <w:rFonts w:hAnsi="宋体"/>
                <w:sz w:val="24"/>
              </w:rPr>
            </w:pPr>
            <w:r>
              <w:rPr>
                <w:rFonts w:hint="eastAsia" w:hAnsi="宋体"/>
                <w:sz w:val="24"/>
              </w:rPr>
              <w:t>6.1.1~6.1.2条文来源</w:t>
            </w:r>
          </w:p>
        </w:tc>
        <w:tc>
          <w:tcPr>
            <w:tcW w:w="1843" w:type="dxa"/>
            <w:vMerge w:val="restart"/>
          </w:tcPr>
          <w:p>
            <w:pPr>
              <w:spacing w:line="360" w:lineRule="auto"/>
              <w:rPr>
                <w:rFonts w:hAnsi="宋体"/>
                <w:sz w:val="24"/>
              </w:rPr>
            </w:pPr>
            <w:r>
              <w:rPr>
                <w:rFonts w:hint="eastAsia" w:hAnsi="宋体"/>
                <w:sz w:val="24"/>
              </w:rPr>
              <w:t>GB/T 50378-2019</w:t>
            </w:r>
          </w:p>
        </w:tc>
        <w:tc>
          <w:tcPr>
            <w:tcW w:w="1701" w:type="dxa"/>
          </w:tcPr>
          <w:p>
            <w:pPr>
              <w:spacing w:line="360" w:lineRule="auto"/>
              <w:rPr>
                <w:rFonts w:hAnsi="宋体"/>
                <w:sz w:val="24"/>
              </w:rPr>
            </w:pPr>
            <w:r>
              <w:rPr>
                <w:rFonts w:hint="eastAsia" w:hAnsi="宋体"/>
                <w:sz w:val="24"/>
              </w:rPr>
              <w:t>5.1.4条</w:t>
            </w:r>
          </w:p>
        </w:tc>
        <w:tc>
          <w:tcPr>
            <w:tcW w:w="4252" w:type="dxa"/>
            <w:gridSpan w:val="2"/>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701" w:type="dxa"/>
            <w:vMerge w:val="restart"/>
          </w:tcPr>
          <w:p>
            <w:pPr>
              <w:spacing w:line="360" w:lineRule="auto"/>
              <w:rPr>
                <w:rFonts w:hAnsi="宋体"/>
                <w:sz w:val="24"/>
              </w:rPr>
            </w:pPr>
            <w:r>
              <w:rPr>
                <w:rFonts w:hint="eastAsia" w:hAnsi="宋体"/>
                <w:sz w:val="24"/>
              </w:rPr>
              <w:t>5.2.6条</w:t>
            </w:r>
          </w:p>
        </w:tc>
        <w:tc>
          <w:tcPr>
            <w:tcW w:w="4252" w:type="dxa"/>
            <w:gridSpan w:val="2"/>
          </w:tcPr>
          <w:p>
            <w:pPr>
              <w:spacing w:line="360" w:lineRule="auto"/>
              <w:rPr>
                <w:rFonts w:hAnsi="宋体"/>
                <w:sz w:val="24"/>
              </w:rPr>
            </w:pPr>
            <w:r>
              <w:rPr>
                <w:rFonts w:hint="eastAsia" w:hAnsi="宋体"/>
                <w:sz w:val="24"/>
              </w:rPr>
              <w:t>噪声级达到现</w:t>
            </w:r>
            <w:r>
              <w:rPr>
                <w:rFonts w:hAnsi="宋体"/>
                <w:sz w:val="24"/>
              </w:rPr>
              <w:t>行国家</w:t>
            </w:r>
            <w:r>
              <w:rPr>
                <w:rFonts w:hint="eastAsia" w:hAnsi="宋体"/>
                <w:sz w:val="24"/>
              </w:rPr>
              <w:t>标</w:t>
            </w:r>
            <w:r>
              <w:rPr>
                <w:rFonts w:hAnsi="宋体"/>
                <w:sz w:val="24"/>
              </w:rPr>
              <w:t>准《民用建筑隔声</w:t>
            </w:r>
            <w:r>
              <w:rPr>
                <w:rFonts w:hint="eastAsia" w:hAnsi="宋体"/>
                <w:sz w:val="24"/>
              </w:rPr>
              <w:t>设计规</w:t>
            </w:r>
            <w:r>
              <w:rPr>
                <w:rFonts w:hAnsi="宋体"/>
                <w:sz w:val="24"/>
              </w:rPr>
              <w:t xml:space="preserve">范》GB 50118 </w:t>
            </w:r>
            <w:r>
              <w:rPr>
                <w:rFonts w:hint="eastAsia" w:hAnsi="宋体"/>
                <w:sz w:val="24"/>
              </w:rPr>
              <w:t>中的低限标</w:t>
            </w:r>
            <w:r>
              <w:rPr>
                <w:rFonts w:hAnsi="宋体"/>
                <w:sz w:val="24"/>
              </w:rPr>
              <w:t>准限</w:t>
            </w:r>
            <w:r>
              <w:rPr>
                <w:rFonts w:hint="eastAsia" w:hAnsi="宋体"/>
                <w:sz w:val="24"/>
              </w:rPr>
              <w:t>值</w:t>
            </w:r>
            <w:r>
              <w:rPr>
                <w:rFonts w:hAnsi="宋体"/>
                <w:sz w:val="24"/>
              </w:rPr>
              <w:t>和高要求</w:t>
            </w:r>
            <w:r>
              <w:rPr>
                <w:rFonts w:hint="eastAsia" w:hAnsi="宋体"/>
                <w:sz w:val="24"/>
              </w:rPr>
              <w:t>标</w:t>
            </w:r>
            <w:r>
              <w:rPr>
                <w:rFonts w:hAnsi="宋体"/>
                <w:sz w:val="24"/>
              </w:rPr>
              <w:t>准限</w:t>
            </w:r>
            <w:r>
              <w:rPr>
                <w:rFonts w:hint="eastAsia" w:hAnsi="宋体"/>
                <w:sz w:val="24"/>
              </w:rPr>
              <w:t>值</w:t>
            </w:r>
            <w:r>
              <w:rPr>
                <w:rFonts w:hAnsi="宋体"/>
                <w:sz w:val="24"/>
              </w:rPr>
              <w:t>的平均</w:t>
            </w:r>
            <w:r>
              <w:rPr>
                <w:rFonts w:hint="eastAsia" w:hAnsi="宋体"/>
                <w:sz w:val="24"/>
              </w:rPr>
              <w:t>值</w:t>
            </w:r>
            <w:r>
              <w:rPr>
                <w:rFonts w:hAnsi="宋体"/>
                <w:sz w:val="24"/>
              </w:rPr>
              <w:t>，得</w:t>
            </w:r>
            <w:r>
              <w:rPr>
                <w:rFonts w:hint="eastAsia" w:hAnsi="宋体"/>
                <w:sz w:val="24"/>
              </w:rPr>
              <w:t>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701" w:type="dxa"/>
            <w:vMerge w:val="continue"/>
          </w:tcPr>
          <w:p>
            <w:pPr>
              <w:spacing w:line="360" w:lineRule="auto"/>
              <w:rPr>
                <w:rFonts w:hAnsi="宋体"/>
                <w:sz w:val="24"/>
              </w:rPr>
            </w:pPr>
          </w:p>
        </w:tc>
        <w:tc>
          <w:tcPr>
            <w:tcW w:w="4252" w:type="dxa"/>
            <w:gridSpan w:val="2"/>
          </w:tcPr>
          <w:p>
            <w:pPr>
              <w:spacing w:line="360" w:lineRule="auto"/>
              <w:rPr>
                <w:rFonts w:hAnsi="宋体"/>
                <w:sz w:val="24"/>
              </w:rPr>
            </w:pPr>
            <w:r>
              <w:rPr>
                <w:rFonts w:hint="eastAsia" w:hAnsi="宋体"/>
                <w:sz w:val="24"/>
              </w:rPr>
              <w:t>达到高要求标准限值</w:t>
            </w:r>
            <w:r>
              <w:rPr>
                <w:rFonts w:hAnsi="宋体"/>
                <w:sz w:val="24"/>
              </w:rPr>
              <w:t>，得</w:t>
            </w:r>
            <w:r>
              <w:rPr>
                <w:rFonts w:hint="eastAsia" w:hAnsi="宋体"/>
                <w:sz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701" w:type="dxa"/>
            <w:vMerge w:val="restart"/>
          </w:tcPr>
          <w:p>
            <w:pPr>
              <w:spacing w:line="360" w:lineRule="auto"/>
              <w:rPr>
                <w:rFonts w:hAnsi="宋体"/>
                <w:sz w:val="24"/>
              </w:rPr>
            </w:pPr>
            <w:r>
              <w:rPr>
                <w:rFonts w:hint="eastAsia" w:hAnsi="宋体"/>
                <w:sz w:val="24"/>
              </w:rPr>
              <w:t>5.2.7条</w:t>
            </w:r>
          </w:p>
        </w:tc>
        <w:tc>
          <w:tcPr>
            <w:tcW w:w="1984" w:type="dxa"/>
            <w:vMerge w:val="restart"/>
          </w:tcPr>
          <w:p>
            <w:pPr>
              <w:pStyle w:val="17"/>
              <w:spacing w:line="360" w:lineRule="auto"/>
              <w:rPr>
                <w:rFonts w:hAnsi="宋体"/>
                <w:sz w:val="24"/>
              </w:rPr>
            </w:pPr>
            <w:r>
              <w:rPr>
                <w:rFonts w:hint="eastAsia" w:hAnsi="宋体"/>
                <w:sz w:val="24"/>
              </w:rPr>
              <w:t>构件及相邻房间之间的空气隔声性能达到现行国家标准《民用建筑隔声设计规范》GB50118中的标准限值：</w:t>
            </w:r>
          </w:p>
        </w:tc>
        <w:tc>
          <w:tcPr>
            <w:tcW w:w="2268" w:type="dxa"/>
          </w:tcPr>
          <w:p>
            <w:pPr>
              <w:pStyle w:val="17"/>
              <w:spacing w:line="360" w:lineRule="auto"/>
              <w:rPr>
                <w:rFonts w:hAnsi="宋体"/>
                <w:sz w:val="24"/>
              </w:rPr>
            </w:pPr>
            <w:r>
              <w:rPr>
                <w:rFonts w:hint="eastAsia" w:hAnsi="宋体"/>
                <w:sz w:val="24"/>
              </w:rPr>
              <w:t>低限标准限值和高要求标准限值的平均值，3分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701" w:type="dxa"/>
            <w:vMerge w:val="continue"/>
          </w:tcPr>
          <w:p>
            <w:pPr>
              <w:spacing w:line="360" w:lineRule="auto"/>
              <w:rPr>
                <w:rFonts w:hAnsi="宋体"/>
                <w:sz w:val="24"/>
              </w:rPr>
            </w:pPr>
          </w:p>
        </w:tc>
        <w:tc>
          <w:tcPr>
            <w:tcW w:w="1984" w:type="dxa"/>
            <w:vMerge w:val="continue"/>
          </w:tcPr>
          <w:p>
            <w:pPr>
              <w:spacing w:line="360" w:lineRule="auto"/>
              <w:rPr>
                <w:rFonts w:hAnsi="宋体"/>
                <w:sz w:val="24"/>
              </w:rPr>
            </w:pPr>
          </w:p>
        </w:tc>
        <w:tc>
          <w:tcPr>
            <w:tcW w:w="2268" w:type="dxa"/>
          </w:tcPr>
          <w:p>
            <w:pPr>
              <w:spacing w:line="360" w:lineRule="auto"/>
              <w:rPr>
                <w:rFonts w:hAnsi="宋体"/>
                <w:sz w:val="24"/>
              </w:rPr>
            </w:pPr>
            <w:r>
              <w:rPr>
                <w:rFonts w:hint="eastAsia" w:hAnsi="宋体"/>
                <w:sz w:val="24"/>
              </w:rPr>
              <w:t>高要求标准限值，5分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701" w:type="dxa"/>
            <w:vMerge w:val="continue"/>
          </w:tcPr>
          <w:p>
            <w:pPr>
              <w:spacing w:line="360" w:lineRule="auto"/>
              <w:rPr>
                <w:rFonts w:hAnsi="宋体"/>
                <w:sz w:val="24"/>
              </w:rPr>
            </w:pPr>
          </w:p>
        </w:tc>
        <w:tc>
          <w:tcPr>
            <w:tcW w:w="1984" w:type="dxa"/>
            <w:vMerge w:val="restart"/>
          </w:tcPr>
          <w:p>
            <w:pPr>
              <w:spacing w:line="360" w:lineRule="auto"/>
              <w:rPr>
                <w:rFonts w:hAnsi="宋体"/>
                <w:sz w:val="24"/>
              </w:rPr>
            </w:pPr>
            <w:r>
              <w:rPr>
                <w:rFonts w:hint="eastAsia" w:hAnsi="宋体"/>
                <w:sz w:val="24"/>
              </w:rPr>
              <w:t>楼板的撞击声隔声性能达到现行国家标准《民用建筑隔声设计规范》GB50118中的标准限值：</w:t>
            </w:r>
          </w:p>
        </w:tc>
        <w:tc>
          <w:tcPr>
            <w:tcW w:w="2268" w:type="dxa"/>
          </w:tcPr>
          <w:p>
            <w:pPr>
              <w:spacing w:line="360" w:lineRule="auto"/>
              <w:rPr>
                <w:rFonts w:hAnsi="宋体"/>
                <w:sz w:val="24"/>
              </w:rPr>
            </w:pPr>
            <w:r>
              <w:rPr>
                <w:rFonts w:hint="eastAsia" w:hAnsi="宋体"/>
                <w:sz w:val="24"/>
              </w:rPr>
              <w:t>低限标准限值和高要求标准限值的平均值，3分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701" w:type="dxa"/>
            <w:vMerge w:val="continue"/>
          </w:tcPr>
          <w:p>
            <w:pPr>
              <w:spacing w:line="360" w:lineRule="auto"/>
              <w:rPr>
                <w:rFonts w:hAnsi="宋体"/>
                <w:sz w:val="24"/>
              </w:rPr>
            </w:pPr>
          </w:p>
        </w:tc>
        <w:tc>
          <w:tcPr>
            <w:tcW w:w="1984" w:type="dxa"/>
            <w:vMerge w:val="continue"/>
          </w:tcPr>
          <w:p>
            <w:pPr>
              <w:spacing w:line="360" w:lineRule="auto"/>
              <w:rPr>
                <w:rFonts w:hAnsi="宋体"/>
                <w:sz w:val="24"/>
              </w:rPr>
            </w:pPr>
          </w:p>
        </w:tc>
        <w:tc>
          <w:tcPr>
            <w:tcW w:w="2268" w:type="dxa"/>
          </w:tcPr>
          <w:p>
            <w:pPr>
              <w:spacing w:line="360" w:lineRule="auto"/>
              <w:rPr>
                <w:rFonts w:hAnsi="宋体"/>
                <w:sz w:val="24"/>
              </w:rPr>
            </w:pPr>
            <w:r>
              <w:rPr>
                <w:rFonts w:hint="eastAsia" w:hAnsi="宋体"/>
                <w:sz w:val="24"/>
              </w:rPr>
              <w:t>高要求标准限值，5分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4" w:hRule="atLeast"/>
        </w:trPr>
        <w:tc>
          <w:tcPr>
            <w:tcW w:w="1384" w:type="dxa"/>
            <w:vMerge w:val="continue"/>
          </w:tcPr>
          <w:p>
            <w:pPr>
              <w:spacing w:line="360" w:lineRule="auto"/>
              <w:rPr>
                <w:rFonts w:hAnsi="宋体"/>
                <w:sz w:val="24"/>
              </w:rPr>
            </w:pPr>
          </w:p>
        </w:tc>
        <w:tc>
          <w:tcPr>
            <w:tcW w:w="1843" w:type="dxa"/>
            <w:vMerge w:val="restart"/>
          </w:tcPr>
          <w:p>
            <w:pPr>
              <w:spacing w:line="360" w:lineRule="auto"/>
              <w:rPr>
                <w:rFonts w:hAnsi="宋体"/>
                <w:sz w:val="24"/>
              </w:rPr>
            </w:pPr>
            <w:r>
              <w:rPr>
                <w:rFonts w:hint="eastAsia" w:hAnsi="宋体"/>
                <w:sz w:val="24"/>
              </w:rPr>
              <w:t>DB 33/1092-2021</w:t>
            </w:r>
          </w:p>
        </w:tc>
        <w:tc>
          <w:tcPr>
            <w:tcW w:w="1701" w:type="dxa"/>
          </w:tcPr>
          <w:p>
            <w:pPr>
              <w:spacing w:line="360" w:lineRule="auto"/>
              <w:rPr>
                <w:rFonts w:hAnsi="宋体"/>
                <w:sz w:val="24"/>
              </w:rPr>
            </w:pPr>
            <w:r>
              <w:rPr>
                <w:rFonts w:hAnsi="宋体"/>
                <w:sz w:val="24"/>
              </w:rPr>
              <w:t>5.</w:t>
            </w:r>
            <w:r>
              <w:rPr>
                <w:rFonts w:hint="eastAsia" w:hAnsi="宋体"/>
                <w:sz w:val="24"/>
              </w:rPr>
              <w:t>1</w:t>
            </w:r>
            <w:r>
              <w:rPr>
                <w:rFonts w:hAnsi="宋体"/>
                <w:sz w:val="24"/>
              </w:rPr>
              <w:t>.</w:t>
            </w:r>
            <w:r>
              <w:rPr>
                <w:rFonts w:hint="eastAsia" w:hAnsi="宋体"/>
                <w:sz w:val="24"/>
              </w:rPr>
              <w:t>10条</w:t>
            </w:r>
          </w:p>
        </w:tc>
        <w:tc>
          <w:tcPr>
            <w:tcW w:w="4252" w:type="dxa"/>
            <w:gridSpan w:val="2"/>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5.</w:t>
            </w:r>
            <w:r>
              <w:rPr>
                <w:rFonts w:hAnsi="宋体"/>
                <w:sz w:val="24"/>
              </w:rPr>
              <w:t>2</w:t>
            </w:r>
            <w:r>
              <w:rPr>
                <w:rFonts w:hint="eastAsia" w:hAnsi="宋体"/>
                <w:sz w:val="24"/>
              </w:rPr>
              <w:t>.</w:t>
            </w:r>
            <w:r>
              <w:rPr>
                <w:rFonts w:hAnsi="宋体"/>
                <w:sz w:val="24"/>
              </w:rPr>
              <w:t>21</w:t>
            </w:r>
            <w:r>
              <w:rPr>
                <w:rFonts w:hint="eastAsia" w:hAnsi="宋体"/>
                <w:sz w:val="24"/>
              </w:rPr>
              <w:t>条</w:t>
            </w:r>
          </w:p>
        </w:tc>
        <w:tc>
          <w:tcPr>
            <w:tcW w:w="4252" w:type="dxa"/>
            <w:gridSpan w:val="2"/>
          </w:tcPr>
          <w:p>
            <w:pPr>
              <w:spacing w:line="360" w:lineRule="auto"/>
              <w:rPr>
                <w:rFonts w:hAnsi="宋体"/>
                <w:sz w:val="24"/>
              </w:rPr>
            </w:pPr>
            <w:r>
              <w:rPr>
                <w:rFonts w:hint="eastAsia" w:hAnsi="宋体"/>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5.3.7条</w:t>
            </w:r>
          </w:p>
        </w:tc>
        <w:tc>
          <w:tcPr>
            <w:tcW w:w="4252" w:type="dxa"/>
            <w:gridSpan w:val="2"/>
          </w:tcPr>
          <w:p>
            <w:pPr>
              <w:spacing w:line="360" w:lineRule="auto"/>
              <w:rPr>
                <w:rFonts w:hAnsi="宋体"/>
                <w:sz w:val="24"/>
              </w:rPr>
            </w:pPr>
            <w:r>
              <w:rPr>
                <w:rFonts w:hint="eastAsia" w:hAnsi="宋体"/>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5.4.13条</w:t>
            </w:r>
          </w:p>
        </w:tc>
        <w:tc>
          <w:tcPr>
            <w:tcW w:w="4252" w:type="dxa"/>
            <w:gridSpan w:val="2"/>
          </w:tcPr>
          <w:p>
            <w:pPr>
              <w:spacing w:line="360" w:lineRule="auto"/>
              <w:rPr>
                <w:rFonts w:hAnsi="宋体"/>
                <w:sz w:val="24"/>
              </w:rPr>
            </w:pPr>
            <w:r>
              <w:rPr>
                <w:rFonts w:hint="eastAsia" w:hAnsi="宋体"/>
                <w:sz w:val="24"/>
              </w:rPr>
              <w:t>三星设计要求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4"/>
          </w:tcPr>
          <w:p>
            <w:pPr>
              <w:spacing w:line="360" w:lineRule="auto"/>
              <w:rPr>
                <w:rFonts w:hAnsi="宋体"/>
                <w:sz w:val="24"/>
              </w:rPr>
            </w:pPr>
            <w:r>
              <w:rPr>
                <w:rFonts w:hint="eastAsia" w:hAnsi="宋体"/>
                <w:sz w:val="24"/>
              </w:rPr>
              <w:t xml:space="preserve">    设计人员应根据建筑设计平面图，环评报告室外噪声要求对室内的背景噪声影响（也包括室内噪声源影响）的分析报告，及可能有的声环境专项设计报告上的数据，按照项目实际，来填写此项内容。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1384" w:type="dxa"/>
          </w:tcPr>
          <w:p>
            <w:pPr>
              <w:spacing w:line="360" w:lineRule="auto"/>
              <w:rPr>
                <w:rFonts w:hAnsi="宋体"/>
                <w:sz w:val="24"/>
              </w:rPr>
            </w:pPr>
            <w:r>
              <w:rPr>
                <w:rFonts w:hint="eastAsia" w:hAnsi="宋体"/>
                <w:sz w:val="24"/>
              </w:rPr>
              <w:t>备注</w:t>
            </w:r>
          </w:p>
        </w:tc>
        <w:tc>
          <w:tcPr>
            <w:tcW w:w="7796" w:type="dxa"/>
            <w:gridSpan w:val="4"/>
          </w:tcPr>
          <w:p>
            <w:pPr>
              <w:autoSpaceDE w:val="0"/>
              <w:autoSpaceDN w:val="0"/>
              <w:adjustRightInd w:val="0"/>
              <w:spacing w:line="360" w:lineRule="auto"/>
              <w:ind w:firstLine="420"/>
              <w:jc w:val="left"/>
              <w:rPr>
                <w:rFonts w:hAnsi="宋体"/>
                <w:sz w:val="24"/>
              </w:rPr>
            </w:pPr>
            <w:r>
              <w:rPr>
                <w:rFonts w:hint="eastAsia" w:hAnsi="宋体"/>
                <w:sz w:val="24"/>
              </w:rPr>
              <w:t>本条对</w:t>
            </w:r>
            <w:r>
              <w:rPr>
                <w:rFonts w:hAnsi="宋体"/>
                <w:sz w:val="24"/>
              </w:rPr>
              <w:t>室内噪声</w:t>
            </w:r>
            <w:r>
              <w:rPr>
                <w:rFonts w:hint="eastAsia" w:hAnsi="宋体"/>
                <w:sz w:val="24"/>
              </w:rPr>
              <w:t>级</w:t>
            </w:r>
            <w:r>
              <w:rPr>
                <w:rFonts w:hAnsi="宋体"/>
                <w:sz w:val="24"/>
              </w:rPr>
              <w:t>要求做出了</w:t>
            </w:r>
            <w:r>
              <w:rPr>
                <w:rFonts w:hint="eastAsia" w:hAnsi="宋体"/>
                <w:sz w:val="24"/>
              </w:rPr>
              <w:t>规</w:t>
            </w:r>
            <w:r>
              <w:rPr>
                <w:rFonts w:hAnsi="宋体"/>
                <w:sz w:val="24"/>
              </w:rPr>
              <w:t>定。</w:t>
            </w:r>
          </w:p>
          <w:p>
            <w:pPr>
              <w:autoSpaceDE w:val="0"/>
              <w:autoSpaceDN w:val="0"/>
              <w:adjustRightInd w:val="0"/>
              <w:spacing w:line="360" w:lineRule="auto"/>
              <w:ind w:firstLine="420"/>
              <w:jc w:val="left"/>
              <w:rPr>
                <w:rFonts w:hAnsi="宋体"/>
                <w:sz w:val="24"/>
              </w:rPr>
            </w:pPr>
            <w:r>
              <w:rPr>
                <w:rFonts w:hint="eastAsia" w:hAnsi="宋体"/>
                <w:sz w:val="24"/>
              </w:rPr>
              <w:t>外墙</w:t>
            </w:r>
            <w:r>
              <w:rPr>
                <w:rFonts w:hAnsi="宋体"/>
                <w:sz w:val="24"/>
              </w:rPr>
              <w:t>、隔</w:t>
            </w:r>
            <w:r>
              <w:rPr>
                <w:rFonts w:hint="eastAsia" w:hAnsi="宋体"/>
                <w:sz w:val="24"/>
              </w:rPr>
              <w:t>墙</w:t>
            </w:r>
            <w:r>
              <w:rPr>
                <w:rFonts w:hAnsi="宋体"/>
                <w:sz w:val="24"/>
              </w:rPr>
              <w:t>和</w:t>
            </w:r>
            <w:r>
              <w:rPr>
                <w:rFonts w:hint="eastAsia" w:hAnsi="宋体"/>
                <w:sz w:val="24"/>
              </w:rPr>
              <w:t>门</w:t>
            </w:r>
            <w:r>
              <w:rPr>
                <w:rFonts w:hAnsi="宋体"/>
                <w:sz w:val="24"/>
              </w:rPr>
              <w:t>窗的隔声性能指空气声隔声性能；楼板</w:t>
            </w:r>
            <w:r>
              <w:rPr>
                <w:rFonts w:hint="eastAsia" w:hAnsi="宋体"/>
                <w:sz w:val="24"/>
              </w:rPr>
              <w:t>的隔声性能除了空气声隔声性能之外，还</w:t>
            </w:r>
            <w:r>
              <w:rPr>
                <w:rFonts w:hAnsi="宋体"/>
                <w:sz w:val="24"/>
              </w:rPr>
              <w:t>包括撞</w:t>
            </w:r>
            <w:r>
              <w:rPr>
                <w:rFonts w:hint="eastAsia" w:hAnsi="宋体"/>
                <w:sz w:val="24"/>
              </w:rPr>
              <w:t>击</w:t>
            </w:r>
            <w:r>
              <w:rPr>
                <w:rFonts w:hAnsi="宋体"/>
                <w:sz w:val="24"/>
              </w:rPr>
              <w:t>声隔声性能</w:t>
            </w:r>
            <w:r>
              <w:rPr>
                <w:rFonts w:hint="eastAsia" w:hAnsi="宋体"/>
                <w:sz w:val="24"/>
              </w:rPr>
              <w:t>。</w:t>
            </w:r>
          </w:p>
          <w:p>
            <w:pPr>
              <w:spacing w:line="360" w:lineRule="auto"/>
              <w:ind w:firstLine="480" w:firstLineChars="200"/>
              <w:rPr>
                <w:rFonts w:hAnsi="宋体"/>
                <w:sz w:val="24"/>
              </w:rPr>
            </w:pPr>
            <w:r>
              <w:rPr>
                <w:rFonts w:hint="eastAsia" w:hAnsi="宋体"/>
                <w:sz w:val="24"/>
              </w:rPr>
              <w:t>本条所指的噪声控制对象包括室内自身声源和来自室外的噪声。室内噪声源一般为通风空调设备、日用电器等；室外噪声源则包括来自于建筑其他房间的噪声（如电梯噪声、空调设备噪声等）和来自建筑外部的噪声（如周边交通噪声、社会生活噪声、工业噪声等）。本条所指的低限要求，与国家标准《民用建筑隔声设计规范》</w:t>
            </w:r>
            <w:r>
              <w:rPr>
                <w:rFonts w:hAnsi="宋体"/>
                <w:sz w:val="24"/>
              </w:rPr>
              <w:t xml:space="preserve">GB 50118 </w:t>
            </w:r>
            <w:r>
              <w:rPr>
                <w:rFonts w:hint="eastAsia" w:hAnsi="宋体"/>
                <w:sz w:val="24"/>
              </w:rPr>
              <w:t>中的低限要求规定对应，如该标准中没有明确室内噪声级的低限要求，即对应该标准规定的室内噪声级的最低要求。</w:t>
            </w:r>
          </w:p>
          <w:p>
            <w:pPr>
              <w:spacing w:line="360" w:lineRule="auto"/>
              <w:rPr>
                <w:rFonts w:hAnsi="宋体"/>
                <w:sz w:val="24"/>
              </w:rPr>
            </w:pPr>
            <w:r>
              <w:rPr>
                <w:rFonts w:hint="eastAsia" w:hAnsi="宋体"/>
                <w:sz w:val="24"/>
              </w:rPr>
              <w:t xml:space="preserve">   国家标准《民用建筑隔声设计规范》</w:t>
            </w:r>
            <w:r>
              <w:rPr>
                <w:rFonts w:hAnsi="宋体"/>
                <w:sz w:val="24"/>
              </w:rPr>
              <w:t xml:space="preserve">GB 50118 2010 </w:t>
            </w:r>
            <w:r>
              <w:rPr>
                <w:rFonts w:hint="eastAsia" w:hAnsi="宋体"/>
                <w:sz w:val="24"/>
              </w:rPr>
              <w:t>将住宅、办公、商业、医院等建筑主要功能房间的室内允许噪声级分“低限标准”和“高要求标准”两档列出。对于《民用建筑隔声设计规范》</w:t>
            </w:r>
            <w:r>
              <w:rPr>
                <w:rFonts w:hAnsi="宋体"/>
                <w:sz w:val="24"/>
              </w:rPr>
              <w:t>GB 50118 - 2010</w:t>
            </w:r>
            <w:r>
              <w:rPr>
                <w:rFonts w:hint="eastAsia" w:hAnsi="宋体"/>
                <w:sz w:val="24"/>
              </w:rPr>
              <w:t>一些只有唯一室内噪声级要求的建筑（如学校），本条认定该室内噪声级对应数值为低限标准，而高要求标准则在此基础上降低</w:t>
            </w:r>
            <w:r>
              <w:rPr>
                <w:rFonts w:hAnsi="宋体"/>
                <w:sz w:val="24"/>
              </w:rPr>
              <w:t>5dB</w:t>
            </w:r>
            <w:r>
              <w:rPr>
                <w:rFonts w:hint="eastAsia" w:hAnsi="宋体"/>
                <w:sz w:val="24"/>
              </w:rPr>
              <w:t>（</w:t>
            </w:r>
            <w:r>
              <w:rPr>
                <w:rFonts w:hAnsi="宋体"/>
                <w:sz w:val="24"/>
              </w:rPr>
              <w:t>A</w:t>
            </w:r>
            <w:r>
              <w:rPr>
                <w:rFonts w:hint="eastAsia" w:hAnsi="宋体"/>
                <w:sz w:val="24"/>
              </w:rPr>
              <w:t>）。需要指出，对于不同星级的旅馆建筑，其对应的要求不同，需要一一对应。</w:t>
            </w:r>
          </w:p>
          <w:p>
            <w:pPr>
              <w:spacing w:line="360" w:lineRule="auto"/>
              <w:ind w:firstLine="480" w:firstLineChars="200"/>
              <w:rPr>
                <w:rFonts w:hAnsi="宋体"/>
                <w:sz w:val="24"/>
              </w:rPr>
            </w:pPr>
            <w:r>
              <w:rPr>
                <w:rFonts w:hint="eastAsia" w:hAnsi="宋体"/>
                <w:sz w:val="24"/>
              </w:rPr>
              <w:t xml:space="preserve">本条所指的低限要求，与国家标准《民用建筑隔声设计规范》 </w:t>
            </w:r>
            <w:r>
              <w:rPr>
                <w:rFonts w:hAnsi="宋体"/>
                <w:sz w:val="24"/>
              </w:rPr>
              <w:t xml:space="preserve">GB 50118 </w:t>
            </w:r>
            <w:r>
              <w:rPr>
                <w:rFonts w:hint="eastAsia" w:hAnsi="宋体"/>
                <w:sz w:val="24"/>
              </w:rPr>
              <w:t>中的低限要求规定对应，如该标准中没有明确室内噪声级的低限要求，即对应该标准规定的室内噪声级的最低要求。</w:t>
            </w:r>
          </w:p>
        </w:tc>
      </w:tr>
    </w:tbl>
    <w:p>
      <w:pPr>
        <w:spacing w:line="360" w:lineRule="auto"/>
        <w:rPr>
          <w:rFonts w:hAnsi="宋体"/>
          <w:sz w:val="24"/>
        </w:rPr>
      </w:pPr>
      <w:r>
        <w:rPr>
          <w:rFonts w:hint="eastAsia" w:hAnsi="宋体"/>
          <w:sz w:val="24"/>
        </w:rPr>
        <w:t>6.</w:t>
      </w:r>
      <w:r>
        <w:rPr>
          <w:rFonts w:hAnsi="宋体"/>
          <w:sz w:val="24"/>
        </w:rPr>
        <w:t>2</w:t>
      </w:r>
      <w:r>
        <w:rPr>
          <w:rFonts w:hint="eastAsia" w:hAnsi="宋体"/>
          <w:sz w:val="24"/>
        </w:rPr>
        <w:t>平面布局与技术措施：</w:t>
      </w:r>
    </w:p>
    <w:p>
      <w:pPr>
        <w:pStyle w:val="17"/>
        <w:spacing w:line="360" w:lineRule="auto"/>
        <w:rPr>
          <w:rFonts w:hAnsi="宋体"/>
          <w:sz w:val="24"/>
        </w:rPr>
      </w:pPr>
      <w:r>
        <w:rPr>
          <w:rFonts w:hint="eastAsia" w:hAnsi="宋体"/>
          <w:sz w:val="24"/>
        </w:rPr>
        <w:t>6.2</w:t>
      </w:r>
      <w:r>
        <w:rPr>
          <w:rFonts w:hAnsi="宋体"/>
          <w:sz w:val="24"/>
        </w:rPr>
        <w:t>.1</w:t>
      </w:r>
      <w:r>
        <w:rPr>
          <w:rFonts w:hint="eastAsia" w:hAnsi="宋体"/>
          <w:sz w:val="24"/>
        </w:rPr>
        <w:t>对外部噪声的降噪隔声措施：毗邻城市交通干道的建筑隔声性能，利用设计手段阻隔交通噪声；</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1843"/>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tcPr>
          <w:p>
            <w:pPr>
              <w:spacing w:line="360" w:lineRule="auto"/>
              <w:rPr>
                <w:rFonts w:hAnsi="宋体"/>
                <w:sz w:val="24"/>
              </w:rPr>
            </w:pPr>
            <w:r>
              <w:rPr>
                <w:rFonts w:hint="eastAsia" w:hAnsi="宋体"/>
                <w:sz w:val="24"/>
              </w:rPr>
              <w:t>条文来源</w:t>
            </w:r>
          </w:p>
        </w:tc>
        <w:tc>
          <w:tcPr>
            <w:tcW w:w="2268" w:type="dxa"/>
          </w:tcPr>
          <w:p>
            <w:pPr>
              <w:spacing w:line="360" w:lineRule="auto"/>
              <w:rPr>
                <w:rFonts w:hAnsi="宋体"/>
                <w:sz w:val="24"/>
              </w:rPr>
            </w:pPr>
            <w:r>
              <w:rPr>
                <w:rFonts w:hint="eastAsia" w:hAnsi="宋体"/>
                <w:sz w:val="24"/>
              </w:rPr>
              <w:t>DB 33/1092-2021</w:t>
            </w:r>
          </w:p>
        </w:tc>
        <w:tc>
          <w:tcPr>
            <w:tcW w:w="1843" w:type="dxa"/>
          </w:tcPr>
          <w:p>
            <w:pPr>
              <w:spacing w:line="360" w:lineRule="auto"/>
              <w:rPr>
                <w:rFonts w:hAnsi="宋体"/>
                <w:sz w:val="24"/>
              </w:rPr>
            </w:pPr>
            <w:r>
              <w:rPr>
                <w:rFonts w:hAnsi="宋体"/>
                <w:sz w:val="24"/>
              </w:rPr>
              <w:t>5.2.24</w:t>
            </w:r>
            <w:r>
              <w:rPr>
                <w:rFonts w:hint="eastAsia" w:hAnsi="宋体"/>
                <w:sz w:val="24"/>
              </w:rPr>
              <w:t>条</w:t>
            </w:r>
          </w:p>
        </w:tc>
        <w:tc>
          <w:tcPr>
            <w:tcW w:w="3685" w:type="dxa"/>
          </w:tcPr>
          <w:p>
            <w:pPr>
              <w:spacing w:line="360" w:lineRule="auto"/>
              <w:rPr>
                <w:rFonts w:hAnsi="宋体"/>
                <w:sz w:val="24"/>
              </w:rPr>
            </w:pPr>
            <w:r>
              <w:rPr>
                <w:rFonts w:hint="eastAsia" w:hAnsi="宋体"/>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rPr>
                <w:rFonts w:hAnsi="宋体"/>
                <w:sz w:val="24"/>
              </w:rPr>
            </w:pPr>
            <w:r>
              <w:rPr>
                <w:rFonts w:hint="eastAsia" w:hAnsi="宋体"/>
                <w:sz w:val="24"/>
              </w:rPr>
              <w:t xml:space="preserve">    设计人员应根据建筑设计平面图，环评报告室外噪声要求对室内的背景噪声影响（也包括室内噪声源影响）的分析报告，及可能有的声环境专项设计报告上的数据，按照项目实际，来填写此项内容。</w:t>
            </w:r>
          </w:p>
          <w:p>
            <w:pPr>
              <w:spacing w:line="360" w:lineRule="auto"/>
              <w:rPr>
                <w:rFonts w:hAnsi="宋体"/>
                <w:sz w:val="24"/>
              </w:rPr>
            </w:pPr>
            <w:r>
              <w:rPr>
                <w:rFonts w:hint="eastAsia" w:hAnsi="宋体"/>
                <w:sz w:val="24"/>
              </w:rPr>
              <w:t xml:space="preserve">    选取措施时应有对应的图纸及说明。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cs="HiddenHorzOCR"/>
                <w:kern w:val="0"/>
                <w:sz w:val="24"/>
              </w:rPr>
            </w:pPr>
            <w:r>
              <w:rPr>
                <w:rFonts w:hint="eastAsia" w:hAnsi="宋体"/>
                <w:sz w:val="24"/>
              </w:rPr>
              <w:t>除选</w:t>
            </w:r>
            <w:r>
              <w:rPr>
                <w:rFonts w:hAnsi="宋体"/>
                <w:sz w:val="24"/>
              </w:rPr>
              <w:t>用隔声性能</w:t>
            </w:r>
            <w:r>
              <w:rPr>
                <w:rFonts w:hint="eastAsia" w:hAnsi="宋体"/>
                <w:sz w:val="24"/>
              </w:rPr>
              <w:t>较</w:t>
            </w:r>
            <w:r>
              <w:rPr>
                <w:rFonts w:hAnsi="宋体"/>
                <w:sz w:val="24"/>
              </w:rPr>
              <w:t>好的材料外，</w:t>
            </w:r>
            <w:r>
              <w:rPr>
                <w:rFonts w:hint="eastAsia" w:hAnsi="宋体"/>
                <w:sz w:val="24"/>
              </w:rPr>
              <w:t>还</w:t>
            </w:r>
            <w:r>
              <w:rPr>
                <w:rFonts w:hAnsi="宋体"/>
                <w:sz w:val="24"/>
              </w:rPr>
              <w:t>可使用阳台板、广告牌等</w:t>
            </w:r>
            <w:r>
              <w:rPr>
                <w:rFonts w:hint="eastAsia" w:hAnsi="宋体"/>
                <w:sz w:val="24"/>
              </w:rPr>
              <w:t>隔声屏障阻隔交通噪声。宜将走廊、卫</w:t>
            </w:r>
            <w:r>
              <w:rPr>
                <w:rFonts w:hAnsi="宋体"/>
                <w:sz w:val="24"/>
              </w:rPr>
              <w:t>生</w:t>
            </w:r>
            <w:r>
              <w:rPr>
                <w:rFonts w:hint="eastAsia" w:hAnsi="宋体"/>
                <w:sz w:val="24"/>
              </w:rPr>
              <w:t>间</w:t>
            </w:r>
            <w:r>
              <w:rPr>
                <w:rFonts w:hAnsi="宋体"/>
                <w:sz w:val="24"/>
              </w:rPr>
              <w:t>等</w:t>
            </w:r>
            <w:r>
              <w:rPr>
                <w:rFonts w:hint="eastAsia" w:hAnsi="宋体"/>
                <w:sz w:val="24"/>
              </w:rPr>
              <w:t>辅</w:t>
            </w:r>
            <w:r>
              <w:rPr>
                <w:rFonts w:hAnsi="宋体"/>
                <w:sz w:val="24"/>
              </w:rPr>
              <w:t>助用房</w:t>
            </w:r>
            <w:r>
              <w:rPr>
                <w:rFonts w:hint="eastAsia" w:hAnsi="宋体"/>
                <w:sz w:val="24"/>
              </w:rPr>
              <w:t>设</w:t>
            </w:r>
            <w:r>
              <w:rPr>
                <w:rFonts w:hAnsi="宋体"/>
                <w:sz w:val="24"/>
              </w:rPr>
              <w:t>于毗</w:t>
            </w:r>
            <w:r>
              <w:rPr>
                <w:rFonts w:hint="eastAsia" w:hAnsi="宋体"/>
                <w:sz w:val="24"/>
              </w:rPr>
              <w:t>邻干道一侧</w:t>
            </w:r>
            <w:r>
              <w:rPr>
                <w:rFonts w:hAnsi="宋体"/>
                <w:sz w:val="24"/>
              </w:rPr>
              <w:t>；可使用声屏障等</w:t>
            </w:r>
            <w:r>
              <w:rPr>
                <w:rFonts w:hint="eastAsia" w:hAnsi="宋体"/>
                <w:sz w:val="24"/>
              </w:rPr>
              <w:t>设</w:t>
            </w:r>
            <w:r>
              <w:rPr>
                <w:rFonts w:hAnsi="宋体"/>
                <w:sz w:val="24"/>
              </w:rPr>
              <w:t>施来阻隔交通噪声；也可以通</w:t>
            </w:r>
            <w:r>
              <w:rPr>
                <w:rFonts w:hint="eastAsia" w:hAnsi="宋体"/>
                <w:sz w:val="24"/>
              </w:rPr>
              <w:t>过绿化植物的遮挡</w:t>
            </w:r>
            <w:r>
              <w:rPr>
                <w:rFonts w:hAnsi="宋体"/>
                <w:sz w:val="24"/>
              </w:rPr>
              <w:t>，减少</w:t>
            </w:r>
            <w:r>
              <w:rPr>
                <w:rFonts w:hint="eastAsia" w:hAnsi="宋体"/>
                <w:sz w:val="24"/>
              </w:rPr>
              <w:t>对</w:t>
            </w:r>
            <w:r>
              <w:rPr>
                <w:rFonts w:hAnsi="宋体"/>
                <w:sz w:val="24"/>
              </w:rPr>
              <w:t>建筑的噪声干</w:t>
            </w:r>
            <w:r>
              <w:rPr>
                <w:rFonts w:hint="eastAsia" w:hAnsi="宋体"/>
                <w:sz w:val="24"/>
              </w:rPr>
              <w:t>扰。</w:t>
            </w:r>
          </w:p>
        </w:tc>
      </w:tr>
    </w:tbl>
    <w:p>
      <w:pPr>
        <w:spacing w:line="360" w:lineRule="auto"/>
        <w:rPr>
          <w:rFonts w:hAnsi="宋体"/>
          <w:sz w:val="24"/>
        </w:rPr>
      </w:pPr>
      <w:r>
        <w:rPr>
          <w:rFonts w:hint="eastAsia" w:hAnsi="宋体"/>
          <w:sz w:val="24"/>
        </w:rPr>
        <w:t>6.</w:t>
      </w:r>
      <w:r>
        <w:rPr>
          <w:rFonts w:hAnsi="宋体"/>
          <w:sz w:val="24"/>
        </w:rPr>
        <w:t>2</w:t>
      </w:r>
      <w:r>
        <w:rPr>
          <w:rFonts w:hint="eastAsia" w:hAnsi="宋体"/>
          <w:sz w:val="24"/>
        </w:rPr>
        <w:t>.</w:t>
      </w:r>
      <w:r>
        <w:rPr>
          <w:rFonts w:hAnsi="宋体"/>
          <w:sz w:val="24"/>
        </w:rPr>
        <w:t>2</w:t>
      </w:r>
      <w:r>
        <w:rPr>
          <w:rFonts w:hint="eastAsia" w:hAnsi="宋体"/>
          <w:sz w:val="24"/>
        </w:rPr>
        <w:t>建筑平面、空间布局合理，没有明显的噪声干扰；</w:t>
      </w:r>
    </w:p>
    <w:p>
      <w:pPr>
        <w:spacing w:line="360" w:lineRule="auto"/>
        <w:rPr>
          <w:rFonts w:hAnsi="宋体"/>
          <w:sz w:val="24"/>
        </w:rPr>
      </w:pPr>
      <w:r>
        <w:rPr>
          <w:rFonts w:hint="eastAsia" w:hAnsi="宋体"/>
          <w:sz w:val="24"/>
        </w:rPr>
        <w:t>6.</w:t>
      </w:r>
      <w:r>
        <w:rPr>
          <w:rFonts w:hAnsi="宋体"/>
          <w:sz w:val="24"/>
        </w:rPr>
        <w:t>2</w:t>
      </w:r>
      <w:r>
        <w:rPr>
          <w:rFonts w:hint="eastAsia" w:hAnsi="宋体"/>
          <w:sz w:val="24"/>
        </w:rPr>
        <w:t>.</w:t>
      </w:r>
      <w:r>
        <w:rPr>
          <w:rFonts w:hAnsi="宋体"/>
          <w:sz w:val="24"/>
        </w:rPr>
        <w:t>3</w:t>
      </w:r>
      <w:r>
        <w:rPr>
          <w:rFonts w:hint="eastAsia" w:hAnsi="宋体"/>
          <w:sz w:val="24"/>
        </w:rPr>
        <w:t>产生较大噪声的设备机房等噪声源空间集中布置，并远离工作、休息等对声环境要求高的房间，（受条件限制而紧邻布置时，采用有效的隔声和减振措施）；</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8"/>
        <w:gridCol w:w="1984"/>
        <w:gridCol w:w="1701"/>
        <w:gridCol w:w="38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668" w:type="dxa"/>
          </w:tcPr>
          <w:p>
            <w:pPr>
              <w:spacing w:line="360" w:lineRule="auto"/>
              <w:rPr>
                <w:rFonts w:hAnsi="宋体"/>
                <w:sz w:val="24"/>
              </w:rPr>
            </w:pPr>
            <w:r>
              <w:rPr>
                <w:rFonts w:hint="eastAsia" w:hAnsi="宋体"/>
                <w:sz w:val="24"/>
              </w:rPr>
              <w:t>6.3.1~6.3.2</w:t>
            </w:r>
          </w:p>
          <w:p>
            <w:pPr>
              <w:spacing w:line="360" w:lineRule="auto"/>
              <w:rPr>
                <w:rFonts w:hAnsi="宋体"/>
                <w:sz w:val="24"/>
              </w:rPr>
            </w:pPr>
            <w:r>
              <w:rPr>
                <w:rFonts w:hint="eastAsia" w:hAnsi="宋体"/>
                <w:sz w:val="24"/>
              </w:rPr>
              <w:t>条文来源</w:t>
            </w:r>
          </w:p>
        </w:tc>
        <w:tc>
          <w:tcPr>
            <w:tcW w:w="1984" w:type="dxa"/>
          </w:tcPr>
          <w:p>
            <w:pPr>
              <w:spacing w:line="360" w:lineRule="auto"/>
              <w:rPr>
                <w:rFonts w:hAnsi="宋体"/>
                <w:sz w:val="24"/>
              </w:rPr>
            </w:pPr>
            <w:r>
              <w:rPr>
                <w:rFonts w:hint="eastAsia" w:hAnsi="宋体"/>
                <w:sz w:val="24"/>
              </w:rPr>
              <w:t>DB 33/1092-2021</w:t>
            </w:r>
          </w:p>
        </w:tc>
        <w:tc>
          <w:tcPr>
            <w:tcW w:w="1701" w:type="dxa"/>
          </w:tcPr>
          <w:p>
            <w:pPr>
              <w:spacing w:line="360" w:lineRule="auto"/>
              <w:rPr>
                <w:rFonts w:hAnsi="宋体"/>
                <w:sz w:val="24"/>
              </w:rPr>
            </w:pPr>
            <w:r>
              <w:rPr>
                <w:rFonts w:hint="eastAsia" w:hAnsi="宋体"/>
                <w:sz w:val="24"/>
              </w:rPr>
              <w:t>5.2.2条</w:t>
            </w:r>
          </w:p>
        </w:tc>
        <w:tc>
          <w:tcPr>
            <w:tcW w:w="3827" w:type="dxa"/>
          </w:tcPr>
          <w:p>
            <w:pPr>
              <w:spacing w:line="360" w:lineRule="auto"/>
              <w:rPr>
                <w:rFonts w:hAnsi="宋体"/>
                <w:sz w:val="24"/>
              </w:rPr>
            </w:pPr>
            <w:r>
              <w:rPr>
                <w:rFonts w:hint="eastAsia" w:hAnsi="宋体"/>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tcPr>
          <w:p>
            <w:pPr>
              <w:spacing w:line="360" w:lineRule="auto"/>
              <w:rPr>
                <w:rFonts w:hAnsi="宋体"/>
                <w:sz w:val="24"/>
              </w:rPr>
            </w:pPr>
            <w:r>
              <w:rPr>
                <w:rFonts w:hint="eastAsia" w:hAnsi="宋体"/>
                <w:sz w:val="24"/>
              </w:rPr>
              <w:t>依据材料</w:t>
            </w:r>
          </w:p>
        </w:tc>
        <w:tc>
          <w:tcPr>
            <w:tcW w:w="7512" w:type="dxa"/>
            <w:gridSpan w:val="3"/>
          </w:tcPr>
          <w:p>
            <w:pPr>
              <w:spacing w:line="360" w:lineRule="auto"/>
              <w:ind w:firstLine="480" w:firstLineChars="200"/>
              <w:rPr>
                <w:rFonts w:hAnsi="宋体"/>
                <w:sz w:val="24"/>
              </w:rPr>
            </w:pPr>
            <w:r>
              <w:rPr>
                <w:rFonts w:hint="eastAsia" w:hAnsi="宋体"/>
                <w:sz w:val="24"/>
              </w:rPr>
              <w:t>设计人员应根据建筑设计平面图，环评报告室外噪声要求对室内的背景噪声影响（也包括室内噪声源影响）的分析报告，及可能有的声环境专项设计报告上的数据，按照项目实际，来填写此项内容。</w:t>
            </w:r>
          </w:p>
          <w:p>
            <w:pPr>
              <w:spacing w:line="360" w:lineRule="auto"/>
              <w:ind w:firstLine="480" w:firstLineChars="200"/>
              <w:rPr>
                <w:rFonts w:hAnsi="宋体"/>
                <w:sz w:val="24"/>
              </w:rPr>
            </w:pPr>
            <w:r>
              <w:rPr>
                <w:rFonts w:hint="eastAsia" w:hAnsi="宋体"/>
                <w:sz w:val="24"/>
              </w:rPr>
              <w:t>选取措施时应有对应的图纸及说明。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tcPr>
          <w:p>
            <w:pPr>
              <w:spacing w:line="360" w:lineRule="auto"/>
              <w:rPr>
                <w:rFonts w:hAnsi="宋体"/>
                <w:sz w:val="24"/>
              </w:rPr>
            </w:pPr>
            <w:r>
              <w:rPr>
                <w:rFonts w:hint="eastAsia" w:hAnsi="宋体"/>
                <w:sz w:val="24"/>
              </w:rPr>
              <w:t>备注</w:t>
            </w:r>
          </w:p>
        </w:tc>
        <w:tc>
          <w:tcPr>
            <w:tcW w:w="7512" w:type="dxa"/>
            <w:gridSpan w:val="3"/>
          </w:tcPr>
          <w:p>
            <w:pPr>
              <w:spacing w:line="360" w:lineRule="auto"/>
              <w:ind w:firstLine="480" w:firstLineChars="200"/>
              <w:rPr>
                <w:rFonts w:hAnsi="宋体"/>
                <w:sz w:val="24"/>
              </w:rPr>
            </w:pPr>
            <w:r>
              <w:rPr>
                <w:rFonts w:hint="eastAsia" w:hAnsi="宋体"/>
                <w:sz w:val="24"/>
              </w:rPr>
              <w:t>有噪声、振动、电磁辐射和空气污染等房间，如水泵房、空调机房、发电机房、设备机房和停车库，宜远离住宅、宿舍、办公室等人员长期居住或工作的房间或场所布置。当受条件限制无法避开时，应采取隔声降噪、减振、电磁屏蔽、通风等措施。条件许可时，宜将该类房间设置在地下。</w:t>
            </w:r>
          </w:p>
        </w:tc>
      </w:tr>
    </w:tbl>
    <w:p>
      <w:pPr>
        <w:spacing w:line="360" w:lineRule="auto"/>
        <w:rPr>
          <w:rFonts w:hAnsi="宋体"/>
          <w:sz w:val="24"/>
        </w:rPr>
      </w:pPr>
      <w:r>
        <w:rPr>
          <w:rFonts w:hint="eastAsia" w:hAnsi="宋体"/>
          <w:sz w:val="24"/>
        </w:rPr>
        <w:t>6.</w:t>
      </w:r>
      <w:r>
        <w:rPr>
          <w:rFonts w:hAnsi="宋体"/>
          <w:sz w:val="24"/>
        </w:rPr>
        <w:t>2</w:t>
      </w:r>
      <w:r>
        <w:rPr>
          <w:rFonts w:hint="eastAsia" w:hAnsi="宋体"/>
          <w:sz w:val="24"/>
        </w:rPr>
        <w:t>.</w:t>
      </w:r>
      <w:r>
        <w:rPr>
          <w:rFonts w:hAnsi="宋体"/>
          <w:sz w:val="24"/>
        </w:rPr>
        <w:t>4</w:t>
      </w:r>
      <w:r>
        <w:rPr>
          <w:rFonts w:hint="eastAsia" w:hAnsi="宋体"/>
          <w:sz w:val="24"/>
        </w:rPr>
        <w:t>噪声源的位置布局；</w:t>
      </w:r>
    </w:p>
    <w:p>
      <w:pPr>
        <w:spacing w:line="360" w:lineRule="auto"/>
        <w:rPr>
          <w:rFonts w:hAnsi="宋体"/>
          <w:sz w:val="24"/>
        </w:rPr>
      </w:pPr>
      <w:r>
        <w:rPr>
          <w:rFonts w:hint="eastAsia" w:hAnsi="宋体"/>
          <w:sz w:val="24"/>
        </w:rPr>
        <w:t>6.</w:t>
      </w:r>
      <w:r>
        <w:rPr>
          <w:rFonts w:hAnsi="宋体"/>
          <w:sz w:val="24"/>
        </w:rPr>
        <w:t>2</w:t>
      </w:r>
      <w:r>
        <w:rPr>
          <w:rFonts w:hint="eastAsia" w:hAnsi="宋体"/>
          <w:sz w:val="24"/>
        </w:rPr>
        <w:t>.</w:t>
      </w:r>
      <w:r>
        <w:rPr>
          <w:rFonts w:hAnsi="宋体"/>
          <w:sz w:val="24"/>
        </w:rPr>
        <w:t>5</w:t>
      </w:r>
      <w:r>
        <w:rPr>
          <w:rFonts w:hint="eastAsia" w:hAnsi="宋体"/>
          <w:sz w:val="24"/>
        </w:rPr>
        <w:t>电梯布置；</w:t>
      </w:r>
    </w:p>
    <w:p>
      <w:pPr>
        <w:spacing w:line="360" w:lineRule="auto"/>
        <w:rPr>
          <w:rFonts w:hAnsi="宋体"/>
          <w:sz w:val="24"/>
        </w:rPr>
      </w:pPr>
      <w:r>
        <w:rPr>
          <w:rFonts w:hint="eastAsia" w:hAnsi="宋体"/>
          <w:sz w:val="24"/>
        </w:rPr>
        <w:t>6.</w:t>
      </w:r>
      <w:r>
        <w:rPr>
          <w:rFonts w:hAnsi="宋体"/>
          <w:sz w:val="24"/>
        </w:rPr>
        <w:t>2</w:t>
      </w:r>
      <w:r>
        <w:rPr>
          <w:rFonts w:hint="eastAsia" w:hAnsi="宋体"/>
          <w:sz w:val="24"/>
        </w:rPr>
        <w:t>.</w:t>
      </w:r>
      <w:r>
        <w:rPr>
          <w:rFonts w:hAnsi="宋体"/>
          <w:sz w:val="24"/>
        </w:rPr>
        <w:t>6</w:t>
      </w:r>
      <w:r>
        <w:rPr>
          <w:rFonts w:hint="eastAsia" w:hAnsi="宋体"/>
          <w:sz w:val="24"/>
        </w:rPr>
        <w:t>产生较大噪声的设备机房、管井等噪声源空间的设计；</w:t>
      </w:r>
      <w:r>
        <w:rPr>
          <w:rFonts w:hAnsi="宋体"/>
          <w:sz w:val="24"/>
        </w:rPr>
        <w:t xml:space="preserve"> </w:t>
      </w:r>
    </w:p>
    <w:p>
      <w:pPr>
        <w:spacing w:line="360" w:lineRule="auto"/>
        <w:rPr>
          <w:rFonts w:hAnsi="宋体"/>
          <w:sz w:val="24"/>
        </w:rPr>
      </w:pPr>
      <w:r>
        <w:rPr>
          <w:rFonts w:hint="eastAsia" w:hAnsi="宋体"/>
          <w:sz w:val="24"/>
        </w:rPr>
        <w:t>6.</w:t>
      </w:r>
      <w:r>
        <w:rPr>
          <w:rFonts w:hAnsi="宋体"/>
          <w:sz w:val="24"/>
        </w:rPr>
        <w:t>2</w:t>
      </w:r>
      <w:r>
        <w:rPr>
          <w:rFonts w:hint="eastAsia" w:hAnsi="宋体"/>
          <w:sz w:val="24"/>
        </w:rPr>
        <w:t>.</w:t>
      </w:r>
      <w:r>
        <w:rPr>
          <w:rFonts w:hAnsi="宋体"/>
          <w:sz w:val="24"/>
        </w:rPr>
        <w:t>7</w:t>
      </w:r>
      <w:r>
        <w:rPr>
          <w:rFonts w:hint="eastAsia" w:hAnsi="宋体"/>
          <w:sz w:val="24"/>
        </w:rPr>
        <w:t>空调机房、通风机房、发电机房、水泵房、电梯机房等产生噪声的设备用房及电梯井道、设备管道，采取下列吸声和隔声措施；</w:t>
      </w:r>
    </w:p>
    <w:p>
      <w:pPr>
        <w:spacing w:line="360" w:lineRule="auto"/>
        <w:rPr>
          <w:rFonts w:hAnsi="宋体"/>
          <w:sz w:val="24"/>
        </w:rPr>
      </w:pPr>
      <w:r>
        <w:rPr>
          <w:rFonts w:hint="eastAsia" w:hAnsi="宋体"/>
          <w:sz w:val="24"/>
        </w:rPr>
        <w:t>6.</w:t>
      </w:r>
      <w:r>
        <w:rPr>
          <w:rFonts w:hAnsi="宋体"/>
          <w:sz w:val="24"/>
        </w:rPr>
        <w:t>2</w:t>
      </w:r>
      <w:r>
        <w:rPr>
          <w:rFonts w:hint="eastAsia" w:hAnsi="宋体"/>
          <w:sz w:val="24"/>
        </w:rPr>
        <w:t>.</w:t>
      </w:r>
      <w:r>
        <w:rPr>
          <w:rFonts w:hAnsi="宋体"/>
          <w:sz w:val="24"/>
        </w:rPr>
        <w:t>8</w:t>
      </w:r>
      <w:r>
        <w:rPr>
          <w:rFonts w:hint="eastAsia" w:hAnsi="宋体"/>
          <w:sz w:val="24"/>
        </w:rPr>
        <w:t>建筑采用轻型屋盖时，屋面采用铺设阻尼材料、设置吊顶等措施防止雨噪声：</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1418"/>
        <w:gridCol w:w="42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restart"/>
          </w:tcPr>
          <w:p>
            <w:pPr>
              <w:spacing w:line="360" w:lineRule="auto"/>
              <w:rPr>
                <w:rFonts w:hAnsi="宋体"/>
                <w:sz w:val="24"/>
              </w:rPr>
            </w:pPr>
            <w:r>
              <w:rPr>
                <w:rFonts w:hint="eastAsia" w:hAnsi="宋体"/>
                <w:sz w:val="24"/>
              </w:rPr>
              <w:t>条文来源</w:t>
            </w:r>
          </w:p>
        </w:tc>
        <w:tc>
          <w:tcPr>
            <w:tcW w:w="2126" w:type="dxa"/>
            <w:vMerge w:val="restart"/>
          </w:tcPr>
          <w:p>
            <w:pPr>
              <w:spacing w:line="360" w:lineRule="auto"/>
              <w:rPr>
                <w:rFonts w:hAnsi="宋体"/>
                <w:sz w:val="24"/>
              </w:rPr>
            </w:pPr>
            <w:r>
              <w:rPr>
                <w:rFonts w:hint="eastAsia" w:hAnsi="宋体"/>
                <w:sz w:val="24"/>
              </w:rPr>
              <w:t>DB 33/1092-2021</w:t>
            </w:r>
          </w:p>
        </w:tc>
        <w:tc>
          <w:tcPr>
            <w:tcW w:w="1418" w:type="dxa"/>
          </w:tcPr>
          <w:p>
            <w:pPr>
              <w:spacing w:line="360" w:lineRule="auto"/>
              <w:rPr>
                <w:rFonts w:hAnsi="宋体"/>
                <w:strike/>
                <w:sz w:val="24"/>
              </w:rPr>
            </w:pPr>
            <w:r>
              <w:rPr>
                <w:rFonts w:hint="eastAsia" w:hAnsi="宋体"/>
                <w:sz w:val="24"/>
              </w:rPr>
              <w:t>5.2.22条</w:t>
            </w:r>
          </w:p>
        </w:tc>
        <w:tc>
          <w:tcPr>
            <w:tcW w:w="4252" w:type="dxa"/>
            <w:vMerge w:val="restart"/>
          </w:tcPr>
          <w:p>
            <w:pPr>
              <w:spacing w:line="360" w:lineRule="auto"/>
              <w:rPr>
                <w:rFonts w:hAnsi="宋体"/>
                <w:sz w:val="24"/>
              </w:rPr>
            </w:pPr>
            <w:r>
              <w:rPr>
                <w:rFonts w:hint="eastAsia" w:hAnsi="宋体"/>
                <w:sz w:val="24"/>
              </w:rPr>
              <w:t>一星设计要求</w:t>
            </w:r>
          </w:p>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126" w:type="dxa"/>
            <w:vMerge w:val="continue"/>
          </w:tcPr>
          <w:p>
            <w:pPr>
              <w:spacing w:line="360" w:lineRule="auto"/>
              <w:rPr>
                <w:rFonts w:hAnsi="宋体"/>
                <w:sz w:val="24"/>
              </w:rPr>
            </w:pPr>
          </w:p>
        </w:tc>
        <w:tc>
          <w:tcPr>
            <w:tcW w:w="1418" w:type="dxa"/>
          </w:tcPr>
          <w:p>
            <w:pPr>
              <w:spacing w:line="360" w:lineRule="auto"/>
              <w:rPr>
                <w:rFonts w:hAnsi="宋体"/>
                <w:sz w:val="24"/>
              </w:rPr>
            </w:pPr>
            <w:r>
              <w:rPr>
                <w:rFonts w:hint="eastAsia" w:hAnsi="宋体"/>
                <w:sz w:val="24"/>
              </w:rPr>
              <w:t>5.2.23条</w:t>
            </w:r>
          </w:p>
        </w:tc>
        <w:tc>
          <w:tcPr>
            <w:tcW w:w="4252" w:type="dxa"/>
            <w:vMerge w:val="continue"/>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126" w:type="dxa"/>
            <w:vMerge w:val="continue"/>
          </w:tcPr>
          <w:p>
            <w:pPr>
              <w:spacing w:line="360" w:lineRule="auto"/>
              <w:rPr>
                <w:rFonts w:hAnsi="宋体"/>
                <w:sz w:val="24"/>
              </w:rPr>
            </w:pPr>
          </w:p>
        </w:tc>
        <w:tc>
          <w:tcPr>
            <w:tcW w:w="1418" w:type="dxa"/>
          </w:tcPr>
          <w:p>
            <w:pPr>
              <w:spacing w:line="360" w:lineRule="auto"/>
              <w:rPr>
                <w:rFonts w:hAnsi="宋体"/>
                <w:sz w:val="24"/>
              </w:rPr>
            </w:pPr>
            <w:r>
              <w:rPr>
                <w:rFonts w:hint="eastAsia" w:hAnsi="宋体"/>
                <w:sz w:val="24"/>
              </w:rPr>
              <w:t>5.2.26条</w:t>
            </w:r>
          </w:p>
        </w:tc>
        <w:tc>
          <w:tcPr>
            <w:tcW w:w="4252" w:type="dxa"/>
            <w:vMerge w:val="continue"/>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 w:hRule="atLeast"/>
        </w:trPr>
        <w:tc>
          <w:tcPr>
            <w:tcW w:w="1384" w:type="dxa"/>
            <w:vMerge w:val="continue"/>
          </w:tcPr>
          <w:p>
            <w:pPr>
              <w:spacing w:line="360" w:lineRule="auto"/>
              <w:rPr>
                <w:rFonts w:hAnsi="宋体"/>
                <w:sz w:val="24"/>
              </w:rPr>
            </w:pPr>
          </w:p>
        </w:tc>
        <w:tc>
          <w:tcPr>
            <w:tcW w:w="2126" w:type="dxa"/>
            <w:vMerge w:val="continue"/>
          </w:tcPr>
          <w:p>
            <w:pPr>
              <w:spacing w:line="360" w:lineRule="auto"/>
              <w:rPr>
                <w:rFonts w:hAnsi="宋体"/>
                <w:sz w:val="24"/>
              </w:rPr>
            </w:pPr>
          </w:p>
        </w:tc>
        <w:tc>
          <w:tcPr>
            <w:tcW w:w="1418" w:type="dxa"/>
          </w:tcPr>
          <w:p>
            <w:pPr>
              <w:spacing w:line="360" w:lineRule="auto"/>
              <w:rPr>
                <w:rFonts w:hAnsi="宋体"/>
                <w:sz w:val="24"/>
              </w:rPr>
            </w:pPr>
            <w:r>
              <w:rPr>
                <w:rFonts w:hint="eastAsia" w:hAnsi="宋体"/>
                <w:sz w:val="24"/>
              </w:rPr>
              <w:t>5.4.14条</w:t>
            </w:r>
          </w:p>
        </w:tc>
        <w:tc>
          <w:tcPr>
            <w:tcW w:w="4252" w:type="dxa"/>
          </w:tcPr>
          <w:p>
            <w:pPr>
              <w:spacing w:line="360" w:lineRule="auto"/>
              <w:rPr>
                <w:rFonts w:hAnsi="宋体"/>
                <w:sz w:val="24"/>
              </w:rPr>
            </w:pPr>
            <w:r>
              <w:rPr>
                <w:rFonts w:hint="eastAsia" w:hAnsi="宋体"/>
                <w:sz w:val="24"/>
              </w:rPr>
              <w:t>三星设计要求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ind w:firstLine="480" w:firstLineChars="200"/>
              <w:jc w:val="left"/>
              <w:rPr>
                <w:rFonts w:hAnsi="宋体"/>
                <w:sz w:val="24"/>
              </w:rPr>
            </w:pPr>
            <w:r>
              <w:rPr>
                <w:rFonts w:hint="eastAsia" w:hAnsi="宋体"/>
                <w:sz w:val="24"/>
              </w:rPr>
              <w:t>设计人员应根据建筑设计平面图，环评报告室外噪声要求对室内的背景噪声影响（也包括室内噪声源影响）的分析报告，及可能有的声环境专项设计报告上的数据，按照项目实际，来填写此项内容。</w:t>
            </w:r>
          </w:p>
          <w:p>
            <w:pPr>
              <w:spacing w:line="360" w:lineRule="auto"/>
              <w:ind w:firstLine="480" w:firstLineChars="200"/>
              <w:jc w:val="left"/>
              <w:rPr>
                <w:rFonts w:hAnsi="宋体"/>
                <w:sz w:val="24"/>
              </w:rPr>
            </w:pPr>
            <w:r>
              <w:rPr>
                <w:rFonts w:hint="eastAsia" w:hAnsi="宋体"/>
                <w:sz w:val="24"/>
              </w:rPr>
              <w:t>选取措施时应有对应的图纸及说明。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int="eastAsia" w:hAnsi="宋体"/>
                <w:sz w:val="24"/>
              </w:rPr>
              <w:t>解决民用建筑内的噪声干扰问题首先应从规划设计、单体建筑内的平面布置考虑。这就要求合理安排建筑平面和空间功能，并在设备系统设计时就考虑其噪声与振动控制措施。变配电房、水泵房等设备用房的位置不应放在住宅或重要房间的正下方或正上方。给水加压、循环冷却等设备不得设置在居住用房的上层、下层和贴邻的房间内。</w:t>
            </w:r>
          </w:p>
          <w:p>
            <w:pPr>
              <w:spacing w:line="360" w:lineRule="auto"/>
              <w:ind w:firstLine="480" w:firstLineChars="200"/>
              <w:rPr>
                <w:rFonts w:hAnsi="宋体"/>
                <w:sz w:val="24"/>
              </w:rPr>
            </w:pPr>
            <w:r>
              <w:rPr>
                <w:rFonts w:hint="eastAsia" w:hAnsi="宋体"/>
                <w:sz w:val="24"/>
              </w:rPr>
              <w:t>电梯等设备运行会产生噪声和振动，为了防止噪声和振动干扰有安静要求的房间。不得不紧邻起届室布置时．必须采取相应的技术措施。例如选用低噪声电梯、提高电梯井壁的隔声性能、在电梯轨道和井壁之间设置减振装置、将电梯井与居室在结构上脱开等。电梯噪声对相邻房间的影响可以通过一系列的措施缓解，机房和井道之间可设置隔声层，来隔离机房设备通过井道向下部相邻房间传递噪声。井道与相邻房间可设置隔声墙，或在井道内做吸声构造，隔绝井道内的噪声。</w:t>
            </w:r>
          </w:p>
        </w:tc>
      </w:tr>
    </w:tbl>
    <w:p>
      <w:pPr>
        <w:spacing w:line="360" w:lineRule="auto"/>
        <w:ind w:firstLine="240" w:firstLineChars="100"/>
        <w:rPr>
          <w:rFonts w:hAnsi="宋体"/>
          <w:sz w:val="24"/>
        </w:rPr>
      </w:pPr>
    </w:p>
    <w:p>
      <w:pPr>
        <w:pStyle w:val="17"/>
        <w:spacing w:line="360" w:lineRule="auto"/>
        <w:rPr>
          <w:rFonts w:hAnsi="宋体"/>
          <w:b/>
          <w:sz w:val="24"/>
        </w:rPr>
      </w:pPr>
      <w:r>
        <w:rPr>
          <w:rFonts w:hint="eastAsia" w:hAnsi="宋体"/>
          <w:b/>
          <w:sz w:val="24"/>
        </w:rPr>
        <w:t>7</w:t>
      </w:r>
      <w:r>
        <w:rPr>
          <w:rFonts w:hAnsi="宋体"/>
          <w:b/>
          <w:sz w:val="24"/>
        </w:rPr>
        <w:t>. 室内空气质量</w:t>
      </w:r>
      <w:r>
        <w:rPr>
          <w:rFonts w:hint="eastAsia" w:hAnsi="宋体"/>
          <w:b/>
          <w:sz w:val="24"/>
        </w:rPr>
        <w:t>主要控制措施：</w:t>
      </w:r>
    </w:p>
    <w:p>
      <w:pPr>
        <w:pStyle w:val="17"/>
        <w:spacing w:line="360" w:lineRule="auto"/>
        <w:rPr>
          <w:rFonts w:hAnsi="宋体"/>
          <w:sz w:val="24"/>
        </w:rPr>
      </w:pPr>
      <w:r>
        <w:rPr>
          <w:rFonts w:hint="eastAsia" w:hAnsi="宋体"/>
          <w:sz w:val="24"/>
        </w:rPr>
        <w:t>7.1建筑室内公共部位和主要出入口在醒目位置设置禁烟标志；</w:t>
      </w:r>
    </w:p>
    <w:p>
      <w:pPr>
        <w:pStyle w:val="17"/>
        <w:spacing w:line="360" w:lineRule="auto"/>
        <w:rPr>
          <w:rFonts w:hAnsi="宋体"/>
          <w:sz w:val="24"/>
        </w:rPr>
      </w:pPr>
      <w:r>
        <w:rPr>
          <w:rFonts w:hint="eastAsia" w:hAnsi="宋体"/>
          <w:sz w:val="24"/>
        </w:rPr>
        <w:t>7.2</w:t>
      </w:r>
      <w:r>
        <w:rPr>
          <w:rFonts w:hAnsi="宋体"/>
          <w:sz w:val="24"/>
        </w:rPr>
        <w:t>室内装饰装修材料</w:t>
      </w:r>
      <w:r>
        <w:rPr>
          <w:rFonts w:hint="eastAsia" w:hAnsi="宋体"/>
          <w:sz w:val="24"/>
        </w:rPr>
        <w:t>及</w:t>
      </w:r>
      <w:r>
        <w:rPr>
          <w:rFonts w:hAnsi="宋体"/>
          <w:sz w:val="24"/>
        </w:rPr>
        <w:t>材料中</w:t>
      </w:r>
      <w:r>
        <w:rPr>
          <w:rFonts w:hint="eastAsia" w:hAnsi="宋体"/>
          <w:sz w:val="24"/>
        </w:rPr>
        <w:t>氨、甲醛、苯、甲苯、二甲苯、VOC、氡</w:t>
      </w:r>
      <w:r>
        <w:rPr>
          <w:rFonts w:hAnsi="宋体"/>
          <w:sz w:val="24"/>
        </w:rPr>
        <w:t>等有害物质限量符合现行国家标准室内装饰装修材料有害物质限量</w:t>
      </w:r>
      <w:r>
        <w:rPr>
          <w:rFonts w:hint="eastAsia" w:hAnsi="宋体"/>
          <w:sz w:val="24"/>
        </w:rPr>
        <w:t>系列</w:t>
      </w:r>
      <w:r>
        <w:rPr>
          <w:rFonts w:hAnsi="宋体"/>
          <w:sz w:val="24"/>
        </w:rPr>
        <w:t>标准GB 18580～GB 18588、《建筑材料放射性核素限量》GB 6566和《民用建筑工程室内环境污染控制</w:t>
      </w:r>
      <w:r>
        <w:rPr>
          <w:rFonts w:hint="eastAsia" w:hAnsi="宋体"/>
          <w:sz w:val="24"/>
        </w:rPr>
        <w:t>标准</w:t>
      </w:r>
      <w:r>
        <w:rPr>
          <w:rFonts w:hAnsi="宋体"/>
          <w:sz w:val="24"/>
        </w:rPr>
        <w:t>》GB 50325等标准的规定</w:t>
      </w:r>
      <w:r>
        <w:rPr>
          <w:rFonts w:hint="eastAsia" w:hAnsi="宋体"/>
          <w:sz w:val="24"/>
        </w:rPr>
        <w:t>。</w:t>
      </w:r>
    </w:p>
    <w:p>
      <w:pPr>
        <w:pStyle w:val="17"/>
        <w:spacing w:line="360" w:lineRule="auto"/>
        <w:rPr>
          <w:rFonts w:hAnsi="宋体"/>
          <w:sz w:val="24"/>
        </w:rPr>
      </w:pPr>
      <w:r>
        <w:rPr>
          <w:rFonts w:hint="eastAsia" w:hAnsi="宋体"/>
          <w:sz w:val="24"/>
        </w:rPr>
        <w:t>7.3设计选用</w:t>
      </w:r>
      <w:r>
        <w:rPr>
          <w:rFonts w:hAnsi="宋体"/>
          <w:sz w:val="24"/>
        </w:rPr>
        <w:t>满足</w:t>
      </w:r>
      <w:r>
        <w:rPr>
          <w:rFonts w:hint="eastAsia" w:hAnsi="宋体"/>
          <w:sz w:val="24"/>
        </w:rPr>
        <w:t>国家</w:t>
      </w:r>
      <w:r>
        <w:rPr>
          <w:rFonts w:hAnsi="宋体"/>
          <w:sz w:val="24"/>
        </w:rPr>
        <w:t>现行绿色产品评价标准中对有害物质限量要求的装饰装修材料</w:t>
      </w:r>
      <w:r>
        <w:rPr>
          <w:rFonts w:hint="eastAsia" w:hAnsi="宋体"/>
          <w:sz w:val="24"/>
        </w:rPr>
        <w:t>不少于3类</w:t>
      </w:r>
    </w:p>
    <w:p>
      <w:pPr>
        <w:pStyle w:val="17"/>
        <w:spacing w:line="360" w:lineRule="auto"/>
        <w:rPr>
          <w:rFonts w:hAnsi="宋体" w:cstheme="minorBidi"/>
          <w:b/>
          <w:sz w:val="24"/>
        </w:rPr>
      </w:pPr>
      <w:r>
        <w:rPr>
          <w:rFonts w:hint="eastAsia" w:hAnsi="宋体"/>
          <w:sz w:val="24"/>
        </w:rPr>
        <w:t>7.4设有明卫：</w:t>
      </w:r>
      <w:r>
        <w:rPr>
          <w:rFonts w:hAnsi="宋体" w:cstheme="minorBidi"/>
          <w:b/>
          <w:sz w:val="24"/>
        </w:rPr>
        <w:t xml:space="preserve"> </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1843"/>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restart"/>
          </w:tcPr>
          <w:p>
            <w:pPr>
              <w:spacing w:line="360" w:lineRule="auto"/>
              <w:rPr>
                <w:rFonts w:hAnsi="宋体"/>
                <w:sz w:val="24"/>
              </w:rPr>
            </w:pPr>
            <w:r>
              <w:rPr>
                <w:rFonts w:hint="eastAsia" w:hAnsi="宋体"/>
                <w:sz w:val="24"/>
              </w:rPr>
              <w:t>7.1-7.4</w:t>
            </w:r>
          </w:p>
          <w:p>
            <w:pPr>
              <w:spacing w:line="360" w:lineRule="auto"/>
              <w:rPr>
                <w:rFonts w:hAnsi="宋体"/>
                <w:sz w:val="24"/>
              </w:rPr>
            </w:pPr>
            <w:r>
              <w:rPr>
                <w:rFonts w:hint="eastAsia" w:hAnsi="宋体"/>
                <w:sz w:val="24"/>
              </w:rPr>
              <w:t>条文来源</w:t>
            </w:r>
          </w:p>
        </w:tc>
        <w:tc>
          <w:tcPr>
            <w:tcW w:w="2268" w:type="dxa"/>
            <w:vMerge w:val="restart"/>
          </w:tcPr>
          <w:p>
            <w:pPr>
              <w:spacing w:line="360" w:lineRule="auto"/>
              <w:rPr>
                <w:rFonts w:hAnsi="宋体"/>
                <w:sz w:val="24"/>
              </w:rPr>
            </w:pPr>
            <w:r>
              <w:rPr>
                <w:rFonts w:hint="eastAsia" w:hAnsi="宋体"/>
                <w:sz w:val="24"/>
              </w:rPr>
              <w:t>GB/T 50378-2019</w:t>
            </w:r>
          </w:p>
        </w:tc>
        <w:tc>
          <w:tcPr>
            <w:tcW w:w="1843" w:type="dxa"/>
          </w:tcPr>
          <w:p>
            <w:pPr>
              <w:spacing w:line="360" w:lineRule="auto"/>
              <w:rPr>
                <w:rFonts w:hAnsi="宋体"/>
                <w:sz w:val="24"/>
              </w:rPr>
            </w:pPr>
            <w:r>
              <w:rPr>
                <w:rFonts w:hint="eastAsia" w:hAnsi="宋体"/>
                <w:sz w:val="24"/>
              </w:rPr>
              <w:t>5.1.1条</w:t>
            </w:r>
          </w:p>
        </w:tc>
        <w:tc>
          <w:tcPr>
            <w:tcW w:w="3685" w:type="dxa"/>
            <w:vMerge w:val="restart"/>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continue"/>
          </w:tcPr>
          <w:p>
            <w:pPr>
              <w:spacing w:line="360" w:lineRule="auto"/>
              <w:rPr>
                <w:rFonts w:hAnsi="宋体"/>
                <w:sz w:val="24"/>
              </w:rPr>
            </w:pPr>
          </w:p>
        </w:tc>
        <w:tc>
          <w:tcPr>
            <w:tcW w:w="2268" w:type="dxa"/>
            <w:vMerge w:val="continue"/>
          </w:tcPr>
          <w:p>
            <w:pPr>
              <w:spacing w:line="360" w:lineRule="auto"/>
              <w:rPr>
                <w:rFonts w:hAnsi="宋体"/>
                <w:sz w:val="24"/>
              </w:rPr>
            </w:pPr>
          </w:p>
        </w:tc>
        <w:tc>
          <w:tcPr>
            <w:tcW w:w="1843" w:type="dxa"/>
          </w:tcPr>
          <w:p>
            <w:pPr>
              <w:spacing w:line="360" w:lineRule="auto"/>
              <w:rPr>
                <w:rFonts w:hAnsi="宋体"/>
                <w:sz w:val="24"/>
              </w:rPr>
            </w:pPr>
            <w:r>
              <w:rPr>
                <w:rFonts w:hint="eastAsia" w:hAnsi="宋体"/>
                <w:sz w:val="24"/>
              </w:rPr>
              <w:t>5.1.2条</w:t>
            </w:r>
          </w:p>
        </w:tc>
        <w:tc>
          <w:tcPr>
            <w:tcW w:w="3685" w:type="dxa"/>
            <w:vMerge w:val="continue"/>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268" w:type="dxa"/>
            <w:vMerge w:val="restart"/>
          </w:tcPr>
          <w:p>
            <w:pPr>
              <w:spacing w:line="360" w:lineRule="auto"/>
              <w:rPr>
                <w:rFonts w:hAnsi="宋体"/>
                <w:sz w:val="24"/>
              </w:rPr>
            </w:pPr>
            <w:r>
              <w:rPr>
                <w:rFonts w:hint="eastAsia" w:hAnsi="宋体"/>
                <w:sz w:val="24"/>
              </w:rPr>
              <w:t>DB 33/1092-2021</w:t>
            </w:r>
          </w:p>
        </w:tc>
        <w:tc>
          <w:tcPr>
            <w:tcW w:w="1843" w:type="dxa"/>
          </w:tcPr>
          <w:p>
            <w:pPr>
              <w:spacing w:line="360" w:lineRule="auto"/>
              <w:rPr>
                <w:rFonts w:hAnsi="宋体"/>
                <w:sz w:val="24"/>
              </w:rPr>
            </w:pPr>
            <w:r>
              <w:rPr>
                <w:rFonts w:hint="eastAsia" w:hAnsi="宋体"/>
                <w:sz w:val="24"/>
              </w:rPr>
              <w:t>5.1.11条</w:t>
            </w:r>
          </w:p>
        </w:tc>
        <w:tc>
          <w:tcPr>
            <w:tcW w:w="3685" w:type="dxa"/>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268" w:type="dxa"/>
            <w:vMerge w:val="continue"/>
          </w:tcPr>
          <w:p>
            <w:pPr>
              <w:spacing w:line="360" w:lineRule="auto"/>
              <w:rPr>
                <w:rFonts w:hAnsi="宋体"/>
                <w:sz w:val="24"/>
              </w:rPr>
            </w:pPr>
          </w:p>
        </w:tc>
        <w:tc>
          <w:tcPr>
            <w:tcW w:w="1843" w:type="dxa"/>
          </w:tcPr>
          <w:p>
            <w:pPr>
              <w:spacing w:line="360" w:lineRule="auto"/>
              <w:rPr>
                <w:rFonts w:hAnsi="宋体"/>
                <w:sz w:val="24"/>
              </w:rPr>
            </w:pPr>
            <w:r>
              <w:rPr>
                <w:rFonts w:hint="eastAsia" w:hAnsi="宋体"/>
                <w:sz w:val="24"/>
              </w:rPr>
              <w:t>5.2.17</w:t>
            </w:r>
          </w:p>
        </w:tc>
        <w:tc>
          <w:tcPr>
            <w:tcW w:w="3685" w:type="dxa"/>
            <w:vMerge w:val="restart"/>
          </w:tcPr>
          <w:p>
            <w:pPr>
              <w:spacing w:line="360" w:lineRule="auto"/>
              <w:rPr>
                <w:rFonts w:hAnsi="宋体"/>
                <w:sz w:val="24"/>
              </w:rPr>
            </w:pPr>
            <w:r>
              <w:rPr>
                <w:rFonts w:hint="eastAsia" w:hAnsi="宋体"/>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268" w:type="dxa"/>
            <w:vMerge w:val="continue"/>
          </w:tcPr>
          <w:p>
            <w:pPr>
              <w:spacing w:line="360" w:lineRule="auto"/>
              <w:rPr>
                <w:rFonts w:hAnsi="宋体"/>
                <w:sz w:val="24"/>
              </w:rPr>
            </w:pPr>
          </w:p>
        </w:tc>
        <w:tc>
          <w:tcPr>
            <w:tcW w:w="1843" w:type="dxa"/>
          </w:tcPr>
          <w:p>
            <w:pPr>
              <w:spacing w:line="360" w:lineRule="auto"/>
              <w:rPr>
                <w:rFonts w:hAnsi="宋体"/>
                <w:sz w:val="24"/>
              </w:rPr>
            </w:pPr>
            <w:r>
              <w:rPr>
                <w:rFonts w:hint="eastAsia" w:hAnsi="宋体"/>
                <w:sz w:val="24"/>
              </w:rPr>
              <w:t>5.2.27条</w:t>
            </w:r>
          </w:p>
        </w:tc>
        <w:tc>
          <w:tcPr>
            <w:tcW w:w="3685" w:type="dxa"/>
            <w:vMerge w:val="continue"/>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268" w:type="dxa"/>
            <w:vMerge w:val="continue"/>
          </w:tcPr>
          <w:p>
            <w:pPr>
              <w:spacing w:line="360" w:lineRule="auto"/>
              <w:rPr>
                <w:rFonts w:hAnsi="宋体"/>
                <w:sz w:val="24"/>
              </w:rPr>
            </w:pPr>
          </w:p>
        </w:tc>
        <w:tc>
          <w:tcPr>
            <w:tcW w:w="1843" w:type="dxa"/>
          </w:tcPr>
          <w:p>
            <w:pPr>
              <w:spacing w:line="360" w:lineRule="auto"/>
              <w:rPr>
                <w:rFonts w:hAnsi="宋体"/>
                <w:sz w:val="24"/>
              </w:rPr>
            </w:pPr>
            <w:r>
              <w:rPr>
                <w:rFonts w:hint="eastAsia" w:hAnsi="宋体"/>
                <w:sz w:val="24"/>
              </w:rPr>
              <w:t>5.3.10条</w:t>
            </w:r>
          </w:p>
        </w:tc>
        <w:tc>
          <w:tcPr>
            <w:tcW w:w="3685" w:type="dxa"/>
          </w:tcPr>
          <w:p>
            <w:pPr>
              <w:spacing w:line="360" w:lineRule="auto"/>
              <w:rPr>
                <w:rFonts w:hAnsi="宋体"/>
                <w:sz w:val="24"/>
              </w:rPr>
            </w:pPr>
            <w:r>
              <w:rPr>
                <w:rFonts w:hint="eastAsia" w:hAnsi="宋体"/>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ind w:firstLine="420"/>
              <w:rPr>
                <w:rFonts w:hAnsi="宋体"/>
                <w:sz w:val="24"/>
              </w:rPr>
            </w:pPr>
            <w:r>
              <w:rPr>
                <w:rFonts w:hint="eastAsia" w:hAnsi="宋体"/>
                <w:sz w:val="24"/>
              </w:rPr>
              <w:t>设计人员应根据建筑设计平面图，与暖通专业核对施工图，气流组织模拟分析报告，相关装修材料种类、用量，禁止吸烟措施的设计说明，按照项目实际，来填写此项内容。</w:t>
            </w:r>
          </w:p>
          <w:p>
            <w:pPr>
              <w:spacing w:line="360" w:lineRule="auto"/>
              <w:ind w:firstLine="420"/>
              <w:rPr>
                <w:rFonts w:hAnsi="宋体"/>
                <w:sz w:val="24"/>
              </w:rPr>
            </w:pPr>
            <w:r>
              <w:rPr>
                <w:rFonts w:hint="eastAsia" w:hAnsi="宋体"/>
                <w:sz w:val="24"/>
              </w:rPr>
              <w:t>选取装饰装修材料时应有对应的图纸及说明。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20"/>
              <w:rPr>
                <w:rFonts w:hAnsi="宋体"/>
                <w:sz w:val="24"/>
              </w:rPr>
            </w:pPr>
            <w:r>
              <w:rPr>
                <w:rFonts w:hint="eastAsia" w:hAnsi="宋体"/>
                <w:sz w:val="24"/>
              </w:rPr>
              <w:t>建筑室内和建筑主出入口处禁止吸烟，并设置禁烟标志。本条所述的建筑室内，主要指的是公共建筑室内和住宅建筑内的公共区域。</w:t>
            </w:r>
          </w:p>
          <w:p>
            <w:pPr>
              <w:spacing w:line="360" w:lineRule="auto"/>
              <w:ind w:firstLine="420"/>
              <w:rPr>
                <w:rFonts w:hAnsi="宋体"/>
                <w:sz w:val="24"/>
              </w:rPr>
            </w:pPr>
            <w:r>
              <w:rPr>
                <w:rFonts w:hint="eastAsia" w:hAnsi="宋体"/>
                <w:sz w:val="24"/>
              </w:rPr>
              <w:t>从源头把控，选用绿色、环保、安全的室内装饰装修材料是保障室内空气质量的基本手段。</w:t>
            </w:r>
          </w:p>
          <w:p>
            <w:pPr>
              <w:spacing w:line="360" w:lineRule="auto"/>
              <w:ind w:firstLine="480" w:firstLineChars="200"/>
              <w:rPr>
                <w:rFonts w:hAnsi="宋体"/>
                <w:sz w:val="24"/>
              </w:rPr>
            </w:pPr>
            <w:r>
              <w:rPr>
                <w:rFonts w:hint="eastAsia" w:hAnsi="宋体"/>
                <w:sz w:val="24"/>
              </w:rPr>
              <w:t>卫生间是住在内部的一个空气污染源，卫生间开设外窗有利于污浊空气的排放。当一套住宅设有2个及2个以上卫生间时，至少有一个卫生间设为明卫。</w:t>
            </w:r>
          </w:p>
          <w:p>
            <w:pPr>
              <w:spacing w:line="360" w:lineRule="auto"/>
              <w:ind w:firstLine="480" w:firstLineChars="200"/>
              <w:rPr>
                <w:rFonts w:hAnsi="宋体"/>
                <w:sz w:val="24"/>
              </w:rPr>
            </w:pPr>
            <w:r>
              <w:rPr>
                <w:rFonts w:hint="eastAsia" w:hAnsi="宋体"/>
                <w:sz w:val="24"/>
              </w:rPr>
              <w:t>卧室、起居室（厅）、厨房应有自然通风；</w:t>
            </w:r>
          </w:p>
        </w:tc>
      </w:tr>
    </w:tbl>
    <w:p>
      <w:pPr>
        <w:pStyle w:val="17"/>
        <w:spacing w:line="360" w:lineRule="auto"/>
        <w:rPr>
          <w:rFonts w:hAnsi="宋体" w:cstheme="minorBidi"/>
          <w:b/>
          <w:sz w:val="24"/>
        </w:rPr>
      </w:pPr>
    </w:p>
    <w:p>
      <w:pPr>
        <w:pStyle w:val="17"/>
        <w:spacing w:line="360" w:lineRule="auto"/>
        <w:rPr>
          <w:rFonts w:hAnsi="宋体"/>
          <w:b/>
          <w:sz w:val="24"/>
        </w:rPr>
      </w:pPr>
      <w:r>
        <w:rPr>
          <w:rFonts w:hint="eastAsia" w:hAnsi="宋体"/>
          <w:b/>
          <w:sz w:val="24"/>
        </w:rPr>
        <w:t>8．</w:t>
      </w:r>
      <w:r>
        <w:rPr>
          <w:rFonts w:hAnsi="宋体"/>
          <w:b/>
          <w:sz w:val="24"/>
        </w:rPr>
        <w:t>建筑工业化：</w:t>
      </w:r>
    </w:p>
    <w:p>
      <w:pPr>
        <w:spacing w:line="360" w:lineRule="auto"/>
        <w:jc w:val="left"/>
        <w:rPr>
          <w:rFonts w:hAnsi="宋体"/>
          <w:sz w:val="24"/>
        </w:rPr>
      </w:pPr>
      <w:r>
        <w:rPr>
          <w:rFonts w:hint="eastAsia" w:hAnsi="宋体"/>
          <w:sz w:val="24"/>
        </w:rPr>
        <w:t>8.1建筑设计应遵循模数协调统一的设计原则。</w:t>
      </w:r>
    </w:p>
    <w:p>
      <w:pPr>
        <w:spacing w:line="360" w:lineRule="auto"/>
        <w:jc w:val="left"/>
        <w:rPr>
          <w:rFonts w:hAnsi="宋体"/>
          <w:sz w:val="24"/>
        </w:rPr>
      </w:pPr>
      <w:r>
        <w:rPr>
          <w:rFonts w:hint="eastAsia" w:hAnsi="宋体"/>
          <w:sz w:val="24"/>
        </w:rPr>
        <w:t>8.2建筑设计采用装配式建筑和装配化装修。</w:t>
      </w:r>
    </w:p>
    <w:p>
      <w:pPr>
        <w:spacing w:line="360" w:lineRule="auto"/>
        <w:jc w:val="left"/>
        <w:rPr>
          <w:rFonts w:hAnsi="宋体"/>
          <w:sz w:val="24"/>
        </w:rPr>
      </w:pPr>
      <w:r>
        <w:rPr>
          <w:rFonts w:hint="eastAsia" w:hAnsi="宋体"/>
          <w:sz w:val="24"/>
        </w:rPr>
        <w:t>8.3装修设计选用新型建筑工业化内装部品。</w:t>
      </w:r>
    </w:p>
    <w:p>
      <w:pPr>
        <w:spacing w:line="360" w:lineRule="auto"/>
        <w:jc w:val="left"/>
        <w:rPr>
          <w:rFonts w:hAnsi="宋体"/>
          <w:sz w:val="24"/>
        </w:rPr>
      </w:pPr>
      <w:r>
        <w:rPr>
          <w:rFonts w:hint="eastAsia" w:hAnsi="宋体"/>
          <w:sz w:val="24"/>
        </w:rPr>
        <w:t>8.4本项目选用下列新型工业化构件或部品</w:t>
      </w:r>
      <w:r>
        <w:rPr>
          <w:rFonts w:hint="eastAsia" w:hAnsi="宋体"/>
          <w:sz w:val="24"/>
          <w:lang w:val="en-GB"/>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1417"/>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restart"/>
          </w:tcPr>
          <w:p>
            <w:pPr>
              <w:spacing w:line="360" w:lineRule="auto"/>
              <w:rPr>
                <w:rFonts w:hAnsi="宋体"/>
                <w:sz w:val="24"/>
              </w:rPr>
            </w:pPr>
            <w:r>
              <w:rPr>
                <w:rFonts w:hint="eastAsia" w:hAnsi="宋体"/>
                <w:sz w:val="24"/>
              </w:rPr>
              <w:t>8.1-8.4</w:t>
            </w:r>
          </w:p>
          <w:p>
            <w:pPr>
              <w:spacing w:line="360" w:lineRule="auto"/>
              <w:rPr>
                <w:rFonts w:hAnsi="宋体"/>
                <w:sz w:val="24"/>
              </w:rPr>
            </w:pPr>
            <w:r>
              <w:rPr>
                <w:rFonts w:hint="eastAsia" w:hAnsi="宋体"/>
                <w:sz w:val="24"/>
              </w:rPr>
              <w:t>条文来源</w:t>
            </w:r>
          </w:p>
        </w:tc>
        <w:tc>
          <w:tcPr>
            <w:tcW w:w="1985" w:type="dxa"/>
            <w:vMerge w:val="restart"/>
          </w:tcPr>
          <w:p>
            <w:pPr>
              <w:spacing w:line="360" w:lineRule="auto"/>
              <w:rPr>
                <w:rFonts w:hAnsi="宋体"/>
                <w:sz w:val="24"/>
              </w:rPr>
            </w:pPr>
            <w:r>
              <w:rPr>
                <w:rFonts w:hint="eastAsia" w:hAnsi="宋体"/>
                <w:sz w:val="24"/>
              </w:rPr>
              <w:t>GB/T 50378-2019</w:t>
            </w:r>
          </w:p>
        </w:tc>
        <w:tc>
          <w:tcPr>
            <w:tcW w:w="1417" w:type="dxa"/>
          </w:tcPr>
          <w:p>
            <w:pPr>
              <w:spacing w:line="360" w:lineRule="auto"/>
              <w:rPr>
                <w:rFonts w:hAnsi="宋体"/>
                <w:sz w:val="24"/>
              </w:rPr>
            </w:pPr>
            <w:r>
              <w:rPr>
                <w:rFonts w:hAnsi="宋体"/>
                <w:sz w:val="24"/>
              </w:rPr>
              <w:t>7.2.</w:t>
            </w:r>
            <w:r>
              <w:rPr>
                <w:rFonts w:hint="eastAsia" w:hAnsi="宋体"/>
                <w:sz w:val="24"/>
              </w:rPr>
              <w:t>16条</w:t>
            </w:r>
          </w:p>
        </w:tc>
        <w:tc>
          <w:tcPr>
            <w:tcW w:w="4394" w:type="dxa"/>
          </w:tcPr>
          <w:p>
            <w:pPr>
              <w:spacing w:line="360" w:lineRule="auto"/>
              <w:rPr>
                <w:rFonts w:hAnsi="宋体"/>
                <w:sz w:val="24"/>
              </w:rPr>
            </w:pPr>
            <w:r>
              <w:rPr>
                <w:rFonts w:hint="eastAsia" w:hAnsi="宋体"/>
                <w:sz w:val="24"/>
              </w:rPr>
              <w:t>建筑装修选用工业化内装部品占同类部品用量比例达到50%以上的部品种类，</w:t>
            </w:r>
          </w:p>
          <w:p>
            <w:pPr>
              <w:spacing w:line="360" w:lineRule="auto"/>
              <w:rPr>
                <w:rFonts w:hAnsi="宋体"/>
                <w:sz w:val="24"/>
              </w:rPr>
            </w:pPr>
            <w:r>
              <w:rPr>
                <w:rFonts w:hint="eastAsia" w:hAnsi="宋体"/>
                <w:sz w:val="24"/>
              </w:rPr>
              <w:t>达到1种，得3分；</w:t>
            </w:r>
          </w:p>
          <w:p>
            <w:pPr>
              <w:spacing w:line="360" w:lineRule="auto"/>
              <w:rPr>
                <w:rFonts w:hAnsi="宋体"/>
                <w:sz w:val="24"/>
              </w:rPr>
            </w:pPr>
            <w:r>
              <w:rPr>
                <w:rFonts w:hint="eastAsia" w:hAnsi="宋体"/>
                <w:sz w:val="24"/>
              </w:rPr>
              <w:t>达到3种，得5分；</w:t>
            </w:r>
          </w:p>
          <w:p>
            <w:pPr>
              <w:spacing w:line="360" w:lineRule="auto"/>
              <w:rPr>
                <w:rFonts w:hAnsi="宋体"/>
                <w:sz w:val="24"/>
              </w:rPr>
            </w:pPr>
            <w:r>
              <w:rPr>
                <w:rFonts w:hint="eastAsia" w:hAnsi="宋体"/>
                <w:sz w:val="24"/>
              </w:rPr>
              <w:t>达到3种以上，得8分。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continue"/>
          </w:tcPr>
          <w:p>
            <w:pPr>
              <w:spacing w:line="360" w:lineRule="auto"/>
              <w:rPr>
                <w:rFonts w:hAnsi="宋体"/>
                <w:sz w:val="24"/>
              </w:rPr>
            </w:pPr>
          </w:p>
        </w:tc>
        <w:tc>
          <w:tcPr>
            <w:tcW w:w="1985" w:type="dxa"/>
            <w:vMerge w:val="continue"/>
          </w:tcPr>
          <w:p>
            <w:pPr>
              <w:spacing w:line="360" w:lineRule="auto"/>
              <w:rPr>
                <w:rFonts w:hAnsi="宋体"/>
                <w:sz w:val="24"/>
              </w:rPr>
            </w:pPr>
          </w:p>
        </w:tc>
        <w:tc>
          <w:tcPr>
            <w:tcW w:w="1417" w:type="dxa"/>
            <w:vMerge w:val="restart"/>
          </w:tcPr>
          <w:p>
            <w:pPr>
              <w:spacing w:line="360" w:lineRule="auto"/>
              <w:rPr>
                <w:rFonts w:hAnsi="宋体"/>
                <w:sz w:val="24"/>
              </w:rPr>
            </w:pPr>
            <w:r>
              <w:rPr>
                <w:rFonts w:hint="eastAsia" w:hAnsi="宋体"/>
                <w:sz w:val="24"/>
              </w:rPr>
              <w:t>9.2.5条</w:t>
            </w:r>
          </w:p>
        </w:tc>
        <w:tc>
          <w:tcPr>
            <w:tcW w:w="4394" w:type="dxa"/>
          </w:tcPr>
          <w:p>
            <w:pPr>
              <w:spacing w:line="360" w:lineRule="auto"/>
              <w:rPr>
                <w:rFonts w:hAnsi="宋体"/>
                <w:sz w:val="24"/>
              </w:rPr>
            </w:pPr>
            <w:r>
              <w:rPr>
                <w:rFonts w:hint="eastAsia" w:hAnsi="宋体"/>
                <w:sz w:val="24"/>
              </w:rPr>
              <w:t>主体结构采用钢结构、木结构，得10分；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continue"/>
          </w:tcPr>
          <w:p>
            <w:pPr>
              <w:spacing w:line="360" w:lineRule="auto"/>
              <w:rPr>
                <w:rFonts w:hAnsi="宋体"/>
                <w:sz w:val="24"/>
              </w:rPr>
            </w:pPr>
          </w:p>
        </w:tc>
        <w:tc>
          <w:tcPr>
            <w:tcW w:w="1985" w:type="dxa"/>
            <w:vMerge w:val="continue"/>
          </w:tcPr>
          <w:p>
            <w:pPr>
              <w:spacing w:line="360" w:lineRule="auto"/>
              <w:rPr>
                <w:rFonts w:hAnsi="宋体"/>
                <w:sz w:val="24"/>
              </w:rPr>
            </w:pPr>
          </w:p>
        </w:tc>
        <w:tc>
          <w:tcPr>
            <w:tcW w:w="1417" w:type="dxa"/>
            <w:vMerge w:val="continue"/>
          </w:tcPr>
          <w:p>
            <w:pPr>
              <w:spacing w:line="360" w:lineRule="auto"/>
              <w:rPr>
                <w:rFonts w:hAnsi="宋体"/>
                <w:sz w:val="24"/>
              </w:rPr>
            </w:pPr>
          </w:p>
        </w:tc>
        <w:tc>
          <w:tcPr>
            <w:tcW w:w="4394" w:type="dxa"/>
          </w:tcPr>
          <w:p>
            <w:pPr>
              <w:spacing w:line="360" w:lineRule="auto"/>
              <w:rPr>
                <w:rFonts w:hAnsi="宋体"/>
                <w:sz w:val="24"/>
              </w:rPr>
            </w:pPr>
            <w:r>
              <w:rPr>
                <w:rFonts w:hint="eastAsia" w:hAnsi="宋体"/>
                <w:sz w:val="24"/>
              </w:rPr>
              <w:t>主体结构采用装配式混凝土结构，地上部分预制构件应用混凝土体积占混凝土总体积的比例达到35%, 得5分；达到50%, 得10分。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1985" w:type="dxa"/>
            <w:vMerge w:val="restart"/>
          </w:tcPr>
          <w:p>
            <w:pPr>
              <w:spacing w:line="360" w:lineRule="auto"/>
              <w:rPr>
                <w:rFonts w:hAnsi="宋体"/>
                <w:sz w:val="24"/>
              </w:rPr>
            </w:pPr>
            <w:r>
              <w:rPr>
                <w:rFonts w:hint="eastAsia" w:hAnsi="宋体"/>
                <w:sz w:val="24"/>
              </w:rPr>
              <w:t>DB 33/1092-2021</w:t>
            </w:r>
          </w:p>
        </w:tc>
        <w:tc>
          <w:tcPr>
            <w:tcW w:w="1417" w:type="dxa"/>
          </w:tcPr>
          <w:p>
            <w:pPr>
              <w:spacing w:line="360" w:lineRule="auto"/>
              <w:rPr>
                <w:rFonts w:hAnsi="宋体"/>
                <w:sz w:val="24"/>
              </w:rPr>
            </w:pPr>
            <w:r>
              <w:rPr>
                <w:rFonts w:hint="eastAsia" w:hAnsi="宋体"/>
                <w:sz w:val="24"/>
              </w:rPr>
              <w:t>3.0.7条</w:t>
            </w:r>
          </w:p>
        </w:tc>
        <w:tc>
          <w:tcPr>
            <w:tcW w:w="4394" w:type="dxa"/>
          </w:tcPr>
          <w:p>
            <w:pPr>
              <w:spacing w:line="360" w:lineRule="auto"/>
              <w:rPr>
                <w:rFonts w:hAnsi="宋体"/>
                <w:sz w:val="24"/>
              </w:rPr>
            </w:pPr>
            <w:r>
              <w:rPr>
                <w:rFonts w:hint="eastAsia" w:hAnsi="宋体"/>
                <w:sz w:val="24"/>
              </w:rPr>
              <w:t>基本规定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1985" w:type="dxa"/>
            <w:vMerge w:val="continue"/>
          </w:tcPr>
          <w:p>
            <w:pPr>
              <w:spacing w:line="360" w:lineRule="auto"/>
              <w:rPr>
                <w:rFonts w:hAnsi="宋体"/>
                <w:sz w:val="24"/>
              </w:rPr>
            </w:pPr>
          </w:p>
        </w:tc>
        <w:tc>
          <w:tcPr>
            <w:tcW w:w="1417" w:type="dxa"/>
          </w:tcPr>
          <w:p>
            <w:pPr>
              <w:spacing w:line="360" w:lineRule="auto"/>
              <w:rPr>
                <w:rFonts w:hAnsi="宋体"/>
                <w:sz w:val="24"/>
              </w:rPr>
            </w:pPr>
            <w:r>
              <w:rPr>
                <w:rFonts w:hint="eastAsia" w:hAnsi="宋体"/>
                <w:sz w:val="24"/>
              </w:rPr>
              <w:t>5.3.11条</w:t>
            </w:r>
          </w:p>
        </w:tc>
        <w:tc>
          <w:tcPr>
            <w:tcW w:w="4394" w:type="dxa"/>
          </w:tcPr>
          <w:p>
            <w:pPr>
              <w:spacing w:line="360" w:lineRule="auto"/>
              <w:rPr>
                <w:rFonts w:hAnsi="宋体"/>
                <w:sz w:val="24"/>
              </w:rPr>
            </w:pPr>
            <w:r>
              <w:rPr>
                <w:rFonts w:hint="eastAsia" w:hAnsi="宋体"/>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1985" w:type="dxa"/>
            <w:vMerge w:val="continue"/>
          </w:tcPr>
          <w:p>
            <w:pPr>
              <w:spacing w:line="360" w:lineRule="auto"/>
              <w:rPr>
                <w:rFonts w:hAnsi="宋体"/>
                <w:sz w:val="24"/>
              </w:rPr>
            </w:pPr>
          </w:p>
        </w:tc>
        <w:tc>
          <w:tcPr>
            <w:tcW w:w="1417" w:type="dxa"/>
          </w:tcPr>
          <w:p>
            <w:pPr>
              <w:spacing w:line="360" w:lineRule="auto"/>
              <w:rPr>
                <w:rFonts w:hAnsi="宋体"/>
                <w:sz w:val="24"/>
              </w:rPr>
            </w:pPr>
            <w:r>
              <w:rPr>
                <w:rFonts w:hint="eastAsia" w:hAnsi="宋体"/>
                <w:sz w:val="24"/>
              </w:rPr>
              <w:t>5.4.15条</w:t>
            </w:r>
          </w:p>
        </w:tc>
        <w:tc>
          <w:tcPr>
            <w:tcW w:w="4394" w:type="dxa"/>
            <w:vMerge w:val="restart"/>
          </w:tcPr>
          <w:p>
            <w:pPr>
              <w:spacing w:line="360" w:lineRule="auto"/>
              <w:rPr>
                <w:rFonts w:hAnsi="宋体"/>
                <w:sz w:val="24"/>
              </w:rPr>
            </w:pPr>
            <w:r>
              <w:rPr>
                <w:rFonts w:hint="eastAsia" w:hAnsi="宋体"/>
                <w:sz w:val="24"/>
              </w:rPr>
              <w:t>三星设计要求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1985" w:type="dxa"/>
            <w:vMerge w:val="continue"/>
          </w:tcPr>
          <w:p>
            <w:pPr>
              <w:spacing w:line="360" w:lineRule="auto"/>
              <w:rPr>
                <w:rFonts w:hAnsi="宋体"/>
                <w:sz w:val="24"/>
              </w:rPr>
            </w:pPr>
          </w:p>
        </w:tc>
        <w:tc>
          <w:tcPr>
            <w:tcW w:w="1417" w:type="dxa"/>
          </w:tcPr>
          <w:p>
            <w:pPr>
              <w:spacing w:line="360" w:lineRule="auto"/>
              <w:rPr>
                <w:rFonts w:hAnsi="宋体"/>
                <w:sz w:val="24"/>
              </w:rPr>
            </w:pPr>
            <w:r>
              <w:rPr>
                <w:rFonts w:hAnsi="宋体"/>
                <w:sz w:val="24"/>
              </w:rPr>
              <w:t>5.4.1</w:t>
            </w:r>
            <w:r>
              <w:rPr>
                <w:rFonts w:hint="eastAsia" w:hAnsi="宋体"/>
                <w:sz w:val="24"/>
              </w:rPr>
              <w:t>7条</w:t>
            </w:r>
          </w:p>
        </w:tc>
        <w:tc>
          <w:tcPr>
            <w:tcW w:w="4394" w:type="dxa"/>
            <w:vMerge w:val="continue"/>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ind w:firstLine="480" w:firstLineChars="200"/>
              <w:rPr>
                <w:rFonts w:hAnsi="宋体"/>
                <w:sz w:val="24"/>
              </w:rPr>
            </w:pPr>
            <w:r>
              <w:rPr>
                <w:rFonts w:hint="eastAsia" w:hAnsi="宋体"/>
                <w:sz w:val="24"/>
              </w:rPr>
              <w:t>设计人员应根据建筑施工图、与结构专业核对根据相应结构施工图、工程材料用量概预算清单、预制构件用量比例计算书，按照项目实际，填写此项内容。</w:t>
            </w:r>
          </w:p>
          <w:p>
            <w:pPr>
              <w:spacing w:line="360" w:lineRule="auto"/>
              <w:ind w:firstLine="480" w:firstLineChars="200"/>
              <w:rPr>
                <w:rFonts w:hAnsi="宋体"/>
                <w:sz w:val="24"/>
              </w:rPr>
            </w:pPr>
            <w:r>
              <w:rPr>
                <w:rFonts w:hint="eastAsia" w:hAnsi="宋体"/>
                <w:sz w:val="24"/>
              </w:rPr>
              <w:t>选取新型建筑工业化部品或构件时应有对应的图纸及说明。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20"/>
              <w:rPr>
                <w:rFonts w:hAnsi="宋体"/>
                <w:sz w:val="24"/>
              </w:rPr>
            </w:pPr>
            <w:r>
              <w:rPr>
                <w:rFonts w:hint="eastAsia" w:hAnsi="宋体"/>
                <w:sz w:val="24"/>
              </w:rPr>
              <w:t>装配式建筑是由预制部品部件在工地装配而成的建筑。预制部品部件主要包括预制混凝土部品部件（由预制混凝土叠合梁、叠合板、柱等组成）、钢结构部品部件（在工厂生产加工、现场连接组装的方式）、复合木结构等及其配套产品。</w:t>
            </w:r>
          </w:p>
          <w:p>
            <w:pPr>
              <w:spacing w:line="360" w:lineRule="auto"/>
              <w:ind w:firstLine="420"/>
              <w:rPr>
                <w:rFonts w:hAnsi="宋体"/>
                <w:sz w:val="24"/>
              </w:rPr>
            </w:pPr>
            <w:r>
              <w:rPr>
                <w:rFonts w:hint="eastAsia" w:hAnsi="宋体"/>
                <w:sz w:val="24"/>
              </w:rPr>
              <w:t>装配化装修使用的工业化内装部品主要包括集成卫生间、集成厨房、装配式吊顶、干式工法楼（地）面、装配式内隔墙、管线集成、管线分离等。</w:t>
            </w:r>
          </w:p>
          <w:p>
            <w:pPr>
              <w:spacing w:line="360" w:lineRule="auto"/>
              <w:ind w:firstLine="420"/>
              <w:rPr>
                <w:rFonts w:hAnsi="宋体"/>
                <w:sz w:val="24"/>
              </w:rPr>
            </w:pPr>
            <w:r>
              <w:rPr>
                <w:rFonts w:hint="eastAsia" w:hAnsi="宋体"/>
                <w:sz w:val="24"/>
              </w:rPr>
              <w:t>部品用量比例按现行的《装配式建筑评价标准》中的相关规定计算。</w:t>
            </w:r>
          </w:p>
          <w:p>
            <w:pPr>
              <w:spacing w:line="360" w:lineRule="auto"/>
              <w:ind w:firstLine="420"/>
              <w:rPr>
                <w:rFonts w:hAnsi="宋体"/>
                <w:sz w:val="24"/>
              </w:rPr>
            </w:pPr>
            <w:r>
              <w:rPr>
                <w:rFonts w:hint="eastAsia" w:hAnsi="宋体"/>
                <w:sz w:val="24"/>
              </w:rPr>
              <w:t>对于装配式混凝土结构的预制构件混凝土体积计算，无竖向立杆支撑叠合楼盖的现浇混凝土部分可按预制构件考虑，预制剪力墙的边缘构件现浇部分可按预制构件考虑，叠合剪力墙的现浇混凝土部分可按0.8倍折算为预制构件，模壳墙的现浇混凝土部分可按0.5倍折算为预制构件。</w:t>
            </w:r>
          </w:p>
        </w:tc>
      </w:tr>
    </w:tbl>
    <w:p>
      <w:pPr>
        <w:tabs>
          <w:tab w:val="left" w:pos="360"/>
        </w:tabs>
        <w:spacing w:before="124" w:beforeLines="40" w:after="124" w:afterLines="40" w:line="360" w:lineRule="auto"/>
        <w:rPr>
          <w:rFonts w:hAnsi="宋体"/>
          <w:b/>
          <w:sz w:val="24"/>
          <w:lang w:val="en-GB"/>
        </w:rPr>
      </w:pPr>
      <w:r>
        <w:rPr>
          <w:rFonts w:hint="eastAsia" w:hAnsi="宋体"/>
          <w:b/>
          <w:sz w:val="24"/>
        </w:rPr>
        <w:t>9</w:t>
      </w:r>
      <w:r>
        <w:rPr>
          <w:rFonts w:hint="eastAsia" w:hAnsi="宋体"/>
          <w:b/>
          <w:sz w:val="24"/>
          <w:lang w:val="en-GB"/>
        </w:rPr>
        <w:t>.土建和装修一体化：</w:t>
      </w:r>
    </w:p>
    <w:p>
      <w:pPr>
        <w:pStyle w:val="17"/>
        <w:spacing w:line="360" w:lineRule="auto"/>
        <w:rPr>
          <w:rFonts w:hAnsi="宋体"/>
          <w:sz w:val="24"/>
        </w:rPr>
      </w:pPr>
      <w:r>
        <w:rPr>
          <w:rFonts w:hint="eastAsia" w:hAnsi="宋体"/>
          <w:sz w:val="24"/>
        </w:rPr>
        <w:t>9.1本项目采用土建工程与装修工程一体化设计；</w:t>
      </w:r>
    </w:p>
    <w:p>
      <w:pPr>
        <w:pStyle w:val="17"/>
        <w:spacing w:line="360" w:lineRule="auto"/>
        <w:rPr>
          <w:rFonts w:hAnsi="宋体"/>
          <w:sz w:val="24"/>
        </w:rPr>
      </w:pPr>
      <w:r>
        <w:rPr>
          <w:rFonts w:hint="eastAsia" w:hAnsi="宋体"/>
          <w:sz w:val="24"/>
        </w:rPr>
        <w:t>9.2根据地方的相关规定进行全装修设计；</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1276"/>
        <w:gridCol w:w="42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384" w:type="dxa"/>
            <w:vMerge w:val="restart"/>
          </w:tcPr>
          <w:p>
            <w:pPr>
              <w:spacing w:line="360" w:lineRule="auto"/>
              <w:rPr>
                <w:rFonts w:hAnsi="宋体"/>
                <w:sz w:val="24"/>
              </w:rPr>
            </w:pPr>
            <w:r>
              <w:rPr>
                <w:rFonts w:hint="eastAsia" w:hAnsi="宋体"/>
                <w:sz w:val="24"/>
              </w:rPr>
              <w:t>9.1~9.2</w:t>
            </w:r>
          </w:p>
          <w:p>
            <w:pPr>
              <w:spacing w:line="360" w:lineRule="auto"/>
              <w:rPr>
                <w:rFonts w:hAnsi="宋体"/>
                <w:sz w:val="24"/>
              </w:rPr>
            </w:pPr>
            <w:r>
              <w:rPr>
                <w:rFonts w:hint="eastAsia" w:hAnsi="宋体"/>
                <w:sz w:val="24"/>
              </w:rPr>
              <w:t>条文来源</w:t>
            </w:r>
          </w:p>
        </w:tc>
        <w:tc>
          <w:tcPr>
            <w:tcW w:w="2268" w:type="dxa"/>
          </w:tcPr>
          <w:p>
            <w:pPr>
              <w:spacing w:line="360" w:lineRule="auto"/>
              <w:rPr>
                <w:rFonts w:hAnsi="宋体"/>
                <w:sz w:val="24"/>
              </w:rPr>
            </w:pPr>
            <w:r>
              <w:rPr>
                <w:rFonts w:hint="eastAsia" w:hAnsi="宋体"/>
                <w:sz w:val="24"/>
              </w:rPr>
              <w:t>GB/T 50378-2019</w:t>
            </w:r>
          </w:p>
        </w:tc>
        <w:tc>
          <w:tcPr>
            <w:tcW w:w="1276" w:type="dxa"/>
          </w:tcPr>
          <w:p>
            <w:pPr>
              <w:spacing w:line="360" w:lineRule="auto"/>
              <w:rPr>
                <w:rFonts w:hAnsi="宋体"/>
                <w:sz w:val="24"/>
              </w:rPr>
            </w:pPr>
            <w:r>
              <w:rPr>
                <w:rFonts w:hAnsi="宋体"/>
                <w:sz w:val="24"/>
              </w:rPr>
              <w:t>7.2.</w:t>
            </w:r>
            <w:r>
              <w:rPr>
                <w:rFonts w:hint="eastAsia" w:hAnsi="宋体"/>
                <w:sz w:val="24"/>
              </w:rPr>
              <w:t>14条</w:t>
            </w:r>
          </w:p>
        </w:tc>
        <w:tc>
          <w:tcPr>
            <w:tcW w:w="4252" w:type="dxa"/>
          </w:tcPr>
          <w:p>
            <w:pPr>
              <w:spacing w:line="360" w:lineRule="auto"/>
              <w:rPr>
                <w:rFonts w:hAnsi="宋体"/>
                <w:sz w:val="24"/>
              </w:rPr>
            </w:pPr>
            <w:r>
              <w:rPr>
                <w:rFonts w:hint="eastAsia" w:hAnsi="宋体"/>
                <w:sz w:val="24"/>
                <w:lang w:val="en-GB"/>
              </w:rPr>
              <w:t>所有部位均土建与装修一体化设计，</w:t>
            </w:r>
            <w:r>
              <w:rPr>
                <w:rFonts w:hint="eastAsia" w:hAnsi="宋体"/>
                <w:sz w:val="24"/>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268" w:type="dxa"/>
            <w:vMerge w:val="restart"/>
          </w:tcPr>
          <w:p>
            <w:pPr>
              <w:spacing w:line="360" w:lineRule="auto"/>
              <w:rPr>
                <w:rFonts w:hAnsi="宋体"/>
                <w:sz w:val="24"/>
              </w:rPr>
            </w:pPr>
            <w:r>
              <w:rPr>
                <w:rFonts w:hint="eastAsia" w:hAnsi="宋体"/>
                <w:sz w:val="24"/>
              </w:rPr>
              <w:t>DB 33/1092-2021</w:t>
            </w:r>
          </w:p>
        </w:tc>
        <w:tc>
          <w:tcPr>
            <w:tcW w:w="1276" w:type="dxa"/>
          </w:tcPr>
          <w:p>
            <w:pPr>
              <w:spacing w:line="360" w:lineRule="auto"/>
              <w:rPr>
                <w:rFonts w:hAnsi="宋体"/>
                <w:sz w:val="24"/>
              </w:rPr>
            </w:pPr>
            <w:r>
              <w:rPr>
                <w:rFonts w:hint="eastAsia" w:hAnsi="宋体"/>
                <w:sz w:val="24"/>
              </w:rPr>
              <w:t>3.0.8条</w:t>
            </w:r>
          </w:p>
        </w:tc>
        <w:tc>
          <w:tcPr>
            <w:tcW w:w="4252" w:type="dxa"/>
          </w:tcPr>
          <w:p>
            <w:pPr>
              <w:spacing w:line="360" w:lineRule="auto"/>
              <w:rPr>
                <w:rFonts w:hAnsi="宋体"/>
                <w:sz w:val="24"/>
              </w:rPr>
            </w:pPr>
            <w:r>
              <w:rPr>
                <w:rFonts w:hint="eastAsia" w:hAnsi="宋体"/>
                <w:sz w:val="24"/>
              </w:rPr>
              <w:t>基本规定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Merge w:val="continue"/>
          </w:tcPr>
          <w:p>
            <w:pPr>
              <w:spacing w:line="360" w:lineRule="auto"/>
              <w:rPr>
                <w:rFonts w:hAnsi="宋体"/>
                <w:sz w:val="24"/>
              </w:rPr>
            </w:pPr>
          </w:p>
        </w:tc>
        <w:tc>
          <w:tcPr>
            <w:tcW w:w="2268" w:type="dxa"/>
            <w:vMerge w:val="continue"/>
          </w:tcPr>
          <w:p>
            <w:pPr>
              <w:spacing w:line="360" w:lineRule="auto"/>
              <w:rPr>
                <w:rFonts w:hAnsi="宋体"/>
                <w:sz w:val="24"/>
              </w:rPr>
            </w:pPr>
          </w:p>
        </w:tc>
        <w:tc>
          <w:tcPr>
            <w:tcW w:w="1276" w:type="dxa"/>
          </w:tcPr>
          <w:p>
            <w:pPr>
              <w:spacing w:line="360" w:lineRule="auto"/>
              <w:rPr>
                <w:rFonts w:hAnsi="宋体"/>
                <w:sz w:val="24"/>
              </w:rPr>
            </w:pPr>
            <w:r>
              <w:rPr>
                <w:rFonts w:hAnsi="宋体"/>
                <w:sz w:val="24"/>
              </w:rPr>
              <w:t>5.3.1</w:t>
            </w:r>
            <w:r>
              <w:rPr>
                <w:rFonts w:hint="eastAsia" w:hAnsi="宋体"/>
                <w:sz w:val="24"/>
              </w:rPr>
              <w:t>2条</w:t>
            </w:r>
          </w:p>
        </w:tc>
        <w:tc>
          <w:tcPr>
            <w:tcW w:w="4252" w:type="dxa"/>
          </w:tcPr>
          <w:p>
            <w:pPr>
              <w:spacing w:line="360" w:lineRule="auto"/>
              <w:rPr>
                <w:rFonts w:hAnsi="宋体"/>
                <w:sz w:val="24"/>
              </w:rPr>
            </w:pPr>
            <w:r>
              <w:rPr>
                <w:rFonts w:hint="eastAsia" w:hAnsi="宋体"/>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trPr>
        <w:tc>
          <w:tcPr>
            <w:tcW w:w="1384" w:type="dxa"/>
            <w:vMerge w:val="continue"/>
          </w:tcPr>
          <w:p>
            <w:pPr>
              <w:spacing w:line="360" w:lineRule="auto"/>
              <w:rPr>
                <w:rFonts w:hAnsi="宋体"/>
                <w:sz w:val="24"/>
              </w:rPr>
            </w:pPr>
          </w:p>
        </w:tc>
        <w:tc>
          <w:tcPr>
            <w:tcW w:w="2268" w:type="dxa"/>
            <w:vMerge w:val="continue"/>
          </w:tcPr>
          <w:p>
            <w:pPr>
              <w:spacing w:line="360" w:lineRule="auto"/>
              <w:rPr>
                <w:rFonts w:hAnsi="宋体"/>
                <w:sz w:val="24"/>
              </w:rPr>
            </w:pPr>
          </w:p>
        </w:tc>
        <w:tc>
          <w:tcPr>
            <w:tcW w:w="1276" w:type="dxa"/>
          </w:tcPr>
          <w:p>
            <w:pPr>
              <w:spacing w:line="360" w:lineRule="auto"/>
              <w:rPr>
                <w:rFonts w:hAnsi="宋体"/>
                <w:sz w:val="24"/>
              </w:rPr>
            </w:pPr>
            <w:r>
              <w:rPr>
                <w:rFonts w:hint="eastAsia" w:hAnsi="宋体"/>
                <w:sz w:val="24"/>
              </w:rPr>
              <w:t>5.4.16条</w:t>
            </w:r>
          </w:p>
        </w:tc>
        <w:tc>
          <w:tcPr>
            <w:tcW w:w="4252" w:type="dxa"/>
          </w:tcPr>
          <w:p>
            <w:pPr>
              <w:spacing w:line="360" w:lineRule="auto"/>
              <w:rPr>
                <w:rFonts w:hAnsi="宋体"/>
                <w:sz w:val="24"/>
              </w:rPr>
            </w:pPr>
            <w:r>
              <w:rPr>
                <w:rFonts w:hint="eastAsia" w:hAnsi="宋体"/>
                <w:sz w:val="24"/>
              </w:rPr>
              <w:t>三星设计要求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ind w:firstLine="480" w:firstLineChars="200"/>
              <w:rPr>
                <w:rFonts w:hAnsi="宋体"/>
                <w:sz w:val="24"/>
              </w:rPr>
            </w:pPr>
            <w:r>
              <w:rPr>
                <w:rFonts w:hint="eastAsia" w:hAnsi="宋体"/>
                <w:sz w:val="24"/>
              </w:rPr>
              <w:t>设计人员应根据土建、机电、装修各专业施工图设计文件核对土建设计预留条件，按照项目实际，填写此项内容。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int="eastAsia" w:hAnsi="宋体"/>
                <w:sz w:val="24"/>
              </w:rPr>
              <w:t>土建工程与装修工程一体化设计是指土建设计与装修设计同步有序进行，即装修专业与土建的建筑、结构、给排水、暖通、电气等专业，共同完成从方案到施工图工作、使土建与装修的紧密结合，做到无缝对接。</w:t>
            </w:r>
          </w:p>
        </w:tc>
      </w:tr>
    </w:tbl>
    <w:p>
      <w:pPr>
        <w:pStyle w:val="17"/>
        <w:spacing w:line="360" w:lineRule="auto"/>
        <w:rPr>
          <w:rFonts w:hAnsi="宋体"/>
          <w:b/>
          <w:sz w:val="24"/>
        </w:rPr>
      </w:pPr>
    </w:p>
    <w:p>
      <w:pPr>
        <w:pStyle w:val="78"/>
        <w:tabs>
          <w:tab w:val="left" w:pos="360"/>
        </w:tabs>
        <w:spacing w:before="124" w:beforeLines="40" w:after="124" w:afterLines="40" w:line="360" w:lineRule="auto"/>
        <w:ind w:firstLine="0" w:firstLineChars="0"/>
        <w:rPr>
          <w:rFonts w:hAnsi="宋体"/>
          <w:b/>
          <w:sz w:val="24"/>
        </w:rPr>
      </w:pPr>
      <w:r>
        <w:rPr>
          <w:rFonts w:hint="eastAsia" w:hAnsi="宋体"/>
          <w:b/>
          <w:sz w:val="24"/>
        </w:rPr>
        <w:t>10.</w:t>
      </w:r>
      <w:r>
        <w:rPr>
          <w:rFonts w:hint="eastAsia"/>
          <w:b/>
          <w:bCs/>
          <w:sz w:val="24"/>
        </w:rPr>
        <w:t xml:space="preserve"> 建筑室内设置便于识别和使用的标识系统</w:t>
      </w:r>
      <w:r>
        <w:rPr>
          <w:rFonts w:hint="eastAsia" w:hAnsi="宋体"/>
          <w:b/>
          <w:sz w:val="24"/>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1418"/>
        <w:gridCol w:w="42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restart"/>
          </w:tcPr>
          <w:p>
            <w:pPr>
              <w:spacing w:line="360" w:lineRule="auto"/>
              <w:rPr>
                <w:rFonts w:hAnsi="宋体"/>
                <w:sz w:val="24"/>
              </w:rPr>
            </w:pPr>
          </w:p>
          <w:p>
            <w:pPr>
              <w:spacing w:line="360" w:lineRule="auto"/>
              <w:rPr>
                <w:rFonts w:hAnsi="宋体"/>
                <w:sz w:val="24"/>
              </w:rPr>
            </w:pPr>
            <w:r>
              <w:rPr>
                <w:rFonts w:hint="eastAsia" w:hAnsi="宋体"/>
                <w:sz w:val="24"/>
              </w:rPr>
              <w:t>条文来源</w:t>
            </w:r>
          </w:p>
        </w:tc>
        <w:tc>
          <w:tcPr>
            <w:tcW w:w="2126" w:type="dxa"/>
            <w:vMerge w:val="restart"/>
          </w:tcPr>
          <w:p>
            <w:pPr>
              <w:spacing w:line="360" w:lineRule="auto"/>
              <w:rPr>
                <w:rFonts w:hAnsi="宋体"/>
                <w:sz w:val="24"/>
              </w:rPr>
            </w:pPr>
            <w:r>
              <w:rPr>
                <w:rFonts w:hint="eastAsia" w:hAnsi="宋体"/>
                <w:sz w:val="24"/>
              </w:rPr>
              <w:t>GB/T 50378-2019</w:t>
            </w:r>
          </w:p>
        </w:tc>
        <w:tc>
          <w:tcPr>
            <w:tcW w:w="1418" w:type="dxa"/>
          </w:tcPr>
          <w:p>
            <w:pPr>
              <w:spacing w:line="360" w:lineRule="auto"/>
              <w:rPr>
                <w:rFonts w:hAnsi="宋体"/>
                <w:sz w:val="24"/>
              </w:rPr>
            </w:pPr>
            <w:r>
              <w:rPr>
                <w:rFonts w:hint="eastAsia" w:hAnsi="宋体"/>
                <w:sz w:val="24"/>
              </w:rPr>
              <w:t>4.1.8条</w:t>
            </w:r>
          </w:p>
        </w:tc>
        <w:tc>
          <w:tcPr>
            <w:tcW w:w="4252" w:type="dxa"/>
            <w:vMerge w:val="restart"/>
          </w:tcPr>
          <w:p>
            <w:pPr>
              <w:spacing w:line="360" w:lineRule="auto"/>
              <w:rPr>
                <w:rFonts w:hAnsi="宋体"/>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continue"/>
          </w:tcPr>
          <w:p>
            <w:pPr>
              <w:spacing w:line="360" w:lineRule="auto"/>
              <w:rPr>
                <w:rFonts w:hAnsi="宋体"/>
                <w:sz w:val="24"/>
              </w:rPr>
            </w:pPr>
          </w:p>
        </w:tc>
        <w:tc>
          <w:tcPr>
            <w:tcW w:w="2126" w:type="dxa"/>
            <w:vMerge w:val="continue"/>
          </w:tcPr>
          <w:p>
            <w:pPr>
              <w:spacing w:line="360" w:lineRule="auto"/>
              <w:rPr>
                <w:rFonts w:hAnsi="宋体"/>
                <w:sz w:val="24"/>
              </w:rPr>
            </w:pPr>
          </w:p>
        </w:tc>
        <w:tc>
          <w:tcPr>
            <w:tcW w:w="1418" w:type="dxa"/>
          </w:tcPr>
          <w:p>
            <w:pPr>
              <w:spacing w:line="360" w:lineRule="auto"/>
              <w:rPr>
                <w:rFonts w:hAnsi="宋体"/>
                <w:sz w:val="24"/>
              </w:rPr>
            </w:pPr>
            <w:r>
              <w:rPr>
                <w:rFonts w:hint="eastAsia" w:hAnsi="宋体"/>
                <w:sz w:val="24"/>
              </w:rPr>
              <w:t>8.1.5</w:t>
            </w:r>
          </w:p>
        </w:tc>
        <w:tc>
          <w:tcPr>
            <w:tcW w:w="4252" w:type="dxa"/>
            <w:vMerge w:val="continue"/>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126" w:type="dxa"/>
          </w:tcPr>
          <w:p>
            <w:pPr>
              <w:spacing w:line="360" w:lineRule="auto"/>
              <w:rPr>
                <w:rFonts w:hAnsi="宋体"/>
                <w:sz w:val="24"/>
              </w:rPr>
            </w:pPr>
            <w:r>
              <w:rPr>
                <w:rFonts w:hint="eastAsia" w:hAnsi="宋体"/>
                <w:sz w:val="24"/>
              </w:rPr>
              <w:t>DB 33/1092-2021</w:t>
            </w:r>
          </w:p>
        </w:tc>
        <w:tc>
          <w:tcPr>
            <w:tcW w:w="1418" w:type="dxa"/>
          </w:tcPr>
          <w:p>
            <w:pPr>
              <w:spacing w:line="360" w:lineRule="auto"/>
              <w:rPr>
                <w:rFonts w:hAnsi="宋体"/>
                <w:sz w:val="24"/>
              </w:rPr>
            </w:pPr>
            <w:r>
              <w:rPr>
                <w:rFonts w:hint="eastAsia" w:hAnsi="宋体"/>
                <w:sz w:val="24"/>
              </w:rPr>
              <w:t>5.1.8条</w:t>
            </w:r>
          </w:p>
        </w:tc>
        <w:tc>
          <w:tcPr>
            <w:tcW w:w="4252" w:type="dxa"/>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ind w:firstLine="480" w:firstLineChars="200"/>
              <w:rPr>
                <w:rFonts w:hAnsi="宋体"/>
                <w:sz w:val="24"/>
              </w:rPr>
            </w:pPr>
            <w:r>
              <w:rPr>
                <w:rFonts w:hint="eastAsia" w:hAnsi="宋体"/>
                <w:sz w:val="24"/>
              </w:rPr>
              <w:t>设计人员应根据标示系统设计于设置说明文件，按照项目实际，填写此项内容。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int="eastAsia" w:hAnsi="宋体"/>
                <w:sz w:val="24"/>
              </w:rPr>
              <w:t>警示标志一般设置于人员流动大的场所，青少年和儿童经常活动的场所，容易碰撞、夹伤、温滑及危险的部位和场所等。比如禁止攀爬、禁止倚靠、禁止伸出窗外、禁止抛物、注意安全、当心碰头、当心夹手、当心车辆、当心坠落、当心滑倒、当心落水等。</w:t>
            </w:r>
          </w:p>
          <w:p>
            <w:pPr>
              <w:spacing w:line="360" w:lineRule="auto"/>
              <w:ind w:firstLine="480" w:firstLineChars="200"/>
              <w:rPr>
                <w:rFonts w:hAnsi="宋体"/>
                <w:sz w:val="24"/>
              </w:rPr>
            </w:pPr>
            <w:r>
              <w:rPr>
                <w:rFonts w:hint="eastAsia" w:hAnsi="宋体"/>
                <w:sz w:val="24"/>
              </w:rPr>
              <w:t>设置安全引导指示标志，包括紧急出口标志、避险处标志、应急避难场所标志、急救点标志、报警点标志等，以及其他促进建筑安全使用的引导标志等。</w:t>
            </w:r>
          </w:p>
        </w:tc>
      </w:tr>
    </w:tbl>
    <w:p>
      <w:pPr>
        <w:pStyle w:val="17"/>
        <w:spacing w:line="360" w:lineRule="auto"/>
        <w:rPr>
          <w:rFonts w:hAnsi="宋体"/>
          <w:b/>
          <w:sz w:val="24"/>
        </w:rPr>
      </w:pPr>
    </w:p>
    <w:p>
      <w:pPr>
        <w:pStyle w:val="17"/>
        <w:spacing w:line="360" w:lineRule="auto"/>
        <w:rPr>
          <w:rFonts w:hAnsi="宋体"/>
          <w:b/>
          <w:sz w:val="24"/>
        </w:rPr>
      </w:pPr>
      <w:r>
        <w:rPr>
          <w:rFonts w:hint="eastAsia" w:hAnsi="宋体"/>
          <w:b/>
          <w:sz w:val="24"/>
        </w:rPr>
        <w:t>11.无障碍设计结合建筑功能特性，</w:t>
      </w:r>
      <w:r>
        <w:rPr>
          <w:rFonts w:hint="eastAsia"/>
          <w:b/>
          <w:sz w:val="24"/>
        </w:rPr>
        <w:t>并符合现行国家标准《建筑与市政工程无障碍通用规范》GB</w:t>
      </w:r>
      <w:r>
        <w:rPr>
          <w:b/>
          <w:sz w:val="24"/>
        </w:rPr>
        <w:t xml:space="preserve"> </w:t>
      </w:r>
      <w:r>
        <w:rPr>
          <w:rFonts w:hint="eastAsia"/>
          <w:b/>
          <w:sz w:val="24"/>
        </w:rPr>
        <w:t>55019和《无障碍设计规范》GB</w:t>
      </w:r>
      <w:r>
        <w:rPr>
          <w:b/>
          <w:sz w:val="24"/>
        </w:rPr>
        <w:t xml:space="preserve"> </w:t>
      </w:r>
      <w:r>
        <w:rPr>
          <w:rFonts w:hint="eastAsia"/>
          <w:b/>
          <w:sz w:val="24"/>
        </w:rPr>
        <w:t>50763的规定</w:t>
      </w:r>
      <w:r>
        <w:rPr>
          <w:rFonts w:hint="eastAsia" w:hAnsi="宋体"/>
          <w:b/>
          <w:sz w:val="24"/>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7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tcPr>
          <w:p>
            <w:pPr>
              <w:spacing w:line="360" w:lineRule="auto"/>
              <w:rPr>
                <w:rFonts w:hAnsi="宋体"/>
                <w:sz w:val="24"/>
              </w:rPr>
            </w:pPr>
            <w:r>
              <w:rPr>
                <w:rFonts w:hint="eastAsia" w:hAnsi="宋体"/>
                <w:sz w:val="24"/>
              </w:rPr>
              <w:t>条文来源</w:t>
            </w:r>
          </w:p>
        </w:tc>
        <w:tc>
          <w:tcPr>
            <w:tcW w:w="7796" w:type="dxa"/>
          </w:tcPr>
          <w:p>
            <w:pPr>
              <w:spacing w:line="360" w:lineRule="auto"/>
              <w:ind w:firstLine="480" w:firstLineChars="200"/>
              <w:rPr>
                <w:rFonts w:hAnsi="宋体"/>
                <w:sz w:val="24"/>
              </w:rPr>
            </w:pPr>
            <w:r>
              <w:rPr>
                <w:rFonts w:hint="eastAsia" w:hAnsi="宋体"/>
                <w:sz w:val="24"/>
              </w:rPr>
              <w:t>GB 50763-2012、GB 55019-2021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tcPr>
          <w:p>
            <w:pPr>
              <w:spacing w:line="360" w:lineRule="auto"/>
              <w:ind w:firstLine="480" w:firstLineChars="200"/>
              <w:rPr>
                <w:rFonts w:hAnsi="宋体"/>
                <w:sz w:val="24"/>
              </w:rPr>
            </w:pPr>
            <w:r>
              <w:rPr>
                <w:rFonts w:hint="eastAsia" w:hAnsi="宋体"/>
                <w:sz w:val="24"/>
              </w:rPr>
              <w:t>设计人员应根据建筑施工图，参照现行国家标准《建筑与市政工程无障碍通用规范》GB 55019和《无障碍设计规范》GB 50763的规定，按照项目实际，填写此项内容。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tcPr>
          <w:p>
            <w:pPr>
              <w:spacing w:line="360" w:lineRule="auto"/>
              <w:rPr>
                <w:rFonts w:hAnsi="宋体"/>
                <w:sz w:val="24"/>
              </w:rPr>
            </w:pPr>
          </w:p>
        </w:tc>
      </w:tr>
    </w:tbl>
    <w:p>
      <w:pPr>
        <w:pStyle w:val="17"/>
        <w:spacing w:line="360" w:lineRule="auto"/>
        <w:rPr>
          <w:rFonts w:hAnsi="宋体"/>
          <w:b/>
          <w:sz w:val="24"/>
        </w:rPr>
      </w:pPr>
    </w:p>
    <w:p>
      <w:pPr>
        <w:pStyle w:val="78"/>
        <w:tabs>
          <w:tab w:val="left" w:pos="360"/>
        </w:tabs>
        <w:spacing w:before="124" w:beforeLines="40" w:after="124" w:afterLines="40" w:line="360" w:lineRule="auto"/>
        <w:ind w:firstLine="0" w:firstLineChars="0"/>
        <w:rPr>
          <w:rFonts w:hAnsi="宋体"/>
          <w:b/>
          <w:sz w:val="24"/>
        </w:rPr>
      </w:pPr>
      <w:r>
        <w:rPr>
          <w:rFonts w:hint="eastAsia" w:hAnsi="宋体"/>
          <w:b/>
          <w:sz w:val="24"/>
        </w:rPr>
        <w:t>12.安全性与耐久性：</w:t>
      </w:r>
    </w:p>
    <w:p>
      <w:pPr>
        <w:pStyle w:val="78"/>
        <w:tabs>
          <w:tab w:val="left" w:pos="360"/>
        </w:tabs>
        <w:spacing w:before="124" w:beforeLines="40" w:after="124" w:afterLines="40" w:line="360" w:lineRule="auto"/>
        <w:ind w:firstLine="0" w:firstLineChars="0"/>
        <w:rPr>
          <w:rFonts w:hAnsi="宋体"/>
          <w:sz w:val="24"/>
        </w:rPr>
      </w:pPr>
      <w:r>
        <w:rPr>
          <w:rFonts w:hint="eastAsia" w:hAnsi="宋体"/>
          <w:sz w:val="24"/>
        </w:rPr>
        <w:t>12.1外遮阳、可再生能源利用设施、空调室外机位、外墙花池等外部设施与建筑主体结构进行统一设计，并具备安装、检修与维护条件；</w:t>
      </w:r>
    </w:p>
    <w:p>
      <w:pPr>
        <w:pStyle w:val="78"/>
        <w:tabs>
          <w:tab w:val="left" w:pos="360"/>
        </w:tabs>
        <w:spacing w:before="124" w:beforeLines="40" w:after="124" w:afterLines="40" w:line="360" w:lineRule="auto"/>
        <w:ind w:firstLine="0" w:firstLineChars="0"/>
        <w:rPr>
          <w:rFonts w:hAnsi="宋体"/>
          <w:sz w:val="24"/>
        </w:rPr>
      </w:pPr>
      <w:r>
        <w:rPr>
          <w:rFonts w:hint="eastAsia" w:hAnsi="宋体"/>
          <w:sz w:val="24"/>
        </w:rPr>
        <w:t>12.2建筑内部的非结构构件、设备及附属设施等连接牢固；</w:t>
      </w:r>
    </w:p>
    <w:p>
      <w:pPr>
        <w:pStyle w:val="78"/>
        <w:tabs>
          <w:tab w:val="left" w:pos="360"/>
        </w:tabs>
        <w:spacing w:before="124" w:beforeLines="40" w:after="124" w:afterLines="40" w:line="360" w:lineRule="auto"/>
        <w:ind w:firstLine="0" w:firstLineChars="0"/>
        <w:rPr>
          <w:rFonts w:hAnsi="宋体"/>
          <w:sz w:val="24"/>
        </w:rPr>
      </w:pPr>
      <w:r>
        <w:rPr>
          <w:rFonts w:hint="eastAsia" w:hAnsi="宋体"/>
          <w:sz w:val="24"/>
        </w:rPr>
        <w:t>12.3卫生间、浴室的楼、地面设置防水层，墙面、顶棚设置防潮层；</w:t>
      </w:r>
    </w:p>
    <w:p>
      <w:pPr>
        <w:pStyle w:val="78"/>
        <w:tabs>
          <w:tab w:val="left" w:pos="360"/>
        </w:tabs>
        <w:spacing w:before="124" w:beforeLines="40" w:after="124" w:afterLines="40" w:line="360" w:lineRule="auto"/>
        <w:ind w:firstLine="0" w:firstLineChars="0"/>
        <w:rPr>
          <w:rFonts w:hAnsi="宋体"/>
          <w:sz w:val="24"/>
        </w:rPr>
      </w:pPr>
      <w:r>
        <w:rPr>
          <w:rFonts w:hint="eastAsia" w:hAnsi="宋体"/>
          <w:sz w:val="24"/>
        </w:rPr>
        <w:t>12.4建筑室内公共区域考虑全龄化设计要求；</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1701"/>
        <w:gridCol w:w="36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restart"/>
          </w:tcPr>
          <w:p>
            <w:pPr>
              <w:spacing w:line="360" w:lineRule="auto"/>
              <w:rPr>
                <w:rFonts w:hAnsi="宋体"/>
                <w:sz w:val="24"/>
              </w:rPr>
            </w:pPr>
            <w:r>
              <w:rPr>
                <w:rFonts w:hint="eastAsia" w:hAnsi="宋体"/>
                <w:sz w:val="24"/>
              </w:rPr>
              <w:t>12.1-12.4条文来源</w:t>
            </w:r>
          </w:p>
        </w:tc>
        <w:tc>
          <w:tcPr>
            <w:tcW w:w="2410" w:type="dxa"/>
            <w:vMerge w:val="restart"/>
          </w:tcPr>
          <w:p>
            <w:pPr>
              <w:spacing w:line="360" w:lineRule="auto"/>
              <w:rPr>
                <w:rFonts w:hAnsi="宋体"/>
                <w:sz w:val="24"/>
              </w:rPr>
            </w:pPr>
            <w:r>
              <w:rPr>
                <w:rFonts w:hint="eastAsia" w:hAnsi="宋体"/>
                <w:sz w:val="24"/>
              </w:rPr>
              <w:t>GB/T 50378-2019</w:t>
            </w:r>
          </w:p>
        </w:tc>
        <w:tc>
          <w:tcPr>
            <w:tcW w:w="1701" w:type="dxa"/>
          </w:tcPr>
          <w:p>
            <w:pPr>
              <w:spacing w:line="360" w:lineRule="auto"/>
              <w:rPr>
                <w:rFonts w:hAnsi="宋体"/>
                <w:sz w:val="24"/>
              </w:rPr>
            </w:pPr>
            <w:r>
              <w:rPr>
                <w:rFonts w:hint="eastAsia" w:hAnsi="宋体"/>
                <w:sz w:val="24"/>
              </w:rPr>
              <w:t>4.1.3</w:t>
            </w:r>
          </w:p>
        </w:tc>
        <w:tc>
          <w:tcPr>
            <w:tcW w:w="3685" w:type="dxa"/>
            <w:vMerge w:val="restart"/>
          </w:tcPr>
          <w:p>
            <w:pPr>
              <w:spacing w:line="360" w:lineRule="auto"/>
              <w:rPr>
                <w:rFonts w:hAnsi="宋体"/>
                <w:strike/>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continue"/>
          </w:tcPr>
          <w:p>
            <w:pPr>
              <w:spacing w:line="360" w:lineRule="auto"/>
              <w:rPr>
                <w:rFonts w:hAnsi="宋体"/>
                <w:sz w:val="24"/>
              </w:rPr>
            </w:pPr>
          </w:p>
        </w:tc>
        <w:tc>
          <w:tcPr>
            <w:tcW w:w="2410"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4.1.4</w:t>
            </w:r>
          </w:p>
        </w:tc>
        <w:tc>
          <w:tcPr>
            <w:tcW w:w="3685" w:type="dxa"/>
            <w:vMerge w:val="continue"/>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84" w:type="dxa"/>
            <w:vMerge w:val="continue"/>
          </w:tcPr>
          <w:p>
            <w:pPr>
              <w:spacing w:line="360" w:lineRule="auto"/>
              <w:rPr>
                <w:rFonts w:hAnsi="宋体"/>
                <w:sz w:val="24"/>
              </w:rPr>
            </w:pPr>
          </w:p>
        </w:tc>
        <w:tc>
          <w:tcPr>
            <w:tcW w:w="2410"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4.1.6</w:t>
            </w:r>
          </w:p>
        </w:tc>
        <w:tc>
          <w:tcPr>
            <w:tcW w:w="3685" w:type="dxa"/>
            <w:vMerge w:val="continue"/>
          </w:tcPr>
          <w:p>
            <w:pPr>
              <w:spacing w:line="360" w:lineRule="auto"/>
              <w:rPr>
                <w:rFonts w:hAnsi="宋体"/>
                <w:strike/>
                <w:sz w:val="24"/>
                <w:lang w:val="en-G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410" w:type="dxa"/>
            <w:vMerge w:val="restart"/>
          </w:tcPr>
          <w:p>
            <w:pPr>
              <w:spacing w:line="360" w:lineRule="auto"/>
              <w:rPr>
                <w:rFonts w:hAnsi="宋体"/>
                <w:sz w:val="24"/>
              </w:rPr>
            </w:pPr>
            <w:r>
              <w:rPr>
                <w:rFonts w:hint="eastAsia" w:hAnsi="宋体"/>
                <w:sz w:val="24"/>
              </w:rPr>
              <w:t>DB 33/1092-2021</w:t>
            </w:r>
          </w:p>
        </w:tc>
        <w:tc>
          <w:tcPr>
            <w:tcW w:w="1701" w:type="dxa"/>
          </w:tcPr>
          <w:p>
            <w:pPr>
              <w:spacing w:line="360" w:lineRule="auto"/>
              <w:rPr>
                <w:rFonts w:hAnsi="宋体"/>
                <w:sz w:val="24"/>
              </w:rPr>
            </w:pPr>
            <w:r>
              <w:rPr>
                <w:rFonts w:hint="eastAsia" w:hAnsi="宋体"/>
                <w:sz w:val="24"/>
              </w:rPr>
              <w:t>5.1.5-3</w:t>
            </w:r>
          </w:p>
        </w:tc>
        <w:tc>
          <w:tcPr>
            <w:tcW w:w="3685" w:type="dxa"/>
            <w:vMerge w:val="restart"/>
          </w:tcPr>
          <w:p>
            <w:pPr>
              <w:spacing w:line="360" w:lineRule="auto"/>
              <w:rPr>
                <w:rFonts w:hAnsi="宋体"/>
                <w:sz w:val="24"/>
              </w:rPr>
            </w:pPr>
            <w:r>
              <w:rPr>
                <w:rFonts w:hint="eastAsia" w:hAnsi="宋体"/>
                <w:sz w:val="24"/>
              </w:rPr>
              <w:t>基本要求</w:t>
            </w:r>
          </w:p>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410"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5.1.6-3</w:t>
            </w:r>
          </w:p>
        </w:tc>
        <w:tc>
          <w:tcPr>
            <w:tcW w:w="3685" w:type="dxa"/>
            <w:vMerge w:val="continue"/>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410"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5.1.13</w:t>
            </w:r>
          </w:p>
        </w:tc>
        <w:tc>
          <w:tcPr>
            <w:tcW w:w="3685" w:type="dxa"/>
            <w:vMerge w:val="continue"/>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410" w:type="dxa"/>
            <w:vMerge w:val="continue"/>
          </w:tcPr>
          <w:p>
            <w:pPr>
              <w:spacing w:line="360" w:lineRule="auto"/>
              <w:rPr>
                <w:rFonts w:hAnsi="宋体"/>
                <w:sz w:val="24"/>
              </w:rPr>
            </w:pPr>
          </w:p>
        </w:tc>
        <w:tc>
          <w:tcPr>
            <w:tcW w:w="1701" w:type="dxa"/>
          </w:tcPr>
          <w:p>
            <w:pPr>
              <w:spacing w:line="360" w:lineRule="auto"/>
              <w:rPr>
                <w:rFonts w:hAnsi="宋体"/>
                <w:sz w:val="24"/>
              </w:rPr>
            </w:pPr>
            <w:r>
              <w:rPr>
                <w:rFonts w:hint="eastAsia" w:hAnsi="宋体"/>
                <w:sz w:val="24"/>
              </w:rPr>
              <w:t>5.3.14</w:t>
            </w:r>
          </w:p>
        </w:tc>
        <w:tc>
          <w:tcPr>
            <w:tcW w:w="3685" w:type="dxa"/>
          </w:tcPr>
          <w:p>
            <w:pPr>
              <w:spacing w:line="360" w:lineRule="auto"/>
              <w:rPr>
                <w:rFonts w:hAnsi="宋体"/>
                <w:sz w:val="24"/>
              </w:rPr>
            </w:pPr>
            <w:r>
              <w:rPr>
                <w:rFonts w:hint="eastAsia" w:hAnsi="宋体"/>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ind w:firstLine="480" w:firstLineChars="200"/>
              <w:rPr>
                <w:rFonts w:hAnsi="宋体"/>
                <w:sz w:val="24"/>
              </w:rPr>
            </w:pPr>
            <w:r>
              <w:rPr>
                <w:rFonts w:hint="eastAsia" w:hAnsi="宋体"/>
                <w:sz w:val="24"/>
              </w:rPr>
              <w:t>设计人员应根据设计说明、计算书和结构设计大样等，按照项目实际，填写此项内容。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int="eastAsia" w:hAnsi="宋体"/>
                <w:sz w:val="24"/>
              </w:rPr>
              <w:t>建筑的公共区域充分考虑墙面或者易接触面不应有明显棱角或尖锐突出物，保证使用者，特别是行动不便的老人、残疾人、儿童行走安全；</w:t>
            </w:r>
          </w:p>
          <w:p>
            <w:pPr>
              <w:spacing w:line="360" w:lineRule="auto"/>
              <w:ind w:firstLine="480" w:firstLineChars="200"/>
              <w:rPr>
                <w:rFonts w:hAnsi="宋体"/>
                <w:sz w:val="24"/>
              </w:rPr>
            </w:pPr>
            <w:r>
              <w:rPr>
                <w:rFonts w:hint="eastAsia" w:hAnsi="宋体"/>
                <w:sz w:val="24"/>
              </w:rPr>
              <w:t>在电梯的设计中，可容纳担架的电梯能保证建筑使用者出现突发病症时，更方便地利用垂直交通。</w:t>
            </w:r>
          </w:p>
        </w:tc>
      </w:tr>
    </w:tbl>
    <w:p>
      <w:pPr>
        <w:pStyle w:val="78"/>
        <w:tabs>
          <w:tab w:val="left" w:pos="360"/>
        </w:tabs>
        <w:spacing w:before="124" w:beforeLines="40" w:after="124" w:afterLines="40" w:line="360" w:lineRule="auto"/>
        <w:ind w:firstLine="0" w:firstLineChars="0"/>
        <w:rPr>
          <w:rFonts w:hAnsi="宋体"/>
          <w:sz w:val="24"/>
        </w:rPr>
      </w:pPr>
      <w:r>
        <w:rPr>
          <w:rFonts w:hint="eastAsia" w:hAnsi="宋体"/>
          <w:sz w:val="24"/>
        </w:rPr>
        <w:t>12.5采取措施提高阳台、外窗、窗台、防护栏杆等安全防护水平；</w:t>
      </w:r>
    </w:p>
    <w:p>
      <w:pPr>
        <w:pStyle w:val="78"/>
        <w:tabs>
          <w:tab w:val="left" w:pos="360"/>
        </w:tabs>
        <w:spacing w:before="124" w:beforeLines="40" w:after="124" w:afterLines="40" w:line="360" w:lineRule="auto"/>
        <w:ind w:firstLine="0" w:firstLineChars="0"/>
        <w:rPr>
          <w:rFonts w:hAnsi="宋体"/>
          <w:sz w:val="24"/>
        </w:rPr>
      </w:pPr>
      <w:r>
        <w:rPr>
          <w:rFonts w:hint="eastAsia" w:hAnsi="宋体"/>
          <w:sz w:val="24"/>
        </w:rPr>
        <w:t>12.6建筑物主要出入口均设外墙饰面、门窗玻璃意外脱落的防护措施；</w:t>
      </w:r>
    </w:p>
    <w:p>
      <w:pPr>
        <w:pStyle w:val="78"/>
        <w:tabs>
          <w:tab w:val="left" w:pos="360"/>
        </w:tabs>
        <w:spacing w:before="124" w:beforeLines="40" w:after="124" w:afterLines="40" w:line="360" w:lineRule="auto"/>
        <w:ind w:firstLine="0" w:firstLineChars="0"/>
        <w:rPr>
          <w:rFonts w:hAnsi="宋体"/>
          <w:sz w:val="24"/>
        </w:rPr>
      </w:pPr>
      <w:r>
        <w:rPr>
          <w:rFonts w:hint="eastAsia" w:hAnsi="宋体"/>
          <w:sz w:val="24"/>
        </w:rPr>
        <w:t>12.7建筑设计采用具有安全防护功能的产品或配件；</w:t>
      </w:r>
    </w:p>
    <w:p>
      <w:pPr>
        <w:pStyle w:val="78"/>
        <w:tabs>
          <w:tab w:val="left" w:pos="360"/>
        </w:tabs>
        <w:spacing w:before="124" w:beforeLines="40" w:after="124" w:afterLines="40" w:line="360" w:lineRule="auto"/>
        <w:ind w:firstLine="0" w:firstLineChars="0"/>
        <w:rPr>
          <w:rFonts w:hAnsi="宋体"/>
          <w:sz w:val="24"/>
        </w:rPr>
      </w:pPr>
      <w:r>
        <w:rPr>
          <w:rFonts w:hint="eastAsia" w:hAnsi="宋体"/>
          <w:sz w:val="24"/>
        </w:rPr>
        <w:t>12.8室内场所楼地面设置防滑措施；</w:t>
      </w:r>
    </w:p>
    <w:p>
      <w:pPr>
        <w:pStyle w:val="78"/>
        <w:tabs>
          <w:tab w:val="left" w:pos="360"/>
        </w:tabs>
        <w:spacing w:before="124" w:beforeLines="40" w:after="124" w:afterLines="40" w:line="360" w:lineRule="auto"/>
        <w:ind w:firstLine="0" w:firstLineChars="0"/>
        <w:rPr>
          <w:rFonts w:hAnsi="宋体"/>
          <w:sz w:val="24"/>
        </w:rPr>
      </w:pPr>
      <w:r>
        <w:rPr>
          <w:rFonts w:hint="eastAsia" w:hAnsi="宋体"/>
          <w:sz w:val="24"/>
        </w:rPr>
        <w:t>12.9建筑内特定部位具有安全防护的警示标识和安全引导标识系统；</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843"/>
        <w:gridCol w:w="1276"/>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Merge w:val="restart"/>
          </w:tcPr>
          <w:p>
            <w:pPr>
              <w:spacing w:line="360" w:lineRule="auto"/>
              <w:rPr>
                <w:rFonts w:hAnsi="宋体"/>
                <w:sz w:val="24"/>
              </w:rPr>
            </w:pPr>
            <w:r>
              <w:rPr>
                <w:rFonts w:hint="eastAsia" w:hAnsi="宋体"/>
                <w:sz w:val="24"/>
              </w:rPr>
              <w:t>12.1-12.14条文来源</w:t>
            </w:r>
          </w:p>
        </w:tc>
        <w:tc>
          <w:tcPr>
            <w:tcW w:w="1843" w:type="dxa"/>
            <w:vMerge w:val="restart"/>
          </w:tcPr>
          <w:p>
            <w:pPr>
              <w:spacing w:line="360" w:lineRule="auto"/>
              <w:rPr>
                <w:rFonts w:hAnsi="宋体"/>
                <w:sz w:val="24"/>
              </w:rPr>
            </w:pPr>
            <w:r>
              <w:rPr>
                <w:rFonts w:hint="eastAsia" w:hAnsi="宋体"/>
                <w:sz w:val="24"/>
              </w:rPr>
              <w:t>GB/T 50378-2019</w:t>
            </w:r>
          </w:p>
        </w:tc>
        <w:tc>
          <w:tcPr>
            <w:tcW w:w="1276" w:type="dxa"/>
          </w:tcPr>
          <w:p>
            <w:pPr>
              <w:spacing w:line="360" w:lineRule="auto"/>
              <w:rPr>
                <w:rFonts w:hAnsi="宋体"/>
                <w:sz w:val="24"/>
              </w:rPr>
            </w:pPr>
            <w:r>
              <w:rPr>
                <w:rFonts w:hint="eastAsia" w:hAnsi="宋体"/>
                <w:sz w:val="24"/>
              </w:rPr>
              <w:t>4.1.8</w:t>
            </w:r>
          </w:p>
        </w:tc>
        <w:tc>
          <w:tcPr>
            <w:tcW w:w="4536" w:type="dxa"/>
          </w:tcPr>
          <w:p>
            <w:pPr>
              <w:spacing w:line="360" w:lineRule="auto"/>
              <w:rPr>
                <w:rFonts w:hAnsi="宋体"/>
                <w:strike/>
                <w:sz w:val="24"/>
              </w:rPr>
            </w:pPr>
            <w:r>
              <w:rPr>
                <w:rFonts w:hint="eastAsia"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276" w:type="dxa"/>
            <w:vMerge w:val="restart"/>
          </w:tcPr>
          <w:p>
            <w:pPr>
              <w:spacing w:line="360" w:lineRule="auto"/>
              <w:rPr>
                <w:rFonts w:hAnsi="宋体"/>
                <w:sz w:val="24"/>
              </w:rPr>
            </w:pPr>
            <w:r>
              <w:rPr>
                <w:rFonts w:hint="eastAsia" w:hAnsi="宋体"/>
                <w:sz w:val="24"/>
              </w:rPr>
              <w:t>4.2.2</w:t>
            </w:r>
          </w:p>
        </w:tc>
        <w:tc>
          <w:tcPr>
            <w:tcW w:w="4536" w:type="dxa"/>
          </w:tcPr>
          <w:p>
            <w:pPr>
              <w:spacing w:line="360" w:lineRule="auto"/>
              <w:rPr>
                <w:rFonts w:hAnsi="宋体"/>
                <w:strike/>
                <w:sz w:val="24"/>
              </w:rPr>
            </w:pPr>
            <w:r>
              <w:rPr>
                <w:rFonts w:hint="eastAsia" w:hAnsi="宋体"/>
                <w:sz w:val="24"/>
              </w:rPr>
              <w:t>采取措施提高阳台、外窗、窗台、防护栏杆等安全防护水平，得5分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276" w:type="dxa"/>
            <w:vMerge w:val="continue"/>
          </w:tcPr>
          <w:p>
            <w:pPr>
              <w:spacing w:line="360" w:lineRule="auto"/>
              <w:rPr>
                <w:rFonts w:hAnsi="宋体"/>
                <w:sz w:val="24"/>
              </w:rPr>
            </w:pPr>
          </w:p>
        </w:tc>
        <w:tc>
          <w:tcPr>
            <w:tcW w:w="4536" w:type="dxa"/>
          </w:tcPr>
          <w:p>
            <w:pPr>
              <w:spacing w:line="360" w:lineRule="auto"/>
              <w:rPr>
                <w:rFonts w:hAnsi="宋体"/>
                <w:strike/>
                <w:sz w:val="24"/>
              </w:rPr>
            </w:pPr>
            <w:r>
              <w:rPr>
                <w:rFonts w:hint="eastAsia" w:hAnsi="宋体"/>
                <w:sz w:val="24"/>
              </w:rPr>
              <w:t>建筑物出入口均设外墙饰面、门窗玻璃意外脱落的防护措施，并与人员通行区域的遮阳、遮风或挡雨措施结合，得5分；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276" w:type="dxa"/>
            <w:vMerge w:val="continue"/>
          </w:tcPr>
          <w:p>
            <w:pPr>
              <w:spacing w:line="360" w:lineRule="auto"/>
              <w:rPr>
                <w:rFonts w:hAnsi="宋体"/>
                <w:sz w:val="24"/>
              </w:rPr>
            </w:pPr>
          </w:p>
        </w:tc>
        <w:tc>
          <w:tcPr>
            <w:tcW w:w="4536" w:type="dxa"/>
          </w:tcPr>
          <w:p>
            <w:pPr>
              <w:spacing w:line="360" w:lineRule="auto"/>
              <w:rPr>
                <w:rFonts w:hAnsi="宋体"/>
                <w:strike/>
                <w:sz w:val="24"/>
              </w:rPr>
            </w:pPr>
            <w:r>
              <w:rPr>
                <w:rFonts w:hint="eastAsia" w:hAnsi="宋体"/>
                <w:sz w:val="24"/>
              </w:rPr>
              <w:t>利用场地或景观形成可降低坠物风险的缓冲区、隔离带，得5分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spacing w:line="360" w:lineRule="auto"/>
              <w:rPr>
                <w:rFonts w:hAnsi="宋体"/>
                <w:strike/>
                <w:sz w:val="24"/>
              </w:rPr>
            </w:pPr>
          </w:p>
        </w:tc>
        <w:tc>
          <w:tcPr>
            <w:tcW w:w="1843" w:type="dxa"/>
            <w:vMerge w:val="continue"/>
          </w:tcPr>
          <w:p>
            <w:pPr>
              <w:spacing w:line="360" w:lineRule="auto"/>
              <w:rPr>
                <w:rFonts w:hAnsi="宋体"/>
                <w:strike/>
                <w:sz w:val="24"/>
              </w:rPr>
            </w:pPr>
          </w:p>
        </w:tc>
        <w:tc>
          <w:tcPr>
            <w:tcW w:w="1276" w:type="dxa"/>
            <w:vMerge w:val="restart"/>
          </w:tcPr>
          <w:p>
            <w:pPr>
              <w:spacing w:line="360" w:lineRule="auto"/>
              <w:rPr>
                <w:rFonts w:hAnsi="宋体"/>
                <w:sz w:val="24"/>
              </w:rPr>
            </w:pPr>
            <w:r>
              <w:rPr>
                <w:rFonts w:hint="eastAsia" w:hAnsi="宋体"/>
                <w:sz w:val="24"/>
              </w:rPr>
              <w:t>4.2.3</w:t>
            </w:r>
          </w:p>
        </w:tc>
        <w:tc>
          <w:tcPr>
            <w:tcW w:w="4536" w:type="dxa"/>
          </w:tcPr>
          <w:p>
            <w:pPr>
              <w:spacing w:line="360" w:lineRule="auto"/>
              <w:rPr>
                <w:rFonts w:hAnsi="宋体"/>
                <w:sz w:val="24"/>
              </w:rPr>
            </w:pPr>
            <w:r>
              <w:rPr>
                <w:rFonts w:hint="eastAsia" w:hAnsi="宋体"/>
                <w:sz w:val="24"/>
              </w:rPr>
              <w:t>采用具有安全防护功能的玻璃，得5分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spacing w:line="360" w:lineRule="auto"/>
              <w:rPr>
                <w:rFonts w:hAnsi="宋体"/>
                <w:strike/>
                <w:sz w:val="24"/>
              </w:rPr>
            </w:pPr>
          </w:p>
        </w:tc>
        <w:tc>
          <w:tcPr>
            <w:tcW w:w="1843" w:type="dxa"/>
            <w:vMerge w:val="continue"/>
          </w:tcPr>
          <w:p>
            <w:pPr>
              <w:spacing w:line="360" w:lineRule="auto"/>
              <w:rPr>
                <w:rFonts w:hAnsi="宋体"/>
                <w:strike/>
                <w:sz w:val="24"/>
              </w:rPr>
            </w:pPr>
          </w:p>
        </w:tc>
        <w:tc>
          <w:tcPr>
            <w:tcW w:w="1276" w:type="dxa"/>
            <w:vMerge w:val="continue"/>
          </w:tcPr>
          <w:p>
            <w:pPr>
              <w:spacing w:line="360" w:lineRule="auto"/>
              <w:rPr>
                <w:rFonts w:hAnsi="宋体"/>
                <w:sz w:val="24"/>
              </w:rPr>
            </w:pPr>
          </w:p>
        </w:tc>
        <w:tc>
          <w:tcPr>
            <w:tcW w:w="4536" w:type="dxa"/>
          </w:tcPr>
          <w:p>
            <w:pPr>
              <w:spacing w:line="360" w:lineRule="auto"/>
              <w:rPr>
                <w:rFonts w:hAnsi="宋体"/>
                <w:sz w:val="24"/>
              </w:rPr>
            </w:pPr>
            <w:r>
              <w:rPr>
                <w:rFonts w:hint="eastAsia" w:hAnsi="宋体"/>
                <w:sz w:val="24"/>
              </w:rPr>
              <w:t>采用具备防夹功能的门窗，得5分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spacing w:line="360" w:lineRule="auto"/>
              <w:rPr>
                <w:rFonts w:hAnsi="宋体"/>
                <w:strike/>
                <w:sz w:val="24"/>
              </w:rPr>
            </w:pPr>
          </w:p>
        </w:tc>
        <w:tc>
          <w:tcPr>
            <w:tcW w:w="1843" w:type="dxa"/>
            <w:vMerge w:val="continue"/>
          </w:tcPr>
          <w:p>
            <w:pPr>
              <w:spacing w:line="360" w:lineRule="auto"/>
              <w:rPr>
                <w:rFonts w:hAnsi="宋体"/>
                <w:strike/>
                <w:sz w:val="24"/>
              </w:rPr>
            </w:pPr>
          </w:p>
        </w:tc>
        <w:tc>
          <w:tcPr>
            <w:tcW w:w="1276" w:type="dxa"/>
            <w:vMerge w:val="restart"/>
          </w:tcPr>
          <w:p>
            <w:pPr>
              <w:spacing w:line="360" w:lineRule="auto"/>
              <w:rPr>
                <w:rFonts w:hAnsi="宋体"/>
                <w:sz w:val="24"/>
              </w:rPr>
            </w:pPr>
            <w:r>
              <w:rPr>
                <w:rFonts w:hint="eastAsia" w:hAnsi="宋体"/>
                <w:sz w:val="24"/>
              </w:rPr>
              <w:t>4.2.4</w:t>
            </w:r>
          </w:p>
        </w:tc>
        <w:tc>
          <w:tcPr>
            <w:tcW w:w="4536" w:type="dxa"/>
          </w:tcPr>
          <w:p>
            <w:pPr>
              <w:spacing w:line="360" w:lineRule="auto"/>
              <w:rPr>
                <w:rFonts w:hAnsi="宋体"/>
                <w:sz w:val="24"/>
              </w:rPr>
            </w:pPr>
            <w:r>
              <w:rPr>
                <w:rFonts w:hint="eastAsia" w:hAnsi="宋体"/>
                <w:sz w:val="24"/>
              </w:rPr>
              <w:t>建筑出入口及平台、公共走廊、电梯门厅、厨房、浴室、卫生间等设置防滑措施，防滑等级不低于B</w:t>
            </w:r>
            <w:r>
              <w:rPr>
                <w:rFonts w:hint="eastAsia" w:hAnsi="宋体"/>
                <w:sz w:val="24"/>
                <w:vertAlign w:val="subscript"/>
              </w:rPr>
              <w:t>d</w:t>
            </w:r>
            <w:r>
              <w:rPr>
                <w:rFonts w:hint="eastAsia" w:hAnsi="宋体"/>
                <w:sz w:val="24"/>
              </w:rPr>
              <w:t xml:space="preserve"> 、B</w:t>
            </w:r>
            <w:r>
              <w:rPr>
                <w:rFonts w:hint="eastAsia" w:hAnsi="宋体"/>
                <w:sz w:val="24"/>
                <w:vertAlign w:val="subscript"/>
              </w:rPr>
              <w:t>w</w:t>
            </w:r>
            <w:r>
              <w:rPr>
                <w:rFonts w:hint="eastAsia" w:hAnsi="宋体"/>
                <w:sz w:val="24"/>
              </w:rPr>
              <w:t xml:space="preserve"> 级得3分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spacing w:line="360" w:lineRule="auto"/>
              <w:rPr>
                <w:rFonts w:hAnsi="宋体"/>
                <w:strike/>
                <w:sz w:val="24"/>
              </w:rPr>
            </w:pPr>
          </w:p>
        </w:tc>
        <w:tc>
          <w:tcPr>
            <w:tcW w:w="1843" w:type="dxa"/>
            <w:vMerge w:val="continue"/>
          </w:tcPr>
          <w:p>
            <w:pPr>
              <w:spacing w:line="360" w:lineRule="auto"/>
              <w:rPr>
                <w:rFonts w:hAnsi="宋体"/>
                <w:strike/>
                <w:sz w:val="24"/>
              </w:rPr>
            </w:pPr>
          </w:p>
        </w:tc>
        <w:tc>
          <w:tcPr>
            <w:tcW w:w="1276" w:type="dxa"/>
            <w:vMerge w:val="continue"/>
          </w:tcPr>
          <w:p>
            <w:pPr>
              <w:spacing w:line="360" w:lineRule="auto"/>
              <w:rPr>
                <w:rFonts w:hAnsi="宋体"/>
                <w:sz w:val="24"/>
              </w:rPr>
            </w:pPr>
          </w:p>
        </w:tc>
        <w:tc>
          <w:tcPr>
            <w:tcW w:w="4536" w:type="dxa"/>
          </w:tcPr>
          <w:p>
            <w:pPr>
              <w:spacing w:line="360" w:lineRule="auto"/>
              <w:rPr>
                <w:rFonts w:hAnsi="宋体"/>
                <w:sz w:val="24"/>
              </w:rPr>
            </w:pPr>
            <w:r>
              <w:rPr>
                <w:rFonts w:hint="eastAsia" w:hAnsi="宋体"/>
                <w:sz w:val="24"/>
              </w:rPr>
              <w:t>建筑室内外活动场所采用防滑地面，防滑等级达到A</w:t>
            </w:r>
            <w:r>
              <w:rPr>
                <w:rFonts w:hint="eastAsia" w:hAnsi="宋体"/>
                <w:sz w:val="24"/>
                <w:vertAlign w:val="subscript"/>
              </w:rPr>
              <w:t>d</w:t>
            </w:r>
            <w:r>
              <w:rPr>
                <w:rFonts w:hint="eastAsia" w:hAnsi="宋体"/>
                <w:sz w:val="24"/>
              </w:rPr>
              <w:t>、A</w:t>
            </w:r>
            <w:r>
              <w:rPr>
                <w:rFonts w:hint="eastAsia" w:hAnsi="宋体"/>
                <w:sz w:val="24"/>
                <w:vertAlign w:val="subscript"/>
              </w:rPr>
              <w:t>w</w:t>
            </w:r>
            <w:r>
              <w:rPr>
                <w:rFonts w:hint="eastAsia" w:hAnsi="宋体"/>
                <w:sz w:val="24"/>
              </w:rPr>
              <w:t xml:space="preserve"> 级，得4分；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spacing w:line="360" w:lineRule="auto"/>
              <w:rPr>
                <w:rFonts w:hAnsi="宋体"/>
                <w:strike/>
                <w:sz w:val="24"/>
              </w:rPr>
            </w:pPr>
          </w:p>
        </w:tc>
        <w:tc>
          <w:tcPr>
            <w:tcW w:w="1843" w:type="dxa"/>
            <w:vMerge w:val="continue"/>
          </w:tcPr>
          <w:p>
            <w:pPr>
              <w:spacing w:line="360" w:lineRule="auto"/>
              <w:rPr>
                <w:rFonts w:hAnsi="宋体"/>
                <w:strike/>
                <w:sz w:val="24"/>
              </w:rPr>
            </w:pPr>
          </w:p>
        </w:tc>
        <w:tc>
          <w:tcPr>
            <w:tcW w:w="1276" w:type="dxa"/>
            <w:vMerge w:val="continue"/>
          </w:tcPr>
          <w:p>
            <w:pPr>
              <w:spacing w:line="360" w:lineRule="auto"/>
              <w:rPr>
                <w:rFonts w:hAnsi="宋体"/>
                <w:sz w:val="24"/>
              </w:rPr>
            </w:pPr>
          </w:p>
        </w:tc>
        <w:tc>
          <w:tcPr>
            <w:tcW w:w="4536" w:type="dxa"/>
          </w:tcPr>
          <w:p>
            <w:pPr>
              <w:spacing w:line="360" w:lineRule="auto"/>
              <w:rPr>
                <w:rFonts w:hAnsi="宋体"/>
                <w:sz w:val="24"/>
              </w:rPr>
            </w:pPr>
            <w:r>
              <w:rPr>
                <w:rFonts w:hint="eastAsia" w:hAnsi="宋体"/>
                <w:sz w:val="24"/>
              </w:rPr>
              <w:t>建筑坡道、楼梯踏步防滑等级达到A</w:t>
            </w:r>
            <w:r>
              <w:rPr>
                <w:rFonts w:hint="eastAsia" w:hAnsi="宋体"/>
                <w:sz w:val="24"/>
                <w:vertAlign w:val="subscript"/>
              </w:rPr>
              <w:t>d</w:t>
            </w:r>
            <w:r>
              <w:rPr>
                <w:rFonts w:hint="eastAsia" w:hAnsi="宋体"/>
                <w:sz w:val="24"/>
              </w:rPr>
              <w:t>、A</w:t>
            </w:r>
            <w:r>
              <w:rPr>
                <w:rFonts w:hint="eastAsia" w:hAnsi="宋体"/>
                <w:sz w:val="24"/>
                <w:vertAlign w:val="subscript"/>
              </w:rPr>
              <w:t>w</w:t>
            </w:r>
            <w:r>
              <w:rPr>
                <w:rFonts w:hint="eastAsia" w:hAnsi="宋体"/>
                <w:sz w:val="24"/>
              </w:rPr>
              <w:t>级或按水平地面等级提高一级，并采用防滑条等防滑构造技术措施，得3分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Merge w:val="continue"/>
          </w:tcPr>
          <w:p>
            <w:pPr>
              <w:spacing w:line="360" w:lineRule="auto"/>
              <w:rPr>
                <w:rFonts w:hAnsi="宋体"/>
                <w:sz w:val="24"/>
              </w:rPr>
            </w:pPr>
          </w:p>
        </w:tc>
        <w:tc>
          <w:tcPr>
            <w:tcW w:w="1843" w:type="dxa"/>
            <w:vMerge w:val="restart"/>
          </w:tcPr>
          <w:p>
            <w:pPr>
              <w:spacing w:line="360" w:lineRule="auto"/>
              <w:rPr>
                <w:rFonts w:hAnsi="宋体"/>
                <w:sz w:val="24"/>
              </w:rPr>
            </w:pPr>
            <w:r>
              <w:rPr>
                <w:rFonts w:hint="eastAsia" w:hAnsi="宋体"/>
                <w:sz w:val="24"/>
              </w:rPr>
              <w:t>DB 33/1092-2021</w:t>
            </w:r>
          </w:p>
        </w:tc>
        <w:tc>
          <w:tcPr>
            <w:tcW w:w="1276" w:type="dxa"/>
          </w:tcPr>
          <w:p>
            <w:pPr>
              <w:spacing w:line="360" w:lineRule="auto"/>
              <w:rPr>
                <w:rFonts w:hAnsi="宋体"/>
                <w:sz w:val="24"/>
              </w:rPr>
            </w:pPr>
            <w:r>
              <w:rPr>
                <w:rFonts w:hint="eastAsia" w:hAnsi="宋体"/>
                <w:sz w:val="24"/>
              </w:rPr>
              <w:t>5.1.8</w:t>
            </w:r>
          </w:p>
        </w:tc>
        <w:tc>
          <w:tcPr>
            <w:tcW w:w="4536" w:type="dxa"/>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276" w:type="dxa"/>
          </w:tcPr>
          <w:p>
            <w:pPr>
              <w:spacing w:line="360" w:lineRule="auto"/>
              <w:rPr>
                <w:rFonts w:hAnsi="宋体"/>
                <w:sz w:val="24"/>
              </w:rPr>
            </w:pPr>
            <w:r>
              <w:rPr>
                <w:rFonts w:hint="eastAsia" w:hAnsi="宋体"/>
                <w:sz w:val="24"/>
              </w:rPr>
              <w:t>5.2.13</w:t>
            </w:r>
          </w:p>
        </w:tc>
        <w:tc>
          <w:tcPr>
            <w:tcW w:w="4536" w:type="dxa"/>
            <w:vMerge w:val="restart"/>
          </w:tcPr>
          <w:p>
            <w:pPr>
              <w:spacing w:line="360" w:lineRule="auto"/>
              <w:rPr>
                <w:rFonts w:hAnsi="宋体"/>
                <w:sz w:val="24"/>
              </w:rPr>
            </w:pPr>
            <w:r>
              <w:rPr>
                <w:rFonts w:hint="eastAsia" w:hAnsi="宋体"/>
                <w:sz w:val="24"/>
              </w:rPr>
              <w:t>一星设计要求</w:t>
            </w:r>
          </w:p>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276" w:type="dxa"/>
          </w:tcPr>
          <w:p>
            <w:pPr>
              <w:spacing w:line="360" w:lineRule="auto"/>
              <w:rPr>
                <w:rFonts w:hAnsi="宋体"/>
                <w:sz w:val="24"/>
              </w:rPr>
            </w:pPr>
            <w:r>
              <w:rPr>
                <w:rFonts w:hint="eastAsia" w:hAnsi="宋体"/>
                <w:sz w:val="24"/>
              </w:rPr>
              <w:t>5.2.34</w:t>
            </w:r>
          </w:p>
        </w:tc>
        <w:tc>
          <w:tcPr>
            <w:tcW w:w="4536" w:type="dxa"/>
            <w:vMerge w:val="continue"/>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276" w:type="dxa"/>
          </w:tcPr>
          <w:p>
            <w:pPr>
              <w:spacing w:line="360" w:lineRule="auto"/>
              <w:rPr>
                <w:rFonts w:hAnsi="宋体"/>
                <w:sz w:val="24"/>
              </w:rPr>
            </w:pPr>
            <w:r>
              <w:rPr>
                <w:rFonts w:hint="eastAsia" w:hAnsi="宋体"/>
                <w:sz w:val="24"/>
              </w:rPr>
              <w:t>5.2.35</w:t>
            </w:r>
          </w:p>
        </w:tc>
        <w:tc>
          <w:tcPr>
            <w:tcW w:w="4536" w:type="dxa"/>
            <w:vMerge w:val="continue"/>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276" w:type="dxa"/>
          </w:tcPr>
          <w:p>
            <w:pPr>
              <w:spacing w:line="360" w:lineRule="auto"/>
              <w:rPr>
                <w:rFonts w:hAnsi="宋体"/>
                <w:sz w:val="24"/>
              </w:rPr>
            </w:pPr>
            <w:r>
              <w:rPr>
                <w:rFonts w:hint="eastAsia" w:hAnsi="宋体"/>
                <w:sz w:val="24"/>
              </w:rPr>
              <w:t>5.2.36</w:t>
            </w:r>
          </w:p>
        </w:tc>
        <w:tc>
          <w:tcPr>
            <w:tcW w:w="4536" w:type="dxa"/>
            <w:vMerge w:val="continue"/>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655" w:type="dxa"/>
            <w:gridSpan w:val="3"/>
          </w:tcPr>
          <w:p>
            <w:pPr>
              <w:spacing w:line="360" w:lineRule="auto"/>
              <w:ind w:firstLine="480" w:firstLineChars="200"/>
              <w:rPr>
                <w:rFonts w:hAnsi="宋体"/>
                <w:sz w:val="24"/>
              </w:rPr>
            </w:pPr>
            <w:r>
              <w:rPr>
                <w:rFonts w:hint="eastAsia" w:hAnsi="宋体"/>
                <w:sz w:val="24"/>
              </w:rPr>
              <w:t>设计人员应根据建筑设计说明、标示系统设计与设置说明、建筑施工图、室外场地设计图、防水和防潮构造措施和说明等，按照项目实际，填写此项内容。</w:t>
            </w:r>
          </w:p>
          <w:p>
            <w:pPr>
              <w:spacing w:line="360" w:lineRule="auto"/>
              <w:ind w:firstLine="480" w:firstLineChars="200"/>
              <w:rPr>
                <w:rFonts w:hAnsi="宋体"/>
                <w:sz w:val="24"/>
              </w:rPr>
            </w:pPr>
            <w:r>
              <w:rPr>
                <w:rFonts w:hint="eastAsia" w:hAnsi="宋体"/>
                <w:sz w:val="24"/>
              </w:rPr>
              <w:t>选取装饰装修材料或产品时应有对应的图纸及说明。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9" w:hRule="atLeast"/>
        </w:trPr>
        <w:tc>
          <w:tcPr>
            <w:tcW w:w="1384" w:type="dxa"/>
          </w:tcPr>
          <w:p>
            <w:pPr>
              <w:spacing w:line="360" w:lineRule="auto"/>
              <w:rPr>
                <w:rFonts w:hAnsi="宋体"/>
                <w:sz w:val="24"/>
              </w:rPr>
            </w:pPr>
            <w:r>
              <w:rPr>
                <w:rFonts w:hint="eastAsia" w:hAnsi="宋体"/>
                <w:sz w:val="24"/>
              </w:rPr>
              <w:t>备注</w:t>
            </w:r>
          </w:p>
        </w:tc>
        <w:tc>
          <w:tcPr>
            <w:tcW w:w="7655" w:type="dxa"/>
            <w:gridSpan w:val="3"/>
          </w:tcPr>
          <w:p>
            <w:pPr>
              <w:spacing w:line="360" w:lineRule="auto"/>
              <w:ind w:firstLine="480" w:firstLineChars="200"/>
              <w:rPr>
                <w:rFonts w:hAnsi="宋体"/>
                <w:sz w:val="24"/>
              </w:rPr>
            </w:pPr>
            <w:r>
              <w:rPr>
                <w:rFonts w:hint="eastAsia" w:hAnsi="宋体"/>
                <w:sz w:val="24"/>
              </w:rPr>
              <w:t>对于人流量大、门窗开合频繁的民用建筑的公共区域，采用可调力度的闭门器或具有缓冲功能的延时闭门器等措施，防止夹人上人事故的发生。主要部位包括但不限于电梯门、大堂入口门、旋转门、推拉门窗等。</w:t>
            </w:r>
          </w:p>
        </w:tc>
      </w:tr>
    </w:tbl>
    <w:p>
      <w:pPr>
        <w:pStyle w:val="78"/>
        <w:tabs>
          <w:tab w:val="left" w:pos="360"/>
        </w:tabs>
        <w:spacing w:before="124" w:beforeLines="40" w:after="124" w:afterLines="40" w:line="360" w:lineRule="auto"/>
        <w:ind w:firstLine="0" w:firstLineChars="0"/>
        <w:rPr>
          <w:rFonts w:hAnsi="宋体"/>
          <w:sz w:val="24"/>
        </w:rPr>
      </w:pPr>
      <w:r>
        <w:rPr>
          <w:rFonts w:hint="eastAsia" w:hAnsi="宋体"/>
          <w:sz w:val="24"/>
        </w:rPr>
        <w:t>12.10建筑中频繁使用的活动配件应选用长寿命产品；</w:t>
      </w:r>
    </w:p>
    <w:p>
      <w:pPr>
        <w:pStyle w:val="78"/>
        <w:tabs>
          <w:tab w:val="left" w:pos="360"/>
        </w:tabs>
        <w:spacing w:before="124" w:beforeLines="40" w:after="124" w:afterLines="40" w:line="360" w:lineRule="auto"/>
        <w:ind w:firstLine="0" w:firstLineChars="0"/>
        <w:rPr>
          <w:rFonts w:hAnsi="宋体"/>
          <w:sz w:val="24"/>
        </w:rPr>
      </w:pPr>
      <w:r>
        <w:rPr>
          <w:rFonts w:hint="eastAsia" w:hAnsi="宋体"/>
          <w:sz w:val="24"/>
        </w:rPr>
        <w:t>12.11</w:t>
      </w:r>
      <w:r>
        <w:rPr>
          <w:rFonts w:hint="eastAsia" w:asciiTheme="minorEastAsia" w:hAnsiTheme="minorEastAsia" w:eastAsiaTheme="minorEastAsia"/>
          <w:sz w:val="24"/>
        </w:rPr>
        <w:t>装饰装修建筑材料的选用</w:t>
      </w:r>
      <w:r>
        <w:rPr>
          <w:rFonts w:hint="eastAsia" w:hAnsi="宋体"/>
          <w:sz w:val="24"/>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843"/>
        <w:gridCol w:w="1276"/>
        <w:gridCol w:w="4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6" w:hRule="atLeast"/>
        </w:trPr>
        <w:tc>
          <w:tcPr>
            <w:tcW w:w="1384" w:type="dxa"/>
            <w:vMerge w:val="restart"/>
          </w:tcPr>
          <w:p>
            <w:pPr>
              <w:spacing w:line="360" w:lineRule="auto"/>
              <w:rPr>
                <w:rFonts w:hAnsi="宋体"/>
                <w:sz w:val="24"/>
              </w:rPr>
            </w:pPr>
            <w:r>
              <w:rPr>
                <w:rFonts w:hint="eastAsia" w:hAnsi="宋体"/>
                <w:sz w:val="24"/>
              </w:rPr>
              <w:t>12.1-12.14条文来源</w:t>
            </w:r>
          </w:p>
        </w:tc>
        <w:tc>
          <w:tcPr>
            <w:tcW w:w="1843" w:type="dxa"/>
            <w:vMerge w:val="restart"/>
          </w:tcPr>
          <w:p>
            <w:pPr>
              <w:spacing w:line="360" w:lineRule="auto"/>
              <w:rPr>
                <w:rFonts w:hAnsi="宋体"/>
                <w:sz w:val="24"/>
              </w:rPr>
            </w:pPr>
            <w:r>
              <w:rPr>
                <w:rFonts w:hint="eastAsia" w:hAnsi="宋体"/>
                <w:sz w:val="24"/>
              </w:rPr>
              <w:t>GB/T 50378-2019</w:t>
            </w:r>
          </w:p>
        </w:tc>
        <w:tc>
          <w:tcPr>
            <w:tcW w:w="1276" w:type="dxa"/>
            <w:vMerge w:val="restart"/>
          </w:tcPr>
          <w:p>
            <w:pPr>
              <w:spacing w:line="360" w:lineRule="auto"/>
              <w:rPr>
                <w:rFonts w:hAnsi="宋体"/>
                <w:sz w:val="24"/>
              </w:rPr>
            </w:pPr>
            <w:r>
              <w:rPr>
                <w:rFonts w:hint="eastAsia" w:hAnsi="宋体"/>
                <w:sz w:val="24"/>
              </w:rPr>
              <w:t>4.2.7</w:t>
            </w:r>
          </w:p>
        </w:tc>
        <w:tc>
          <w:tcPr>
            <w:tcW w:w="4536" w:type="dxa"/>
          </w:tcPr>
          <w:p>
            <w:pPr>
              <w:spacing w:line="360" w:lineRule="auto"/>
              <w:rPr>
                <w:rFonts w:hAnsi="宋体"/>
                <w:strike/>
                <w:sz w:val="24"/>
              </w:rPr>
            </w:pPr>
            <w:r>
              <w:rPr>
                <w:rFonts w:hint="eastAsia" w:hAnsi="宋体"/>
                <w:sz w:val="24"/>
              </w:rPr>
              <w:t>使用耐腐蚀、抗老化、耐久性能好的管材、管线、管件，得5分；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spacing w:line="360" w:lineRule="auto"/>
              <w:rPr>
                <w:rFonts w:hAnsi="宋体"/>
                <w:strike/>
                <w:sz w:val="24"/>
              </w:rPr>
            </w:pPr>
          </w:p>
        </w:tc>
        <w:tc>
          <w:tcPr>
            <w:tcW w:w="1843" w:type="dxa"/>
            <w:vMerge w:val="continue"/>
          </w:tcPr>
          <w:p>
            <w:pPr>
              <w:spacing w:line="360" w:lineRule="auto"/>
              <w:rPr>
                <w:rFonts w:hAnsi="宋体"/>
                <w:strike/>
                <w:sz w:val="24"/>
              </w:rPr>
            </w:pPr>
          </w:p>
        </w:tc>
        <w:tc>
          <w:tcPr>
            <w:tcW w:w="1276" w:type="dxa"/>
            <w:vMerge w:val="continue"/>
          </w:tcPr>
          <w:p>
            <w:pPr>
              <w:spacing w:line="360" w:lineRule="auto"/>
              <w:rPr>
                <w:rFonts w:hAnsi="宋体"/>
                <w:sz w:val="24"/>
              </w:rPr>
            </w:pPr>
          </w:p>
        </w:tc>
        <w:tc>
          <w:tcPr>
            <w:tcW w:w="4536" w:type="dxa"/>
          </w:tcPr>
          <w:p>
            <w:pPr>
              <w:spacing w:line="360" w:lineRule="auto"/>
              <w:rPr>
                <w:rFonts w:hAnsi="宋体"/>
                <w:sz w:val="24"/>
              </w:rPr>
            </w:pPr>
            <w:r>
              <w:rPr>
                <w:rFonts w:hint="eastAsia" w:hAnsi="宋体"/>
                <w:sz w:val="24"/>
              </w:rPr>
              <w:t>活动配件选用长寿命产品，并考虑部品组合的同寿命性；不同使用寿命的部品组合时，采用便千分别拆换、更新和升级的构造，得5分。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spacing w:line="360" w:lineRule="auto"/>
              <w:rPr>
                <w:rFonts w:hAnsi="宋体"/>
                <w:strike/>
                <w:sz w:val="24"/>
              </w:rPr>
            </w:pPr>
          </w:p>
        </w:tc>
        <w:tc>
          <w:tcPr>
            <w:tcW w:w="1843" w:type="dxa"/>
            <w:vMerge w:val="continue"/>
          </w:tcPr>
          <w:p>
            <w:pPr>
              <w:spacing w:line="360" w:lineRule="auto"/>
              <w:rPr>
                <w:rFonts w:hAnsi="宋体"/>
                <w:strike/>
                <w:sz w:val="24"/>
              </w:rPr>
            </w:pPr>
          </w:p>
        </w:tc>
        <w:tc>
          <w:tcPr>
            <w:tcW w:w="1276" w:type="dxa"/>
            <w:vMerge w:val="restart"/>
          </w:tcPr>
          <w:p>
            <w:pPr>
              <w:spacing w:line="360" w:lineRule="auto"/>
              <w:rPr>
                <w:rFonts w:hAnsi="宋体"/>
                <w:sz w:val="24"/>
              </w:rPr>
            </w:pPr>
            <w:r>
              <w:rPr>
                <w:rFonts w:hint="eastAsia" w:hAnsi="宋体"/>
                <w:sz w:val="24"/>
              </w:rPr>
              <w:t>4.2.9</w:t>
            </w:r>
          </w:p>
        </w:tc>
        <w:tc>
          <w:tcPr>
            <w:tcW w:w="4536" w:type="dxa"/>
          </w:tcPr>
          <w:p>
            <w:pPr>
              <w:spacing w:line="360" w:lineRule="auto"/>
              <w:rPr>
                <w:rFonts w:hAnsi="宋体"/>
                <w:strike/>
                <w:sz w:val="24"/>
              </w:rPr>
            </w:pPr>
            <w:r>
              <w:rPr>
                <w:rFonts w:hint="eastAsia" w:hAnsi="宋体"/>
                <w:sz w:val="24"/>
              </w:rPr>
              <w:t>采用耐久性好的外饰面材料，得3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spacing w:line="360" w:lineRule="auto"/>
              <w:rPr>
                <w:rFonts w:hAnsi="宋体"/>
                <w:strike/>
                <w:sz w:val="24"/>
              </w:rPr>
            </w:pPr>
          </w:p>
        </w:tc>
        <w:tc>
          <w:tcPr>
            <w:tcW w:w="1843" w:type="dxa"/>
            <w:vMerge w:val="continue"/>
          </w:tcPr>
          <w:p>
            <w:pPr>
              <w:spacing w:line="360" w:lineRule="auto"/>
              <w:rPr>
                <w:rFonts w:hAnsi="宋体"/>
                <w:strike/>
                <w:sz w:val="24"/>
              </w:rPr>
            </w:pPr>
          </w:p>
        </w:tc>
        <w:tc>
          <w:tcPr>
            <w:tcW w:w="1276" w:type="dxa"/>
            <w:vMerge w:val="continue"/>
          </w:tcPr>
          <w:p>
            <w:pPr>
              <w:spacing w:line="360" w:lineRule="auto"/>
              <w:rPr>
                <w:rFonts w:hAnsi="宋体"/>
                <w:sz w:val="24"/>
              </w:rPr>
            </w:pPr>
          </w:p>
        </w:tc>
        <w:tc>
          <w:tcPr>
            <w:tcW w:w="4536" w:type="dxa"/>
          </w:tcPr>
          <w:p>
            <w:pPr>
              <w:spacing w:line="360" w:lineRule="auto"/>
              <w:rPr>
                <w:rFonts w:hAnsi="宋体"/>
                <w:sz w:val="24"/>
              </w:rPr>
            </w:pPr>
            <w:r>
              <w:rPr>
                <w:rFonts w:hint="eastAsia" w:hAnsi="宋体"/>
                <w:sz w:val="24"/>
              </w:rPr>
              <w:t>采用耐久性好的防水和密封材料，得3分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trPr>
        <w:tc>
          <w:tcPr>
            <w:tcW w:w="1384" w:type="dxa"/>
            <w:vMerge w:val="continue"/>
          </w:tcPr>
          <w:p>
            <w:pPr>
              <w:spacing w:line="360" w:lineRule="auto"/>
              <w:rPr>
                <w:rFonts w:hAnsi="宋体"/>
                <w:strike/>
                <w:sz w:val="24"/>
              </w:rPr>
            </w:pPr>
          </w:p>
        </w:tc>
        <w:tc>
          <w:tcPr>
            <w:tcW w:w="1843" w:type="dxa"/>
            <w:vMerge w:val="continue"/>
          </w:tcPr>
          <w:p>
            <w:pPr>
              <w:spacing w:line="360" w:lineRule="auto"/>
              <w:rPr>
                <w:rFonts w:hAnsi="宋体"/>
                <w:strike/>
                <w:sz w:val="24"/>
              </w:rPr>
            </w:pPr>
          </w:p>
        </w:tc>
        <w:tc>
          <w:tcPr>
            <w:tcW w:w="1276" w:type="dxa"/>
            <w:vMerge w:val="continue"/>
          </w:tcPr>
          <w:p>
            <w:pPr>
              <w:spacing w:line="360" w:lineRule="auto"/>
              <w:rPr>
                <w:rFonts w:hAnsi="宋体"/>
                <w:sz w:val="24"/>
              </w:rPr>
            </w:pPr>
          </w:p>
        </w:tc>
        <w:tc>
          <w:tcPr>
            <w:tcW w:w="4536" w:type="dxa"/>
          </w:tcPr>
          <w:p>
            <w:pPr>
              <w:spacing w:line="360" w:lineRule="auto"/>
              <w:rPr>
                <w:rFonts w:hAnsi="宋体"/>
                <w:sz w:val="24"/>
              </w:rPr>
            </w:pPr>
            <w:r>
              <w:rPr>
                <w:rFonts w:hint="eastAsia" w:hAnsi="宋体"/>
                <w:sz w:val="24"/>
              </w:rPr>
              <w:t>采用耐久性好、易维护的室内装饰装修材料，得3分。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 w:hRule="atLeast"/>
        </w:trPr>
        <w:tc>
          <w:tcPr>
            <w:tcW w:w="1384" w:type="dxa"/>
            <w:vMerge w:val="continue"/>
          </w:tcPr>
          <w:p>
            <w:pPr>
              <w:spacing w:line="360" w:lineRule="auto"/>
              <w:rPr>
                <w:rFonts w:hAnsi="宋体"/>
                <w:sz w:val="24"/>
              </w:rPr>
            </w:pPr>
          </w:p>
        </w:tc>
        <w:tc>
          <w:tcPr>
            <w:tcW w:w="1843" w:type="dxa"/>
            <w:vMerge w:val="restart"/>
          </w:tcPr>
          <w:p>
            <w:pPr>
              <w:spacing w:line="360" w:lineRule="auto"/>
              <w:rPr>
                <w:rFonts w:hAnsi="宋体"/>
                <w:sz w:val="24"/>
              </w:rPr>
            </w:pPr>
            <w:r>
              <w:rPr>
                <w:rFonts w:hint="eastAsia" w:hAnsi="宋体"/>
                <w:sz w:val="24"/>
              </w:rPr>
              <w:t>DB 33/1092-2021</w:t>
            </w:r>
          </w:p>
        </w:tc>
        <w:tc>
          <w:tcPr>
            <w:tcW w:w="1276" w:type="dxa"/>
          </w:tcPr>
          <w:p>
            <w:pPr>
              <w:spacing w:line="360" w:lineRule="auto"/>
              <w:rPr>
                <w:rFonts w:hAnsi="宋体"/>
                <w:sz w:val="24"/>
              </w:rPr>
            </w:pPr>
            <w:r>
              <w:rPr>
                <w:rFonts w:hint="eastAsia" w:hAnsi="宋体"/>
                <w:sz w:val="24"/>
              </w:rPr>
              <w:t>5.2.33</w:t>
            </w:r>
          </w:p>
        </w:tc>
        <w:tc>
          <w:tcPr>
            <w:tcW w:w="4536" w:type="dxa"/>
          </w:tcPr>
          <w:p>
            <w:pPr>
              <w:spacing w:line="360" w:lineRule="auto"/>
              <w:rPr>
                <w:rFonts w:hAnsi="宋体"/>
                <w:sz w:val="24"/>
              </w:rPr>
            </w:pPr>
            <w:r>
              <w:rPr>
                <w:rFonts w:hint="eastAsia" w:hAnsi="宋体"/>
                <w:sz w:val="24"/>
              </w:rPr>
              <w:t>一星设计要求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84" w:type="dxa"/>
            <w:vMerge w:val="continue"/>
          </w:tcPr>
          <w:p>
            <w:pPr>
              <w:spacing w:line="360" w:lineRule="auto"/>
              <w:rPr>
                <w:rFonts w:hAnsi="宋体"/>
                <w:sz w:val="24"/>
              </w:rPr>
            </w:pPr>
          </w:p>
        </w:tc>
        <w:tc>
          <w:tcPr>
            <w:tcW w:w="1843" w:type="dxa"/>
            <w:vMerge w:val="continue"/>
          </w:tcPr>
          <w:p>
            <w:pPr>
              <w:spacing w:line="360" w:lineRule="auto"/>
              <w:rPr>
                <w:rFonts w:hAnsi="宋体"/>
                <w:sz w:val="24"/>
              </w:rPr>
            </w:pPr>
          </w:p>
        </w:tc>
        <w:tc>
          <w:tcPr>
            <w:tcW w:w="1276" w:type="dxa"/>
          </w:tcPr>
          <w:p>
            <w:pPr>
              <w:spacing w:line="360" w:lineRule="auto"/>
              <w:rPr>
                <w:rFonts w:hAnsi="宋体"/>
                <w:sz w:val="24"/>
              </w:rPr>
            </w:pPr>
            <w:r>
              <w:rPr>
                <w:rFonts w:hint="eastAsia" w:hAnsi="宋体"/>
                <w:sz w:val="24"/>
              </w:rPr>
              <w:t>5.3.13</w:t>
            </w:r>
          </w:p>
        </w:tc>
        <w:tc>
          <w:tcPr>
            <w:tcW w:w="4536" w:type="dxa"/>
          </w:tcPr>
          <w:p>
            <w:pPr>
              <w:spacing w:line="360" w:lineRule="auto"/>
              <w:rPr>
                <w:rFonts w:hAnsi="宋体"/>
                <w:sz w:val="24"/>
              </w:rPr>
            </w:pPr>
            <w:r>
              <w:rPr>
                <w:rFonts w:hint="eastAsia" w:hAnsi="宋体"/>
                <w:sz w:val="24"/>
              </w:rPr>
              <w:t>二星设计要求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655" w:type="dxa"/>
            <w:gridSpan w:val="3"/>
          </w:tcPr>
          <w:p>
            <w:pPr>
              <w:spacing w:line="360" w:lineRule="auto"/>
              <w:ind w:firstLine="480" w:firstLineChars="200"/>
              <w:rPr>
                <w:rFonts w:hAnsi="宋体"/>
                <w:sz w:val="24"/>
              </w:rPr>
            </w:pPr>
            <w:r>
              <w:rPr>
                <w:rFonts w:hint="eastAsia" w:hAnsi="宋体"/>
                <w:sz w:val="24"/>
              </w:rPr>
              <w:t>设计人员应根据建筑、给水排水、电气、燃气、装修等专业设计说明，建筑施工图、装修材料表和装修施工图中的装修材料种类及技术要求说明。按照项目实际，填写此项内容。</w:t>
            </w:r>
          </w:p>
          <w:p>
            <w:pPr>
              <w:spacing w:line="360" w:lineRule="auto"/>
              <w:ind w:firstLine="480" w:firstLineChars="200"/>
              <w:rPr>
                <w:rFonts w:hAnsi="宋体"/>
                <w:sz w:val="24"/>
              </w:rPr>
            </w:pPr>
            <w:r>
              <w:rPr>
                <w:rFonts w:hint="eastAsia" w:hAnsi="宋体"/>
                <w:sz w:val="24"/>
              </w:rPr>
              <w:t>选取装饰装修材料或产品时应有对应的图纸及说明。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655" w:type="dxa"/>
            <w:gridSpan w:val="3"/>
          </w:tcPr>
          <w:p>
            <w:pPr>
              <w:spacing w:line="360" w:lineRule="auto"/>
              <w:ind w:firstLine="480" w:firstLineChars="200"/>
              <w:rPr>
                <w:rFonts w:hAnsi="宋体"/>
                <w:sz w:val="24"/>
              </w:rPr>
            </w:pPr>
            <w:r>
              <w:rPr>
                <w:rFonts w:hint="eastAsia" w:hAnsi="宋体"/>
                <w:sz w:val="24"/>
              </w:rPr>
              <w:t>活动配件指建筑的各种五金配件、管道阀门、开关龙头等，考虑选用长寿命的优质产品，且构造上易于更换。同时还应考虑为维护、更换操作提供方便条件。</w:t>
            </w:r>
          </w:p>
        </w:tc>
      </w:tr>
    </w:tbl>
    <w:p>
      <w:pPr>
        <w:pStyle w:val="78"/>
        <w:tabs>
          <w:tab w:val="left" w:pos="360"/>
        </w:tabs>
        <w:spacing w:before="124" w:beforeLines="40" w:after="124" w:afterLines="40" w:line="360" w:lineRule="auto"/>
        <w:ind w:firstLine="0" w:firstLineChars="0"/>
        <w:rPr>
          <w:rFonts w:hAnsi="宋体"/>
          <w:sz w:val="24"/>
        </w:rPr>
      </w:pPr>
    </w:p>
    <w:p>
      <w:pPr>
        <w:pStyle w:val="78"/>
        <w:tabs>
          <w:tab w:val="left" w:pos="360"/>
        </w:tabs>
        <w:spacing w:before="124" w:beforeLines="40" w:after="124" w:afterLines="40" w:line="360" w:lineRule="auto"/>
        <w:ind w:firstLine="0" w:firstLineChars="0"/>
        <w:rPr>
          <w:rFonts w:hAnsi="宋体"/>
          <w:b/>
          <w:sz w:val="24"/>
        </w:rPr>
      </w:pPr>
      <w:r>
        <w:rPr>
          <w:rFonts w:hint="eastAsia" w:hAnsi="宋体"/>
          <w:b/>
          <w:sz w:val="24"/>
        </w:rPr>
        <w:t>13. 应用建筑信息模型（BIM）技术：</w:t>
      </w:r>
    </w:p>
    <w:p>
      <w:pPr>
        <w:pStyle w:val="78"/>
        <w:tabs>
          <w:tab w:val="left" w:pos="360"/>
        </w:tabs>
        <w:spacing w:before="124" w:beforeLines="40" w:after="124" w:afterLines="40" w:line="360" w:lineRule="auto"/>
        <w:ind w:firstLine="0" w:firstLineChars="0"/>
        <w:rPr>
          <w:rFonts w:hAnsi="宋体"/>
          <w:b/>
          <w:sz w:val="24"/>
        </w:rPr>
      </w:pPr>
      <w:r>
        <w:rPr>
          <w:rFonts w:hint="eastAsia" w:hAnsi="宋体"/>
          <w:sz w:val="24"/>
        </w:rPr>
        <w:t>应用建筑信息模型（BIM）技术：</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1418"/>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384" w:type="dxa"/>
            <w:vMerge w:val="restart"/>
          </w:tcPr>
          <w:p>
            <w:pPr>
              <w:spacing w:line="360" w:lineRule="auto"/>
              <w:rPr>
                <w:rFonts w:hAnsi="宋体"/>
                <w:sz w:val="24"/>
              </w:rPr>
            </w:pPr>
            <w:r>
              <w:rPr>
                <w:rFonts w:hint="eastAsia" w:hAnsi="宋体"/>
                <w:sz w:val="24"/>
              </w:rPr>
              <w:t>条文来源</w:t>
            </w:r>
          </w:p>
        </w:tc>
        <w:tc>
          <w:tcPr>
            <w:tcW w:w="2126" w:type="dxa"/>
          </w:tcPr>
          <w:p>
            <w:pPr>
              <w:spacing w:line="360" w:lineRule="auto"/>
              <w:rPr>
                <w:rFonts w:hAnsi="宋体"/>
                <w:sz w:val="24"/>
              </w:rPr>
            </w:pPr>
            <w:r>
              <w:rPr>
                <w:rFonts w:hint="eastAsia" w:hAnsi="宋体"/>
                <w:sz w:val="24"/>
              </w:rPr>
              <w:t>GB/T 50378-2019</w:t>
            </w:r>
          </w:p>
        </w:tc>
        <w:tc>
          <w:tcPr>
            <w:tcW w:w="1418" w:type="dxa"/>
          </w:tcPr>
          <w:p>
            <w:pPr>
              <w:spacing w:line="360" w:lineRule="auto"/>
              <w:rPr>
                <w:rFonts w:hAnsi="宋体"/>
                <w:sz w:val="24"/>
              </w:rPr>
            </w:pPr>
            <w:r>
              <w:rPr>
                <w:rFonts w:hint="eastAsia" w:hAnsi="宋体"/>
                <w:sz w:val="24"/>
              </w:rPr>
              <w:t>9.2.6条</w:t>
            </w:r>
          </w:p>
        </w:tc>
        <w:tc>
          <w:tcPr>
            <w:tcW w:w="4111" w:type="dxa"/>
          </w:tcPr>
          <w:p>
            <w:pPr>
              <w:spacing w:line="360" w:lineRule="auto"/>
              <w:rPr>
                <w:rFonts w:hAnsi="宋体"/>
                <w:sz w:val="24"/>
              </w:rPr>
            </w:pPr>
            <w:r>
              <w:rPr>
                <w:rFonts w:hint="eastAsia" w:hAnsi="宋体"/>
                <w:sz w:val="24"/>
              </w:rPr>
              <w:t>5~15分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384" w:type="dxa"/>
            <w:vMerge w:val="continue"/>
          </w:tcPr>
          <w:p>
            <w:pPr>
              <w:spacing w:line="360" w:lineRule="auto"/>
              <w:rPr>
                <w:rFonts w:hAnsi="宋体"/>
                <w:sz w:val="24"/>
              </w:rPr>
            </w:pPr>
          </w:p>
        </w:tc>
        <w:tc>
          <w:tcPr>
            <w:tcW w:w="2126" w:type="dxa"/>
          </w:tcPr>
          <w:p>
            <w:pPr>
              <w:spacing w:line="360" w:lineRule="auto"/>
              <w:rPr>
                <w:rFonts w:hAnsi="宋体"/>
                <w:sz w:val="24"/>
              </w:rPr>
            </w:pPr>
            <w:r>
              <w:rPr>
                <w:rFonts w:hint="eastAsia" w:hAnsi="宋体"/>
                <w:sz w:val="24"/>
              </w:rPr>
              <w:t>DB 33/1092-2021</w:t>
            </w:r>
          </w:p>
        </w:tc>
        <w:tc>
          <w:tcPr>
            <w:tcW w:w="1418" w:type="dxa"/>
          </w:tcPr>
          <w:p>
            <w:pPr>
              <w:spacing w:line="360" w:lineRule="auto"/>
              <w:rPr>
                <w:rFonts w:hAnsi="宋体"/>
                <w:sz w:val="24"/>
              </w:rPr>
            </w:pPr>
            <w:r>
              <w:rPr>
                <w:rFonts w:hint="eastAsia" w:hAnsi="宋体"/>
                <w:sz w:val="24"/>
              </w:rPr>
              <w:t>3.0.13</w:t>
            </w:r>
          </w:p>
        </w:tc>
        <w:tc>
          <w:tcPr>
            <w:tcW w:w="4111" w:type="dxa"/>
          </w:tcPr>
          <w:p>
            <w:pPr>
              <w:spacing w:line="360" w:lineRule="auto"/>
              <w:rPr>
                <w:rFonts w:hAnsi="宋体"/>
                <w:sz w:val="24"/>
              </w:rPr>
            </w:pPr>
            <w:r>
              <w:rPr>
                <w:rFonts w:hint="eastAsia" w:hAnsi="宋体"/>
                <w:sz w:val="24"/>
              </w:rPr>
              <w:t>基本规定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655" w:type="dxa"/>
            <w:gridSpan w:val="3"/>
          </w:tcPr>
          <w:p>
            <w:pPr>
              <w:tabs>
                <w:tab w:val="left" w:pos="2085"/>
              </w:tabs>
              <w:spacing w:line="360" w:lineRule="auto"/>
              <w:ind w:firstLine="480" w:firstLineChars="200"/>
              <w:rPr>
                <w:rFonts w:hAnsi="宋体"/>
                <w:sz w:val="24"/>
              </w:rPr>
            </w:pPr>
            <w:r>
              <w:rPr>
                <w:rFonts w:hint="eastAsia" w:hAnsi="宋体"/>
                <w:sz w:val="24"/>
              </w:rPr>
              <w:t>设计人员应根据相关施工图、BIM技术分析报告等，按照项目实际，填写此项内容。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655" w:type="dxa"/>
            <w:gridSpan w:val="3"/>
          </w:tcPr>
          <w:p>
            <w:pPr>
              <w:spacing w:line="360" w:lineRule="auto"/>
              <w:rPr>
                <w:rFonts w:hAnsi="宋体"/>
                <w:sz w:val="24"/>
              </w:rPr>
            </w:pPr>
            <w:r>
              <w:rPr>
                <w:rFonts w:hint="eastAsia" w:hAnsi="宋体"/>
                <w:sz w:val="24"/>
              </w:rPr>
              <w:t xml:space="preserve">   BIM 中至少应包含规划、建筑、结构、给水排水、暖通、电气等6大专业相关信息。</w:t>
            </w:r>
          </w:p>
        </w:tc>
      </w:tr>
    </w:tbl>
    <w:p>
      <w:pPr>
        <w:pStyle w:val="78"/>
        <w:tabs>
          <w:tab w:val="left" w:pos="360"/>
        </w:tabs>
        <w:spacing w:before="124" w:beforeLines="40" w:after="124" w:afterLines="40" w:line="360" w:lineRule="auto"/>
        <w:ind w:firstLine="0" w:firstLineChars="0"/>
        <w:rPr>
          <w:rFonts w:hAnsi="宋体"/>
          <w:sz w:val="24"/>
        </w:rPr>
      </w:pPr>
      <w:r>
        <w:rPr>
          <w:rFonts w:hAnsi="宋体"/>
          <w:b/>
          <w:sz w:val="24"/>
        </w:rPr>
        <w:t>1</w:t>
      </w:r>
      <w:r>
        <w:rPr>
          <w:rFonts w:hint="eastAsia" w:hAnsi="宋体"/>
          <w:b/>
          <w:sz w:val="24"/>
        </w:rPr>
        <w:t>4</w:t>
      </w:r>
      <w:r>
        <w:rPr>
          <w:rFonts w:hAnsi="宋体"/>
          <w:b/>
          <w:sz w:val="24"/>
        </w:rPr>
        <w:t xml:space="preserve">. </w:t>
      </w:r>
      <w:r>
        <w:rPr>
          <w:rFonts w:hint="eastAsia" w:hAnsi="宋体"/>
          <w:b/>
          <w:sz w:val="24"/>
        </w:rPr>
        <w:t>其他需要说明的内容</w:t>
      </w:r>
      <w:r>
        <w:rPr>
          <w:rFonts w:hint="eastAsia" w:asciiTheme="minorEastAsia" w:hAnsiTheme="minorEastAsia" w:eastAsiaTheme="minorEastAsia"/>
          <w:b/>
          <w:sz w:val="24"/>
        </w:rPr>
        <w:t>（含其他绿色建筑提高与创新内容）</w:t>
      </w:r>
      <w:r>
        <w:rPr>
          <w:rFonts w:hint="eastAsia" w:hAnsi="宋体"/>
          <w:b/>
          <w:sz w:val="24"/>
        </w:rPr>
        <w:t>：</w:t>
      </w:r>
    </w:p>
    <w:p>
      <w:pPr>
        <w:spacing w:line="360" w:lineRule="auto"/>
        <w:rPr>
          <w:rFonts w:hAnsi="宋体"/>
          <w:sz w:val="24"/>
        </w:rPr>
      </w:pPr>
      <w:r>
        <w:rPr>
          <w:rFonts w:hint="eastAsia" w:hAnsi="宋体"/>
          <w:sz w:val="24"/>
        </w:rPr>
        <w:t>指设计项目无法在上述专篇选项中体现的特殊情况或未注明的内容，可在此栏中进行补充说明。此外涉及提高和创新项的内容，在此处进行说明。</w:t>
      </w:r>
    </w:p>
    <w:p>
      <w:pPr>
        <w:spacing w:line="360" w:lineRule="auto"/>
        <w:rPr>
          <w:rFonts w:hAnsi="宋体"/>
          <w:sz w:val="24"/>
        </w:rPr>
      </w:pPr>
    </w:p>
    <w:p>
      <w:pPr>
        <w:pStyle w:val="267"/>
      </w:pPr>
      <w:r>
        <w:rPr>
          <w:rFonts w:hint="eastAsia"/>
        </w:rPr>
        <w:t>（三）围护结构构造措施</w:t>
      </w:r>
    </w:p>
    <w:p>
      <w:pPr>
        <w:spacing w:line="360" w:lineRule="auto"/>
        <w:rPr>
          <w:rFonts w:hAnsi="宋体"/>
          <w:sz w:val="24"/>
        </w:rPr>
      </w:pPr>
      <w:r>
        <w:rPr>
          <w:rFonts w:hint="eastAsia" w:hAnsi="宋体"/>
          <w:sz w:val="24"/>
        </w:rPr>
        <w:t>1浙江省居住建筑节能设计表  ：</w:t>
      </w:r>
    </w:p>
    <w:p>
      <w:pPr>
        <w:numPr>
          <w:ilvl w:val="0"/>
          <w:numId w:val="47"/>
        </w:numPr>
        <w:spacing w:line="360" w:lineRule="auto"/>
        <w:rPr>
          <w:rFonts w:hAnsi="宋体"/>
          <w:sz w:val="24"/>
        </w:rPr>
      </w:pPr>
      <w:r>
        <w:rPr>
          <w:rFonts w:hint="eastAsia" w:hAnsi="宋体"/>
          <w:sz w:val="24"/>
        </w:rPr>
        <w:t>项目包含多个单体时（且计算书不同时），不同单体应分别填写；</w:t>
      </w:r>
    </w:p>
    <w:p>
      <w:pPr>
        <w:numPr>
          <w:ilvl w:val="0"/>
          <w:numId w:val="47"/>
        </w:numPr>
        <w:spacing w:line="360" w:lineRule="auto"/>
        <w:rPr>
          <w:rFonts w:hAnsi="宋体"/>
          <w:sz w:val="24"/>
        </w:rPr>
      </w:pPr>
      <w:r>
        <w:rPr>
          <w:rFonts w:hint="eastAsia" w:hAnsi="宋体"/>
          <w:sz w:val="24"/>
        </w:rPr>
        <w:t>节能设计表内容应与节能评估报告及计算书内容保持一致。</w:t>
      </w:r>
    </w:p>
    <w:p>
      <w:pPr>
        <w:numPr>
          <w:ilvl w:val="0"/>
          <w:numId w:val="47"/>
        </w:numPr>
        <w:spacing w:line="360" w:lineRule="auto"/>
        <w:rPr>
          <w:rFonts w:hAnsi="宋体"/>
          <w:sz w:val="24"/>
        </w:rPr>
      </w:pPr>
      <w:r>
        <w:rPr>
          <w:rFonts w:hint="eastAsia" w:hAnsi="宋体"/>
          <w:sz w:val="24"/>
        </w:rPr>
        <w:t>位于居住建筑涉及底层商业服务网点和公建配套部分建筑总面积大于300m2时按照公共建筑节能设计标准执行，并填写此表。</w:t>
      </w:r>
    </w:p>
    <w:p>
      <w:pPr>
        <w:numPr>
          <w:ilvl w:val="0"/>
          <w:numId w:val="47"/>
        </w:numPr>
        <w:spacing w:line="360" w:lineRule="auto"/>
        <w:rPr>
          <w:rFonts w:hAnsi="宋体"/>
          <w:sz w:val="24"/>
        </w:rPr>
      </w:pPr>
      <w:r>
        <w:rPr>
          <w:rFonts w:hint="eastAsia" w:hAnsi="宋体"/>
          <w:sz w:val="24"/>
        </w:rPr>
        <w:t>保温材料热工参数应按国家和地方相关标准规定取值。</w:t>
      </w:r>
    </w:p>
    <w:p>
      <w:pPr>
        <w:numPr>
          <w:ilvl w:val="0"/>
          <w:numId w:val="47"/>
        </w:numPr>
        <w:spacing w:line="360" w:lineRule="auto"/>
        <w:rPr>
          <w:rFonts w:hAnsi="宋体"/>
          <w:sz w:val="24"/>
        </w:rPr>
      </w:pPr>
      <w:r>
        <w:rPr>
          <w:rFonts w:hint="eastAsia" w:hAnsi="宋体"/>
          <w:sz w:val="24"/>
        </w:rPr>
        <w:t>建筑节能材料和设备应选择符合《浙江省建设领域推广应用技术公告》和《浙江省建设领域淘汰和限制使用技术公告》的规定要求。</w:t>
      </w:r>
    </w:p>
    <w:p>
      <w:pPr>
        <w:spacing w:line="360" w:lineRule="auto"/>
        <w:rPr>
          <w:rFonts w:hAnsi="宋体"/>
          <w:sz w:val="24"/>
        </w:rPr>
      </w:pPr>
      <w:r>
        <w:rPr>
          <w:rFonts w:hint="eastAsia" w:hAnsi="宋体"/>
          <w:sz w:val="24"/>
        </w:rPr>
        <w:t>2项目选用保温形式、建筑节能材料及热工参数参考依据：</w:t>
      </w:r>
    </w:p>
    <w:p>
      <w:pPr>
        <w:spacing w:line="360" w:lineRule="auto"/>
        <w:rPr>
          <w:rFonts w:hAnsi="宋体"/>
          <w:sz w:val="24"/>
        </w:rPr>
      </w:pPr>
      <w:r>
        <w:rPr>
          <w:rFonts w:hint="eastAsia" w:hAnsi="宋体"/>
          <w:sz w:val="24"/>
        </w:rPr>
        <w:t xml:space="preserve">   可从项目节能计算书中提取相关数据，但必须注明参数来源或依据；并与图纸相关内容一致。</w:t>
      </w:r>
    </w:p>
    <w:p>
      <w:pPr>
        <w:spacing w:line="360" w:lineRule="auto"/>
        <w:rPr>
          <w:rFonts w:hAnsi="宋体"/>
          <w:sz w:val="24"/>
        </w:rPr>
      </w:pPr>
      <w:r>
        <w:rPr>
          <w:rFonts w:hint="eastAsia" w:hAnsi="宋体"/>
          <w:sz w:val="24"/>
        </w:rPr>
        <w:t>3项目选用外门窗、透光幕墙热工参数参考依据：</w:t>
      </w:r>
    </w:p>
    <w:p>
      <w:pPr>
        <w:spacing w:line="360" w:lineRule="auto"/>
        <w:ind w:firstLine="360" w:firstLineChars="150"/>
        <w:rPr>
          <w:rFonts w:hAnsi="宋体"/>
          <w:sz w:val="24"/>
        </w:rPr>
      </w:pPr>
      <w:r>
        <w:rPr>
          <w:rFonts w:hint="eastAsia" w:hAnsi="宋体"/>
          <w:sz w:val="24"/>
        </w:rPr>
        <w:t>可从项目节能计算书中提取相关数据，但必须注明参数来源或依据；并与图纸相关内容一致。</w:t>
      </w:r>
    </w:p>
    <w:p>
      <w:pPr>
        <w:spacing w:line="360" w:lineRule="auto"/>
        <w:rPr>
          <w:rFonts w:hAnsi="宋体"/>
          <w:sz w:val="24"/>
        </w:rPr>
      </w:pPr>
      <w:r>
        <w:rPr>
          <w:rFonts w:hint="eastAsia" w:hAnsi="宋体"/>
          <w:sz w:val="24"/>
        </w:rPr>
        <w:t>4项目主要围护结构保温构造做法（分层描述、或节点详图、或图集索引等）：</w:t>
      </w:r>
    </w:p>
    <w:p>
      <w:pPr>
        <w:spacing w:line="360" w:lineRule="auto"/>
        <w:ind w:firstLine="240" w:firstLineChars="100"/>
        <w:rPr>
          <w:rFonts w:hAnsi="宋体"/>
          <w:sz w:val="24"/>
        </w:rPr>
      </w:pPr>
      <w:r>
        <w:rPr>
          <w:rFonts w:hint="eastAsia" w:hAnsi="宋体"/>
          <w:sz w:val="24"/>
        </w:rPr>
        <w:t>应按设计选用的保温节能构造形式，分层描述；提供相关部位或重点部位的节点详图，也可注明选用的标准图集名称与详图索引；</w:t>
      </w:r>
    </w:p>
    <w:p>
      <w:pPr>
        <w:spacing w:line="360" w:lineRule="auto"/>
        <w:rPr>
          <w:rFonts w:hAnsi="宋体"/>
          <w:sz w:val="24"/>
          <w:lang w:val="en-GB"/>
        </w:rPr>
      </w:pPr>
    </w:p>
    <w:p>
      <w:pPr>
        <w:spacing w:line="360" w:lineRule="auto"/>
        <w:rPr>
          <w:rFonts w:hAnsi="宋体"/>
          <w:b/>
          <w:sz w:val="24"/>
        </w:rPr>
      </w:pPr>
      <w:r>
        <w:rPr>
          <w:rFonts w:hint="eastAsia" w:hAnsi="宋体"/>
          <w:b/>
          <w:sz w:val="24"/>
        </w:rPr>
        <w:t>△此表为绿色专篇组成部分，需在蓝图中签字出图。如无特殊要求，可不再计算书中重复签写单列出具。</w:t>
      </w:r>
    </w:p>
    <w:p>
      <w:pPr>
        <w:pStyle w:val="4"/>
        <w:jc w:val="center"/>
      </w:pPr>
      <w:bookmarkStart w:id="37" w:name="_Toc109325914"/>
      <w:bookmarkStart w:id="38" w:name="_Toc113029279"/>
      <w:r>
        <w:rPr>
          <w:rFonts w:hint="eastAsia"/>
        </w:rPr>
        <w:t>3.3 结构专业填写说明</w:t>
      </w:r>
      <w:bookmarkEnd w:id="37"/>
      <w:bookmarkEnd w:id="38"/>
    </w:p>
    <w:p>
      <w:pPr>
        <w:spacing w:line="360" w:lineRule="auto"/>
        <w:ind w:firstLine="240" w:firstLineChars="100"/>
        <w:rPr>
          <w:rFonts w:hAnsi="宋体"/>
          <w:sz w:val="24"/>
        </w:rPr>
      </w:pPr>
      <w:r>
        <w:rPr>
          <w:rFonts w:hint="eastAsia" w:hAnsi="宋体"/>
          <w:sz w:val="24"/>
        </w:rPr>
        <w:t>一、结构主要设计依据:</w:t>
      </w:r>
    </w:p>
    <w:p>
      <w:pPr>
        <w:spacing w:line="360" w:lineRule="auto"/>
        <w:ind w:firstLine="240" w:firstLineChars="100"/>
        <w:rPr>
          <w:rFonts w:hAnsi="宋体"/>
          <w:sz w:val="24"/>
        </w:rPr>
      </w:pPr>
      <w:r>
        <w:rPr>
          <w:rFonts w:hint="eastAsia" w:hAnsi="宋体"/>
          <w:sz w:val="24"/>
        </w:rPr>
        <w:t xml:space="preserve">    此项应包括项目进行建筑绿色与节能设计时所遵循的主要设计依据。包括法律法规、政策文件及现行国家与地方的标准、规范；还包括项目已取得的节能审查意见书及其附件：节能评估报告书（表）和专家评审意见；</w:t>
      </w:r>
    </w:p>
    <w:p>
      <w:pPr>
        <w:spacing w:line="360" w:lineRule="auto"/>
        <w:ind w:firstLine="240" w:firstLineChars="100"/>
        <w:rPr>
          <w:rFonts w:hAnsi="宋体"/>
          <w:sz w:val="24"/>
        </w:rPr>
      </w:pPr>
      <w:r>
        <w:rPr>
          <w:rFonts w:hint="eastAsia" w:hAnsi="宋体"/>
          <w:sz w:val="24"/>
        </w:rPr>
        <w:t>1.1 由设计人员复核各设计标准的现行版本号。</w:t>
      </w:r>
    </w:p>
    <w:p>
      <w:pPr>
        <w:spacing w:line="360" w:lineRule="auto"/>
        <w:ind w:firstLine="240" w:firstLineChars="100"/>
        <w:rPr>
          <w:rFonts w:hAnsi="宋体"/>
          <w:sz w:val="24"/>
        </w:rPr>
      </w:pPr>
      <w:r>
        <w:rPr>
          <w:rFonts w:hint="eastAsia" w:hAnsi="宋体"/>
          <w:sz w:val="24"/>
        </w:rPr>
        <w:t>1.2 设计人员应按项目选用的相关技术与措施，增补有关标准、规范依据。</w:t>
      </w:r>
    </w:p>
    <w:p>
      <w:pPr>
        <w:spacing w:line="360" w:lineRule="auto"/>
        <w:ind w:firstLine="240" w:firstLineChars="100"/>
        <w:rPr>
          <w:rFonts w:hAnsi="宋体"/>
          <w:sz w:val="24"/>
        </w:rPr>
      </w:pPr>
      <w:r>
        <w:rPr>
          <w:rFonts w:hint="eastAsia" w:hAnsi="宋体"/>
          <w:sz w:val="24"/>
        </w:rPr>
        <w:t>1.3 设计人员应根据项目所在地特性，增加相应的相关政府性文件为依据。</w:t>
      </w:r>
    </w:p>
    <w:p>
      <w:pPr>
        <w:spacing w:line="360" w:lineRule="auto"/>
        <w:ind w:firstLine="240" w:firstLineChars="100"/>
        <w:rPr>
          <w:rFonts w:hAnsi="宋体"/>
          <w:sz w:val="24"/>
        </w:rPr>
      </w:pPr>
    </w:p>
    <w:p>
      <w:pPr>
        <w:spacing w:line="360" w:lineRule="auto"/>
        <w:ind w:firstLine="240" w:firstLineChars="100"/>
        <w:rPr>
          <w:rFonts w:hAnsi="宋体"/>
          <w:sz w:val="24"/>
        </w:rPr>
      </w:pPr>
      <w:r>
        <w:rPr>
          <w:rFonts w:hint="eastAsia" w:hAnsi="宋体"/>
          <w:sz w:val="24"/>
        </w:rPr>
        <w:t>特别说明：当本专篇依据的标准、规范修订或有新标准、新规范实施时，应按新版标准、规范对专篇相关内容进行复核、调整后选用。</w:t>
      </w:r>
    </w:p>
    <w:p>
      <w:pPr>
        <w:spacing w:line="360" w:lineRule="auto"/>
        <w:ind w:firstLine="240" w:firstLineChars="100"/>
        <w:rPr>
          <w:rFonts w:hAnsi="宋体"/>
          <w:sz w:val="24"/>
        </w:rPr>
      </w:pPr>
    </w:p>
    <w:p>
      <w:pPr>
        <w:spacing w:line="360" w:lineRule="auto"/>
        <w:ind w:firstLine="240" w:firstLineChars="100"/>
        <w:rPr>
          <w:rFonts w:hAnsi="宋体"/>
          <w:sz w:val="24"/>
        </w:rPr>
      </w:pPr>
      <w:r>
        <w:rPr>
          <w:rFonts w:hint="eastAsia" w:hAnsi="宋体"/>
          <w:sz w:val="24"/>
        </w:rPr>
        <w:t>二、结构</w:t>
      </w:r>
      <w:r>
        <w:rPr>
          <w:rFonts w:hAnsi="宋体"/>
          <w:sz w:val="24"/>
        </w:rPr>
        <w:t>设计技术措施</w:t>
      </w:r>
      <w:r>
        <w:rPr>
          <w:rFonts w:hint="eastAsia" w:hAnsi="宋体"/>
          <w:sz w:val="24"/>
        </w:rPr>
        <w:t>：</w:t>
      </w:r>
    </w:p>
    <w:p>
      <w:pPr>
        <w:spacing w:line="360" w:lineRule="auto"/>
        <w:ind w:firstLine="240" w:firstLineChars="100"/>
        <w:rPr>
          <w:rFonts w:hAnsi="宋体"/>
          <w:sz w:val="24"/>
        </w:rPr>
      </w:pPr>
      <w:r>
        <w:rPr>
          <w:rFonts w:hint="eastAsia" w:hAnsi="宋体"/>
          <w:sz w:val="24"/>
        </w:rPr>
        <w:t>◇一般说明:</w:t>
      </w:r>
    </w:p>
    <w:p>
      <w:pPr>
        <w:spacing w:line="360" w:lineRule="auto"/>
        <w:ind w:firstLine="240" w:firstLineChars="100"/>
        <w:rPr>
          <w:rFonts w:hAnsi="宋体"/>
          <w:sz w:val="24"/>
        </w:rPr>
      </w:pPr>
      <w:r>
        <w:rPr>
          <w:rFonts w:hAnsi="宋体"/>
          <w:sz w:val="24"/>
        </w:rPr>
        <w:t>为方便设计人员</w:t>
      </w:r>
      <w:r>
        <w:rPr>
          <w:rFonts w:hint="eastAsia" w:hAnsi="宋体"/>
          <w:sz w:val="24"/>
        </w:rPr>
        <w:t>更精准</w:t>
      </w:r>
      <w:r>
        <w:rPr>
          <w:rFonts w:hAnsi="宋体"/>
          <w:sz w:val="24"/>
        </w:rPr>
        <w:t>理解</w:t>
      </w:r>
      <w:r>
        <w:rPr>
          <w:rFonts w:hint="eastAsia" w:hAnsi="宋体"/>
          <w:sz w:val="24"/>
        </w:rPr>
        <w:t>专篇的填写目的与要求，本说明对专篇中列入的每项条款均以表格形式进行了说明。填写说明主要包含三部分内容，分别为：条文来源、依据材料、备注。其中：“条文来源”主要注明条款依据浙江省《绿色建筑设计标准》DB33/1092-20</w:t>
      </w:r>
      <w:r>
        <w:rPr>
          <w:rFonts w:hAnsi="宋体"/>
          <w:sz w:val="24"/>
        </w:rPr>
        <w:t>21</w:t>
      </w:r>
      <w:r>
        <w:rPr>
          <w:rFonts w:hint="eastAsia" w:hAnsi="宋体"/>
          <w:sz w:val="24"/>
        </w:rPr>
        <w:t>（</w:t>
      </w:r>
      <w:r>
        <w:rPr>
          <w:rFonts w:hAnsi="宋体"/>
          <w:sz w:val="24"/>
        </w:rPr>
        <w:t>以</w:t>
      </w:r>
      <w:r>
        <w:rPr>
          <w:rFonts w:hint="eastAsia" w:hAnsi="宋体"/>
          <w:sz w:val="24"/>
        </w:rPr>
        <w:t>下</w:t>
      </w:r>
      <w:r>
        <w:rPr>
          <w:rFonts w:hAnsi="宋体"/>
          <w:sz w:val="24"/>
        </w:rPr>
        <w:t>简称</w:t>
      </w:r>
      <w:r>
        <w:rPr>
          <w:rFonts w:hint="eastAsia" w:hAnsi="宋体"/>
          <w:sz w:val="24"/>
        </w:rPr>
        <w:t>“DB33/1092-20</w:t>
      </w:r>
      <w:r>
        <w:rPr>
          <w:rFonts w:hAnsi="宋体"/>
          <w:sz w:val="24"/>
        </w:rPr>
        <w:t>21</w:t>
      </w:r>
      <w:r>
        <w:rPr>
          <w:rFonts w:hint="eastAsia" w:hAnsi="宋体"/>
          <w:sz w:val="24"/>
        </w:rPr>
        <w:t>”）、浙江省《装配式建筑评价标准》DB33/T1165-2019（</w:t>
      </w:r>
      <w:r>
        <w:rPr>
          <w:rFonts w:hAnsi="宋体"/>
          <w:sz w:val="24"/>
        </w:rPr>
        <w:t>以</w:t>
      </w:r>
      <w:r>
        <w:rPr>
          <w:rFonts w:hint="eastAsia" w:hAnsi="宋体"/>
          <w:sz w:val="24"/>
        </w:rPr>
        <w:t>下</w:t>
      </w:r>
      <w:r>
        <w:rPr>
          <w:rFonts w:hAnsi="宋体"/>
          <w:sz w:val="24"/>
        </w:rPr>
        <w:t>简称</w:t>
      </w:r>
      <w:r>
        <w:rPr>
          <w:rFonts w:hint="eastAsia" w:hAnsi="宋体"/>
          <w:sz w:val="24"/>
        </w:rPr>
        <w:t>DB33/T1165-2019）、国家标准《装配式建筑评价标准》GB/T51129-2017（</w:t>
      </w:r>
      <w:r>
        <w:rPr>
          <w:rFonts w:hAnsi="宋体"/>
          <w:sz w:val="24"/>
        </w:rPr>
        <w:t>以</w:t>
      </w:r>
      <w:r>
        <w:rPr>
          <w:rFonts w:hint="eastAsia" w:hAnsi="宋体"/>
          <w:sz w:val="24"/>
        </w:rPr>
        <w:t>下</w:t>
      </w:r>
      <w:r>
        <w:rPr>
          <w:rFonts w:hAnsi="宋体"/>
          <w:sz w:val="24"/>
        </w:rPr>
        <w:t>简称</w:t>
      </w:r>
      <w:r>
        <w:rPr>
          <w:rFonts w:hint="eastAsia" w:hAnsi="宋体"/>
          <w:sz w:val="24"/>
        </w:rPr>
        <w:t>GB/T51129-2017）和</w:t>
      </w:r>
      <w:r>
        <w:rPr>
          <w:rFonts w:hAnsi="宋体"/>
          <w:sz w:val="24"/>
        </w:rPr>
        <w:t>国家标准</w:t>
      </w:r>
      <w:r>
        <w:rPr>
          <w:rFonts w:hint="eastAsia" w:hAnsi="宋体"/>
          <w:sz w:val="24"/>
        </w:rPr>
        <w:t>《绿色建筑评价</w:t>
      </w:r>
      <w:r>
        <w:rPr>
          <w:rFonts w:hAnsi="宋体"/>
          <w:sz w:val="24"/>
        </w:rPr>
        <w:t>标准</w:t>
      </w:r>
      <w:r>
        <w:rPr>
          <w:rFonts w:hint="eastAsia" w:hAnsi="宋体"/>
          <w:sz w:val="24"/>
        </w:rPr>
        <w:t>》GB/T50378-201</w:t>
      </w:r>
      <w:r>
        <w:rPr>
          <w:rFonts w:hAnsi="宋体"/>
          <w:sz w:val="24"/>
        </w:rPr>
        <w:t>9</w:t>
      </w:r>
      <w:r>
        <w:rPr>
          <w:rFonts w:hint="eastAsia" w:hAnsi="宋体"/>
          <w:sz w:val="24"/>
        </w:rPr>
        <w:t>（</w:t>
      </w:r>
      <w:r>
        <w:rPr>
          <w:rFonts w:hAnsi="宋体"/>
          <w:sz w:val="24"/>
        </w:rPr>
        <w:t>以下简称“</w:t>
      </w:r>
      <w:r>
        <w:rPr>
          <w:rFonts w:hint="eastAsia" w:hAnsi="宋体"/>
          <w:sz w:val="24"/>
        </w:rPr>
        <w:t>GB/T50378-201</w:t>
      </w:r>
      <w:r>
        <w:rPr>
          <w:rFonts w:hAnsi="宋体"/>
          <w:sz w:val="24"/>
        </w:rPr>
        <w:t>9”</w:t>
      </w:r>
      <w:r>
        <w:rPr>
          <w:rFonts w:hint="eastAsia" w:hAnsi="宋体"/>
          <w:sz w:val="24"/>
        </w:rPr>
        <w:t>）的出处与条文编号；“依据材料”是明确</w:t>
      </w:r>
      <w:r>
        <w:rPr>
          <w:rFonts w:hAnsi="宋体"/>
          <w:sz w:val="24"/>
        </w:rPr>
        <w:t>设计人员</w:t>
      </w:r>
      <w:r>
        <w:rPr>
          <w:rFonts w:hint="eastAsia" w:hAnsi="宋体"/>
          <w:sz w:val="24"/>
        </w:rPr>
        <w:t>填写各条款时，所</w:t>
      </w:r>
      <w:r>
        <w:rPr>
          <w:rFonts w:hAnsi="宋体"/>
          <w:sz w:val="24"/>
        </w:rPr>
        <w:t>依据</w:t>
      </w:r>
      <w:r>
        <w:rPr>
          <w:rFonts w:hint="eastAsia" w:hAnsi="宋体"/>
          <w:sz w:val="24"/>
        </w:rPr>
        <w:t>的相应</w:t>
      </w:r>
      <w:r>
        <w:rPr>
          <w:rFonts w:hAnsi="宋体"/>
          <w:sz w:val="24"/>
        </w:rPr>
        <w:t>基础资料</w:t>
      </w:r>
      <w:r>
        <w:rPr>
          <w:rFonts w:hint="eastAsia" w:hAnsi="宋体"/>
          <w:sz w:val="24"/>
        </w:rPr>
        <w:t>、设计文件等相关内容；“备注”是指对条款需要注意与重点核查的内容进行详细说明，或对相关条文进行解释和补充。</w:t>
      </w:r>
    </w:p>
    <w:p>
      <w:pPr>
        <w:spacing w:line="240" w:lineRule="atLeast"/>
        <w:rPr>
          <w:rFonts w:hAnsi="宋体"/>
          <w:szCs w:val="21"/>
        </w:rPr>
      </w:pPr>
    </w:p>
    <w:p>
      <w:pPr>
        <w:spacing w:line="360" w:lineRule="auto"/>
        <w:rPr>
          <w:rFonts w:hAnsi="宋体"/>
          <w:sz w:val="24"/>
        </w:rPr>
      </w:pPr>
      <w:r>
        <w:rPr>
          <w:rFonts w:hint="eastAsia" w:hAnsi="宋体"/>
          <w:sz w:val="24"/>
        </w:rPr>
        <w:t>◇条款说明：</w:t>
      </w:r>
    </w:p>
    <w:p>
      <w:pPr>
        <w:pStyle w:val="17"/>
        <w:spacing w:line="360" w:lineRule="auto"/>
        <w:rPr>
          <w:rFonts w:hAnsi="宋体"/>
          <w:sz w:val="24"/>
        </w:rPr>
      </w:pPr>
      <w:r>
        <w:rPr>
          <w:rFonts w:hint="eastAsia" w:hAnsi="宋体"/>
          <w:b/>
          <w:sz w:val="24"/>
          <w:lang w:val="en-GB"/>
        </w:rPr>
        <w:t>控制项内容：</w:t>
      </w:r>
      <w:r>
        <w:rPr>
          <w:rFonts w:hint="eastAsia" w:hAnsi="宋体"/>
          <w:sz w:val="24"/>
        </w:rPr>
        <w:t>本栏为GB/T 50378-201</w:t>
      </w:r>
      <w:r>
        <w:rPr>
          <w:rFonts w:hAnsi="宋体"/>
          <w:sz w:val="24"/>
        </w:rPr>
        <w:t>9</w:t>
      </w:r>
      <w:r>
        <w:rPr>
          <w:rFonts w:hint="eastAsia" w:hAnsi="宋体"/>
          <w:sz w:val="24"/>
        </w:rPr>
        <w:t>中的控制项要求和</w:t>
      </w:r>
      <w:r>
        <w:rPr>
          <w:rFonts w:hAnsi="宋体"/>
          <w:sz w:val="24"/>
        </w:rPr>
        <w:t>浙江省《</w:t>
      </w:r>
      <w:r>
        <w:rPr>
          <w:rFonts w:hint="eastAsia" w:hAnsi="宋体"/>
          <w:sz w:val="24"/>
        </w:rPr>
        <w:t>绿色</w:t>
      </w:r>
      <w:r>
        <w:rPr>
          <w:rFonts w:hAnsi="宋体"/>
          <w:sz w:val="24"/>
        </w:rPr>
        <w:t>建筑条例》</w:t>
      </w:r>
      <w:r>
        <w:rPr>
          <w:rFonts w:hint="eastAsia" w:hAnsi="宋体"/>
          <w:sz w:val="24"/>
        </w:rPr>
        <w:t>要求</w:t>
      </w:r>
      <w:r>
        <w:rPr>
          <w:rFonts w:hAnsi="宋体"/>
          <w:sz w:val="24"/>
        </w:rPr>
        <w:t>，</w:t>
      </w:r>
      <w:r>
        <w:rPr>
          <w:rFonts w:hint="eastAsia" w:hAnsi="宋体"/>
          <w:sz w:val="24"/>
        </w:rPr>
        <w:t>是绿色建筑设计的强制性控制内容，必须逐条满足。</w:t>
      </w:r>
    </w:p>
    <w:p>
      <w:pPr>
        <w:spacing w:before="109" w:beforeLines="35" w:after="109" w:afterLines="35" w:line="360" w:lineRule="auto"/>
        <w:rPr>
          <w:rFonts w:hAnsi="宋体"/>
          <w:sz w:val="24"/>
          <w:lang w:val="en-GB"/>
        </w:rPr>
      </w:pPr>
      <w:r>
        <w:rPr>
          <w:rFonts w:hint="eastAsia" w:hAnsi="宋体"/>
          <w:sz w:val="24"/>
          <w:lang w:val="en-GB"/>
        </w:rPr>
        <w:t>1、</w:t>
      </w:r>
      <w:r>
        <w:rPr>
          <w:rFonts w:hint="eastAsia" w:hAnsi="宋体"/>
          <w:sz w:val="24"/>
        </w:rPr>
        <w:t>严禁</w:t>
      </w:r>
      <w:r>
        <w:rPr>
          <w:rFonts w:hAnsi="宋体"/>
          <w:sz w:val="24"/>
        </w:rPr>
        <w:t>采用国家和</w:t>
      </w:r>
      <w:r>
        <w:rPr>
          <w:rFonts w:hint="eastAsia" w:hAnsi="宋体"/>
          <w:sz w:val="24"/>
        </w:rPr>
        <w:t>地方明令</w:t>
      </w:r>
      <w:r>
        <w:rPr>
          <w:rFonts w:hAnsi="宋体"/>
          <w:sz w:val="24"/>
        </w:rPr>
        <w:t>禁止使用或淘汰的材料</w:t>
      </w:r>
      <w:r>
        <w:rPr>
          <w:rFonts w:hint="eastAsia" w:hAnsi="宋体"/>
          <w:sz w:val="24"/>
        </w:rPr>
        <w:t>和产</w:t>
      </w:r>
      <w:r>
        <w:rPr>
          <w:rFonts w:hAnsi="宋体"/>
          <w:sz w:val="24"/>
        </w:rPr>
        <w:t>品</w:t>
      </w:r>
      <w:r>
        <w:rPr>
          <w:rFonts w:hint="eastAsia" w:hAnsi="宋体"/>
          <w:sz w:val="24"/>
          <w:lang w:val="en-GB"/>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2364"/>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tcPr>
          <w:p>
            <w:pPr>
              <w:spacing w:line="360" w:lineRule="auto"/>
              <w:rPr>
                <w:rFonts w:hAnsi="宋体"/>
                <w:sz w:val="24"/>
              </w:rPr>
            </w:pPr>
            <w:r>
              <w:rPr>
                <w:rFonts w:hint="eastAsia" w:hAnsi="宋体"/>
                <w:sz w:val="24"/>
              </w:rPr>
              <w:t>条文来源</w:t>
            </w:r>
          </w:p>
        </w:tc>
        <w:tc>
          <w:tcPr>
            <w:tcW w:w="2126" w:type="dxa"/>
          </w:tcPr>
          <w:p>
            <w:pPr>
              <w:spacing w:line="360" w:lineRule="auto"/>
              <w:rPr>
                <w:rFonts w:hAnsi="宋体"/>
                <w:sz w:val="24"/>
              </w:rPr>
            </w:pPr>
            <w:r>
              <w:rPr>
                <w:rFonts w:hint="eastAsia" w:hAnsi="宋体"/>
                <w:sz w:val="24"/>
                <w:lang w:val="en-GB"/>
              </w:rPr>
              <w:t>DB33/1092-2021</w:t>
            </w:r>
          </w:p>
        </w:tc>
        <w:tc>
          <w:tcPr>
            <w:tcW w:w="2364" w:type="dxa"/>
          </w:tcPr>
          <w:p>
            <w:pPr>
              <w:spacing w:line="360" w:lineRule="auto"/>
              <w:rPr>
                <w:rFonts w:hAnsi="宋体"/>
                <w:sz w:val="24"/>
              </w:rPr>
            </w:pPr>
            <w:r>
              <w:rPr>
                <w:rFonts w:hint="eastAsia" w:hAnsi="宋体"/>
                <w:sz w:val="24"/>
              </w:rPr>
              <w:t>6.1.8.1条</w:t>
            </w:r>
          </w:p>
        </w:tc>
        <w:tc>
          <w:tcPr>
            <w:tcW w:w="3306" w:type="dxa"/>
          </w:tcPr>
          <w:p>
            <w:pPr>
              <w:spacing w:line="360" w:lineRule="auto"/>
              <w:rPr>
                <w:rFonts w:hAnsi="宋体"/>
                <w:sz w:val="24"/>
              </w:rPr>
            </w:pPr>
            <w:r>
              <w:rPr>
                <w:rFonts w:hint="eastAsia" w:hAnsi="宋体"/>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设计人员应对照项目设计文件，根据项目实际选材情况填写本条内容。</w:t>
            </w:r>
          </w:p>
          <w:p>
            <w:pPr>
              <w:autoSpaceDE w:val="0"/>
              <w:autoSpaceDN w:val="0"/>
              <w:adjustRightInd w:val="0"/>
              <w:spacing w:line="360" w:lineRule="auto"/>
              <w:ind w:firstLine="480" w:firstLineChars="200"/>
              <w:jc w:val="left"/>
              <w:rPr>
                <w:rFonts w:hAnsi="宋体"/>
                <w:sz w:val="24"/>
              </w:rPr>
            </w:pPr>
            <w:r>
              <w:rPr>
                <w:rFonts w:hint="eastAsia" w:hAnsi="宋体"/>
                <w:sz w:val="24"/>
              </w:rPr>
              <w:t>设计人员在具体判断时，可查阅国家和浙江省向社会公布的限制、禁止使用的建材及制品目录。</w:t>
            </w:r>
          </w:p>
          <w:p>
            <w:pPr>
              <w:autoSpaceDE w:val="0"/>
              <w:autoSpaceDN w:val="0"/>
              <w:adjustRightInd w:val="0"/>
              <w:spacing w:line="360" w:lineRule="auto"/>
              <w:ind w:firstLine="480" w:firstLineChars="200"/>
              <w:jc w:val="left"/>
              <w:rPr>
                <w:rFonts w:hAnsi="宋体"/>
                <w:sz w:val="24"/>
              </w:rPr>
            </w:pPr>
            <w:r>
              <w:rPr>
                <w:rFonts w:hint="eastAsia" w:hAnsi="宋体"/>
                <w:sz w:val="24"/>
                <w:lang w:val="en-GB"/>
              </w:rPr>
              <w:t>此条款为DB33/1092-2021一般规定，必须达标。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GB/T50378-2019未涉及本条款内容。</w:t>
            </w:r>
          </w:p>
        </w:tc>
      </w:tr>
    </w:tbl>
    <w:p>
      <w:pPr>
        <w:pStyle w:val="17"/>
        <w:spacing w:line="360" w:lineRule="auto"/>
        <w:rPr>
          <w:rFonts w:hAnsi="宋体"/>
          <w:sz w:val="24"/>
        </w:rPr>
      </w:pPr>
    </w:p>
    <w:p>
      <w:pPr>
        <w:spacing w:before="109" w:beforeLines="35" w:after="109" w:afterLines="35" w:line="360" w:lineRule="auto"/>
        <w:rPr>
          <w:rFonts w:hAnsi="宋体"/>
          <w:sz w:val="24"/>
          <w:lang w:val="en-GB"/>
        </w:rPr>
      </w:pPr>
      <w:r>
        <w:rPr>
          <w:rFonts w:hint="eastAsia" w:hAnsi="宋体"/>
          <w:sz w:val="24"/>
          <w:lang w:val="en-GB"/>
        </w:rPr>
        <w:t>2、混凝土结构中梁、柱、剪力墙等构件的受力普通钢筋采用不低于400MPa级的热扎带肋钢筋；</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2364"/>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lang w:val="en-GB"/>
              </w:rPr>
            </w:pPr>
            <w:r>
              <w:rPr>
                <w:rFonts w:hint="eastAsia" w:hAnsi="宋体"/>
                <w:sz w:val="24"/>
                <w:lang w:val="en-GB"/>
              </w:rPr>
              <w:t>条文来源</w:t>
            </w:r>
          </w:p>
        </w:tc>
        <w:tc>
          <w:tcPr>
            <w:tcW w:w="2126" w:type="dxa"/>
          </w:tcPr>
          <w:p>
            <w:pPr>
              <w:spacing w:line="360" w:lineRule="auto"/>
              <w:rPr>
                <w:rFonts w:hAnsi="宋体"/>
                <w:sz w:val="24"/>
                <w:lang w:val="en-GB"/>
              </w:rPr>
            </w:pPr>
            <w:r>
              <w:rPr>
                <w:rFonts w:hint="eastAsia" w:hAnsi="宋体"/>
                <w:sz w:val="24"/>
                <w:lang w:val="en-GB"/>
              </w:rPr>
              <w:t>GB/T 50378-2019</w:t>
            </w:r>
          </w:p>
        </w:tc>
        <w:tc>
          <w:tcPr>
            <w:tcW w:w="2364" w:type="dxa"/>
          </w:tcPr>
          <w:p>
            <w:pPr>
              <w:spacing w:line="360" w:lineRule="auto"/>
              <w:rPr>
                <w:rFonts w:hAnsi="宋体"/>
                <w:sz w:val="24"/>
                <w:lang w:val="en-GB"/>
              </w:rPr>
            </w:pPr>
            <w:r>
              <w:rPr>
                <w:rFonts w:hint="eastAsia" w:hAnsi="宋体"/>
                <w:sz w:val="24"/>
                <w:lang w:val="en-GB"/>
              </w:rPr>
              <w:t>7.2.15.1-1）条</w:t>
            </w:r>
          </w:p>
        </w:tc>
        <w:tc>
          <w:tcPr>
            <w:tcW w:w="3306" w:type="dxa"/>
          </w:tcPr>
          <w:p>
            <w:pPr>
              <w:spacing w:line="360" w:lineRule="auto"/>
              <w:rPr>
                <w:rFonts w:hAnsi="宋体"/>
                <w:sz w:val="24"/>
                <w:lang w:val="en-GB"/>
              </w:rPr>
            </w:pPr>
            <w:r>
              <w:rPr>
                <w:rFonts w:hint="eastAsia" w:hAnsi="宋体"/>
                <w:sz w:val="24"/>
                <w:lang w:val="en-GB"/>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spacing w:line="360" w:lineRule="auto"/>
              <w:rPr>
                <w:rFonts w:hAnsi="宋体"/>
                <w:sz w:val="24"/>
                <w:lang w:val="en-GB"/>
              </w:rPr>
            </w:pPr>
          </w:p>
        </w:tc>
        <w:tc>
          <w:tcPr>
            <w:tcW w:w="2126" w:type="dxa"/>
            <w:vMerge w:val="restart"/>
          </w:tcPr>
          <w:p>
            <w:pPr>
              <w:spacing w:line="360" w:lineRule="auto"/>
              <w:rPr>
                <w:rFonts w:hAnsi="宋体"/>
                <w:sz w:val="24"/>
                <w:lang w:val="en-GB"/>
              </w:rPr>
            </w:pPr>
            <w:r>
              <w:rPr>
                <w:rFonts w:hint="eastAsia" w:hAnsi="宋体"/>
                <w:sz w:val="24"/>
                <w:lang w:val="en-GB"/>
              </w:rPr>
              <w:t>DB33/1092-2021</w:t>
            </w:r>
          </w:p>
        </w:tc>
        <w:tc>
          <w:tcPr>
            <w:tcW w:w="2364" w:type="dxa"/>
          </w:tcPr>
          <w:p>
            <w:pPr>
              <w:spacing w:line="360" w:lineRule="auto"/>
              <w:rPr>
                <w:rFonts w:hAnsi="宋体"/>
                <w:sz w:val="24"/>
                <w:lang w:val="en-GB"/>
              </w:rPr>
            </w:pPr>
            <w:r>
              <w:rPr>
                <w:rFonts w:hint="eastAsia" w:hAnsi="宋体"/>
                <w:sz w:val="24"/>
                <w:lang w:val="en-GB"/>
              </w:rPr>
              <w:t>6.1.8.4条</w:t>
            </w:r>
          </w:p>
        </w:tc>
        <w:tc>
          <w:tcPr>
            <w:tcW w:w="3306" w:type="dxa"/>
          </w:tcPr>
          <w:p>
            <w:pPr>
              <w:spacing w:line="360" w:lineRule="auto"/>
              <w:rPr>
                <w:rFonts w:hAnsi="宋体"/>
                <w:sz w:val="24"/>
                <w:lang w:val="en-GB"/>
              </w:rPr>
            </w:pPr>
            <w:r>
              <w:rPr>
                <w:rFonts w:hint="eastAsia" w:hAnsi="宋体"/>
                <w:sz w:val="24"/>
                <w:lang w:val="en-GB"/>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lang w:val="en-GB"/>
              </w:rPr>
            </w:pPr>
          </w:p>
        </w:tc>
        <w:tc>
          <w:tcPr>
            <w:tcW w:w="2126" w:type="dxa"/>
            <w:vMerge w:val="continue"/>
          </w:tcPr>
          <w:p>
            <w:pPr>
              <w:spacing w:line="360" w:lineRule="auto"/>
              <w:rPr>
                <w:rFonts w:hAnsi="宋体"/>
                <w:sz w:val="24"/>
                <w:lang w:val="en-GB"/>
              </w:rPr>
            </w:pPr>
          </w:p>
        </w:tc>
        <w:tc>
          <w:tcPr>
            <w:tcW w:w="2364" w:type="dxa"/>
          </w:tcPr>
          <w:p>
            <w:pPr>
              <w:spacing w:line="360" w:lineRule="auto"/>
              <w:rPr>
                <w:rFonts w:hAnsi="宋体"/>
                <w:sz w:val="24"/>
                <w:lang w:val="en-GB"/>
              </w:rPr>
            </w:pPr>
            <w:r>
              <w:rPr>
                <w:rFonts w:hint="eastAsia" w:hAnsi="宋体"/>
                <w:sz w:val="24"/>
                <w:lang w:val="en-GB"/>
              </w:rPr>
              <w:t>6.2.4.1条</w:t>
            </w:r>
          </w:p>
        </w:tc>
        <w:tc>
          <w:tcPr>
            <w:tcW w:w="3306" w:type="dxa"/>
          </w:tcPr>
          <w:p>
            <w:pPr>
              <w:spacing w:line="360" w:lineRule="auto"/>
              <w:rPr>
                <w:rFonts w:hAnsi="宋体"/>
                <w:sz w:val="24"/>
                <w:lang w:val="en-GB"/>
              </w:rPr>
            </w:pPr>
            <w:r>
              <w:rPr>
                <w:rFonts w:hint="eastAsia" w:hAnsi="宋体"/>
                <w:sz w:val="24"/>
                <w:lang w:val="en-GB"/>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lang w:val="en-GB"/>
              </w:rPr>
            </w:pPr>
            <w:r>
              <w:rPr>
                <w:rFonts w:hint="eastAsia" w:hAnsi="宋体"/>
                <w:sz w:val="24"/>
                <w:lang w:val="en-GB"/>
              </w:rPr>
              <w:t>依据材料</w:t>
            </w:r>
          </w:p>
        </w:tc>
        <w:tc>
          <w:tcPr>
            <w:tcW w:w="7796" w:type="dxa"/>
            <w:gridSpan w:val="3"/>
          </w:tcPr>
          <w:p>
            <w:pPr>
              <w:autoSpaceDE w:val="0"/>
              <w:autoSpaceDN w:val="0"/>
              <w:adjustRightInd w:val="0"/>
              <w:spacing w:line="360" w:lineRule="auto"/>
              <w:ind w:firstLine="480" w:firstLineChars="200"/>
              <w:jc w:val="left"/>
              <w:rPr>
                <w:rFonts w:hAnsi="宋体"/>
                <w:sz w:val="24"/>
                <w:lang w:val="en-GB"/>
              </w:rPr>
            </w:pPr>
            <w:r>
              <w:rPr>
                <w:rFonts w:hint="eastAsia" w:hAnsi="宋体"/>
                <w:sz w:val="24"/>
                <w:lang w:val="en-GB"/>
              </w:rPr>
              <w:t>设计人员应对照项目设计文件，根据项目实际选用钢筋情况填写本条内容。</w:t>
            </w:r>
          </w:p>
          <w:p>
            <w:pPr>
              <w:autoSpaceDE w:val="0"/>
              <w:autoSpaceDN w:val="0"/>
              <w:adjustRightInd w:val="0"/>
              <w:spacing w:line="360" w:lineRule="auto"/>
              <w:ind w:firstLine="480" w:firstLineChars="200"/>
              <w:jc w:val="left"/>
              <w:rPr>
                <w:rFonts w:hAnsi="宋体"/>
                <w:sz w:val="24"/>
                <w:lang w:val="en-GB"/>
              </w:rPr>
            </w:pPr>
            <w:r>
              <w:rPr>
                <w:rFonts w:hint="eastAsia" w:hAnsi="宋体"/>
                <w:sz w:val="24"/>
                <w:lang w:val="en-GB"/>
              </w:rPr>
              <w:t xml:space="preserve">此条款为DB33/1092-2021一般规定，必须达标。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lang w:val="en-GB"/>
              </w:rPr>
            </w:pPr>
            <w:r>
              <w:rPr>
                <w:rFonts w:hint="eastAsia" w:hAnsi="宋体"/>
                <w:sz w:val="24"/>
                <w:lang w:val="en-GB"/>
              </w:rPr>
              <w:t>备注</w:t>
            </w:r>
          </w:p>
        </w:tc>
        <w:tc>
          <w:tcPr>
            <w:tcW w:w="7796" w:type="dxa"/>
            <w:gridSpan w:val="3"/>
          </w:tcPr>
          <w:p>
            <w:pPr>
              <w:spacing w:line="360" w:lineRule="auto"/>
              <w:ind w:firstLine="480" w:firstLineChars="200"/>
              <w:rPr>
                <w:rFonts w:hAnsi="宋体"/>
                <w:sz w:val="24"/>
              </w:rPr>
            </w:pPr>
            <w:r>
              <w:rPr>
                <w:rFonts w:hint="eastAsia" w:hAnsi="宋体"/>
                <w:sz w:val="24"/>
              </w:rPr>
              <w:t>GB/T50378-2019未将本条内容列入控制项，对高强钢筋的用量只提出具体的用量比例要求，作为评分项列入第7.2.15条之1-1）款，此项要求在</w:t>
            </w:r>
            <w:r>
              <w:rPr>
                <w:rFonts w:hint="eastAsia" w:hAnsi="宋体"/>
                <w:sz w:val="24"/>
                <w:lang w:val="en-GB"/>
              </w:rPr>
              <w:t>DB33/1092-2021</w:t>
            </w:r>
            <w:r>
              <w:rPr>
                <w:rFonts w:hint="eastAsia" w:hAnsi="宋体"/>
                <w:sz w:val="24"/>
              </w:rPr>
              <w:t>放在第6.2.4条第1款中体现。</w:t>
            </w:r>
          </w:p>
        </w:tc>
      </w:tr>
    </w:tbl>
    <w:p>
      <w:pPr>
        <w:pStyle w:val="17"/>
        <w:spacing w:line="360" w:lineRule="auto"/>
        <w:rPr>
          <w:rFonts w:hAnsi="宋体"/>
          <w:sz w:val="24"/>
          <w:lang w:val="en-GB"/>
        </w:rPr>
      </w:pPr>
    </w:p>
    <w:p>
      <w:pPr>
        <w:spacing w:line="360" w:lineRule="auto"/>
        <w:rPr>
          <w:rFonts w:hAnsi="宋体"/>
          <w:sz w:val="24"/>
          <w:lang w:val="en-GB"/>
        </w:rPr>
      </w:pPr>
      <w:r>
        <w:rPr>
          <w:rFonts w:hint="eastAsia" w:hAnsi="宋体"/>
          <w:sz w:val="24"/>
          <w:lang w:val="en-GB"/>
        </w:rPr>
        <w:t>3、</w:t>
      </w:r>
      <w:r>
        <w:rPr>
          <w:rFonts w:hAnsi="宋体"/>
          <w:sz w:val="24"/>
        </w:rPr>
        <w:t>选择建设场地时，应满足现行国家标准《建筑抗震设计规范》GB50011的相关要求</w:t>
      </w:r>
      <w:r>
        <w:rPr>
          <w:rFonts w:hint="eastAsia" w:hAnsi="宋体"/>
          <w:sz w:val="24"/>
          <w:lang w:val="en-GB"/>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1938"/>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552" w:type="dxa"/>
          </w:tcPr>
          <w:p>
            <w:pPr>
              <w:spacing w:line="360" w:lineRule="auto"/>
              <w:rPr>
                <w:rFonts w:hAnsi="宋体"/>
                <w:sz w:val="24"/>
              </w:rPr>
            </w:pPr>
            <w:r>
              <w:rPr>
                <w:rFonts w:hint="eastAsia" w:hAnsi="宋体"/>
                <w:sz w:val="24"/>
              </w:rPr>
              <w:t>GB/T 50378-2019</w:t>
            </w:r>
          </w:p>
        </w:tc>
        <w:tc>
          <w:tcPr>
            <w:tcW w:w="1938" w:type="dxa"/>
          </w:tcPr>
          <w:p>
            <w:pPr>
              <w:spacing w:line="360" w:lineRule="auto"/>
              <w:rPr>
                <w:rFonts w:hAnsi="宋体"/>
                <w:sz w:val="24"/>
              </w:rPr>
            </w:pPr>
            <w:r>
              <w:rPr>
                <w:rFonts w:hint="eastAsia" w:hAnsi="宋体"/>
                <w:sz w:val="24"/>
              </w:rPr>
              <w:t>4.1.1条</w:t>
            </w:r>
          </w:p>
        </w:tc>
        <w:tc>
          <w:tcPr>
            <w:tcW w:w="3306" w:type="dxa"/>
          </w:tcPr>
          <w:p>
            <w:pPr>
              <w:spacing w:line="360" w:lineRule="auto"/>
              <w:rPr>
                <w:rFonts w:hAnsi="宋体"/>
                <w:sz w:val="24"/>
              </w:rPr>
            </w:pPr>
            <w:r>
              <w:rPr>
                <w:rFonts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552" w:type="dxa"/>
          </w:tcPr>
          <w:p>
            <w:pPr>
              <w:spacing w:line="360" w:lineRule="auto"/>
              <w:rPr>
                <w:rFonts w:hAnsi="宋体"/>
                <w:sz w:val="24"/>
              </w:rPr>
            </w:pPr>
            <w:r>
              <w:rPr>
                <w:rFonts w:hint="eastAsia" w:hAnsi="宋体"/>
                <w:sz w:val="24"/>
                <w:lang w:val="en-GB"/>
              </w:rPr>
              <w:t>DB33/1092-2021</w:t>
            </w:r>
          </w:p>
        </w:tc>
        <w:tc>
          <w:tcPr>
            <w:tcW w:w="1938" w:type="dxa"/>
          </w:tcPr>
          <w:p>
            <w:pPr>
              <w:spacing w:line="360" w:lineRule="auto"/>
              <w:rPr>
                <w:rFonts w:hAnsi="宋体"/>
                <w:sz w:val="24"/>
              </w:rPr>
            </w:pPr>
            <w:r>
              <w:rPr>
                <w:rFonts w:hint="eastAsia" w:hAnsi="宋体"/>
                <w:sz w:val="24"/>
              </w:rPr>
              <w:t>6.1.2条</w:t>
            </w:r>
          </w:p>
        </w:tc>
        <w:tc>
          <w:tcPr>
            <w:tcW w:w="3306" w:type="dxa"/>
          </w:tcPr>
          <w:p>
            <w:pPr>
              <w:spacing w:line="360" w:lineRule="auto"/>
              <w:rPr>
                <w:rFonts w:hAnsi="宋体"/>
                <w:sz w:val="24"/>
              </w:rPr>
            </w:pPr>
            <w:r>
              <w:rPr>
                <w:rFonts w:hint="eastAsia" w:hAnsi="宋体"/>
                <w:sz w:val="24"/>
                <w:lang w:val="en-GB"/>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Ansi="宋体"/>
                <w:sz w:val="24"/>
              </w:rPr>
              <w:t>设计人员应对照国家标准《建筑抗震设计规范》GB50011的相关要求</w:t>
            </w:r>
            <w:r>
              <w:rPr>
                <w:rFonts w:hint="eastAsia" w:hAnsi="宋体"/>
                <w:sz w:val="24"/>
              </w:rPr>
              <w:t>，</w:t>
            </w:r>
            <w:r>
              <w:rPr>
                <w:rFonts w:hAnsi="宋体"/>
                <w:sz w:val="24"/>
              </w:rPr>
              <w:t>依据项目区位图</w:t>
            </w:r>
            <w:r>
              <w:rPr>
                <w:rFonts w:hint="eastAsia" w:hAnsi="宋体"/>
                <w:sz w:val="24"/>
              </w:rPr>
              <w:t>、</w:t>
            </w:r>
            <w:r>
              <w:rPr>
                <w:rFonts w:hAnsi="宋体"/>
                <w:sz w:val="24"/>
              </w:rPr>
              <w:t>场地地形图</w:t>
            </w:r>
            <w:r>
              <w:rPr>
                <w:rFonts w:hint="eastAsia" w:hAnsi="宋体"/>
                <w:sz w:val="24"/>
              </w:rPr>
              <w:t>、</w:t>
            </w:r>
            <w:r>
              <w:rPr>
                <w:rFonts w:hAnsi="宋体"/>
                <w:sz w:val="24"/>
              </w:rPr>
              <w:t>工程地质勘察报告</w:t>
            </w:r>
            <w:r>
              <w:rPr>
                <w:rFonts w:hint="eastAsia" w:hAnsi="宋体"/>
                <w:sz w:val="24"/>
              </w:rPr>
              <w:t>、</w:t>
            </w:r>
            <w:r>
              <w:rPr>
                <w:rFonts w:hAnsi="宋体"/>
                <w:sz w:val="24"/>
              </w:rPr>
              <w:t>环评报告</w:t>
            </w:r>
            <w:r>
              <w:rPr>
                <w:rFonts w:hint="eastAsia" w:hAnsi="宋体"/>
                <w:sz w:val="24"/>
              </w:rPr>
              <w:t>、</w:t>
            </w:r>
            <w:r>
              <w:rPr>
                <w:rFonts w:hAnsi="宋体"/>
                <w:sz w:val="24"/>
              </w:rPr>
              <w:t>相关检测报告或论证报告等</w:t>
            </w:r>
            <w:r>
              <w:rPr>
                <w:rFonts w:hint="eastAsia" w:hAnsi="宋体"/>
                <w:sz w:val="24"/>
              </w:rPr>
              <w:t>，评估项目选址的合理性。</w:t>
            </w:r>
          </w:p>
          <w:p>
            <w:pPr>
              <w:autoSpaceDE w:val="0"/>
              <w:autoSpaceDN w:val="0"/>
              <w:adjustRightInd w:val="0"/>
              <w:spacing w:line="360" w:lineRule="auto"/>
              <w:ind w:firstLine="480" w:firstLineChars="200"/>
              <w:jc w:val="left"/>
              <w:rPr>
                <w:rFonts w:hAnsi="宋体"/>
                <w:sz w:val="24"/>
              </w:rPr>
            </w:pPr>
            <w:r>
              <w:rPr>
                <w:rFonts w:hint="eastAsia" w:hAnsi="宋体"/>
                <w:sz w:val="24"/>
                <w:lang w:val="en-GB"/>
              </w:rPr>
              <w:t>此条款为</w:t>
            </w:r>
            <w:r>
              <w:rPr>
                <w:rFonts w:hint="eastAsia" w:hAnsi="宋体"/>
                <w:sz w:val="24"/>
              </w:rPr>
              <w:t>GB/T 50378-2019控制项、</w:t>
            </w:r>
            <w:r>
              <w:rPr>
                <w:rFonts w:hint="eastAsia" w:hAnsi="宋体"/>
                <w:sz w:val="24"/>
                <w:lang w:val="en-GB"/>
              </w:rPr>
              <w:t>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left="27" w:leftChars="13" w:firstLine="480" w:firstLineChars="200"/>
              <w:jc w:val="left"/>
              <w:rPr>
                <w:rFonts w:hAnsi="宋体"/>
                <w:sz w:val="24"/>
              </w:rPr>
            </w:pPr>
            <w:r>
              <w:rPr>
                <w:rFonts w:hint="eastAsia" w:hAnsi="宋体"/>
                <w:sz w:val="24"/>
              </w:rPr>
              <w:t>GB/T50378-2019第4.1.1条还涉及对于场地的危险化学品、易燃易爆危险源、电磁辐射、含氡土壤等要求，就结构专业而言，项目选址的合理性执行</w:t>
            </w:r>
            <w:r>
              <w:rPr>
                <w:rFonts w:hAnsi="宋体"/>
                <w:sz w:val="24"/>
              </w:rPr>
              <w:t>国家标准《建筑抗震设计规范》GB50011的相关要求</w:t>
            </w:r>
            <w:r>
              <w:rPr>
                <w:rFonts w:hint="eastAsia" w:hAnsi="宋体"/>
                <w:sz w:val="24"/>
              </w:rPr>
              <w:t>。</w:t>
            </w:r>
          </w:p>
        </w:tc>
      </w:tr>
    </w:tbl>
    <w:p>
      <w:pPr>
        <w:spacing w:line="360" w:lineRule="auto"/>
        <w:rPr>
          <w:rFonts w:hAnsi="宋体"/>
          <w:sz w:val="24"/>
        </w:rPr>
      </w:pPr>
    </w:p>
    <w:p>
      <w:pPr>
        <w:spacing w:before="109" w:beforeLines="35" w:after="109" w:afterLines="35" w:line="360" w:lineRule="auto"/>
        <w:rPr>
          <w:rFonts w:hAnsi="宋体"/>
          <w:sz w:val="24"/>
          <w:lang w:val="en-GB"/>
        </w:rPr>
      </w:pPr>
      <w:r>
        <w:rPr>
          <w:rFonts w:hint="eastAsia" w:hAnsi="宋体"/>
          <w:sz w:val="24"/>
          <w:lang w:val="en-GB"/>
        </w:rPr>
        <w:t>4、</w:t>
      </w:r>
      <w:r>
        <w:rPr>
          <w:rFonts w:hint="eastAsia" w:hAnsi="宋体"/>
          <w:sz w:val="24"/>
        </w:rPr>
        <w:t>建筑结构应满足承载力、变形和建筑使用功能的要求，结构构件的耐久性应满足相应设计使用年限的要求；</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1938"/>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552" w:type="dxa"/>
          </w:tcPr>
          <w:p>
            <w:pPr>
              <w:spacing w:line="360" w:lineRule="auto"/>
              <w:rPr>
                <w:rFonts w:hAnsi="宋体"/>
                <w:sz w:val="24"/>
              </w:rPr>
            </w:pPr>
            <w:r>
              <w:rPr>
                <w:rFonts w:hint="eastAsia" w:hAnsi="宋体"/>
                <w:sz w:val="24"/>
              </w:rPr>
              <w:t>GB/T 50378-2019</w:t>
            </w:r>
          </w:p>
        </w:tc>
        <w:tc>
          <w:tcPr>
            <w:tcW w:w="1938" w:type="dxa"/>
          </w:tcPr>
          <w:p>
            <w:pPr>
              <w:spacing w:line="360" w:lineRule="auto"/>
              <w:rPr>
                <w:rFonts w:hAnsi="宋体"/>
                <w:sz w:val="24"/>
              </w:rPr>
            </w:pPr>
            <w:r>
              <w:rPr>
                <w:rFonts w:hint="eastAsia" w:hAnsi="宋体"/>
                <w:sz w:val="24"/>
              </w:rPr>
              <w:t>4.1.2条</w:t>
            </w:r>
          </w:p>
        </w:tc>
        <w:tc>
          <w:tcPr>
            <w:tcW w:w="3306" w:type="dxa"/>
          </w:tcPr>
          <w:p>
            <w:pPr>
              <w:spacing w:line="360" w:lineRule="auto"/>
              <w:rPr>
                <w:rFonts w:hAnsi="宋体"/>
                <w:sz w:val="24"/>
              </w:rPr>
            </w:pPr>
            <w:r>
              <w:rPr>
                <w:rFonts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552" w:type="dxa"/>
          </w:tcPr>
          <w:p>
            <w:pPr>
              <w:spacing w:line="360" w:lineRule="auto"/>
              <w:rPr>
                <w:rFonts w:hAnsi="宋体"/>
                <w:sz w:val="24"/>
              </w:rPr>
            </w:pPr>
            <w:r>
              <w:rPr>
                <w:rFonts w:hint="eastAsia" w:hAnsi="宋体"/>
                <w:sz w:val="24"/>
                <w:lang w:val="en-GB"/>
              </w:rPr>
              <w:t>DB33/1092-2021</w:t>
            </w:r>
          </w:p>
        </w:tc>
        <w:tc>
          <w:tcPr>
            <w:tcW w:w="1938" w:type="dxa"/>
          </w:tcPr>
          <w:p>
            <w:pPr>
              <w:spacing w:line="360" w:lineRule="auto"/>
              <w:rPr>
                <w:rFonts w:hAnsi="宋体"/>
                <w:sz w:val="24"/>
              </w:rPr>
            </w:pPr>
            <w:r>
              <w:rPr>
                <w:rFonts w:hint="eastAsia" w:hAnsi="宋体"/>
                <w:sz w:val="24"/>
              </w:rPr>
              <w:t>6.1.3条</w:t>
            </w:r>
          </w:p>
        </w:tc>
        <w:tc>
          <w:tcPr>
            <w:tcW w:w="3306" w:type="dxa"/>
          </w:tcPr>
          <w:p>
            <w:pPr>
              <w:spacing w:line="360" w:lineRule="auto"/>
              <w:rPr>
                <w:rFonts w:hAnsi="宋体"/>
                <w:sz w:val="24"/>
              </w:rPr>
            </w:pPr>
            <w:r>
              <w:rPr>
                <w:rFonts w:hint="eastAsia" w:hAnsi="宋体"/>
                <w:sz w:val="24"/>
                <w:lang w:val="en-GB"/>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ind w:firstLine="480" w:firstLineChars="200"/>
              <w:rPr>
                <w:rFonts w:hAnsi="宋体"/>
                <w:sz w:val="24"/>
              </w:rPr>
            </w:pPr>
            <w:r>
              <w:rPr>
                <w:rFonts w:hAnsi="宋体"/>
                <w:sz w:val="24"/>
              </w:rPr>
              <w:t>设计人员应依据项目设计文件</w:t>
            </w:r>
            <w:r>
              <w:rPr>
                <w:rFonts w:hint="eastAsia" w:hAnsi="宋体"/>
                <w:sz w:val="24"/>
              </w:rPr>
              <w:t>（包括设计说明、计算书、施工图等），对照相关国家和地方现行标准的要求填写本条内容。</w:t>
            </w:r>
          </w:p>
          <w:p>
            <w:pPr>
              <w:spacing w:line="360" w:lineRule="auto"/>
              <w:ind w:firstLine="480" w:firstLineChars="200"/>
              <w:rPr>
                <w:rFonts w:hAnsi="宋体"/>
                <w:sz w:val="24"/>
              </w:rPr>
            </w:pPr>
            <w:r>
              <w:rPr>
                <w:rFonts w:hint="eastAsia" w:hAnsi="宋体"/>
                <w:sz w:val="24"/>
                <w:lang w:val="en-GB"/>
              </w:rPr>
              <w:t>此条款为</w:t>
            </w:r>
            <w:r>
              <w:rPr>
                <w:rFonts w:hint="eastAsia" w:hAnsi="宋体"/>
                <w:sz w:val="24"/>
              </w:rPr>
              <w:t>GB/T 50378-2019控制项、</w:t>
            </w:r>
            <w:r>
              <w:rPr>
                <w:rFonts w:hint="eastAsia" w:hAnsi="宋体"/>
                <w:sz w:val="24"/>
                <w:lang w:val="en-GB"/>
              </w:rPr>
              <w:t>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int="eastAsia" w:hAnsi="宋体"/>
                <w:sz w:val="24"/>
              </w:rPr>
              <w:t>GB/T50378-2019第4.1.2条还涉及结构专业以外的其它内容，结构专业可从承载力、变形、使用功能、耐久性四个维度对设计项目进行综合评判。</w:t>
            </w:r>
          </w:p>
        </w:tc>
      </w:tr>
    </w:tbl>
    <w:p>
      <w:pPr>
        <w:spacing w:line="360" w:lineRule="auto"/>
        <w:rPr>
          <w:rFonts w:hAnsi="宋体"/>
          <w:sz w:val="24"/>
        </w:rPr>
      </w:pPr>
    </w:p>
    <w:p>
      <w:pPr>
        <w:spacing w:before="109" w:beforeLines="35" w:after="109" w:afterLines="35" w:line="360" w:lineRule="auto"/>
        <w:rPr>
          <w:rFonts w:hAnsi="宋体"/>
          <w:sz w:val="24"/>
          <w:lang w:val="en-GB"/>
        </w:rPr>
      </w:pPr>
      <w:r>
        <w:rPr>
          <w:rFonts w:hint="eastAsia" w:hAnsi="宋体"/>
          <w:sz w:val="24"/>
          <w:lang w:val="en-GB"/>
        </w:rPr>
        <w:t>5、</w:t>
      </w:r>
      <w:r>
        <w:rPr>
          <w:rFonts w:hint="eastAsia" w:hAnsi="宋体"/>
          <w:sz w:val="24"/>
        </w:rPr>
        <w:t>非结构构件与建筑结构应牢固连接，并能适应主体结构变形；</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1938"/>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552" w:type="dxa"/>
          </w:tcPr>
          <w:p>
            <w:pPr>
              <w:spacing w:line="360" w:lineRule="auto"/>
              <w:rPr>
                <w:rFonts w:hAnsi="宋体"/>
                <w:sz w:val="24"/>
              </w:rPr>
            </w:pPr>
            <w:r>
              <w:rPr>
                <w:rFonts w:hint="eastAsia" w:hAnsi="宋体"/>
                <w:sz w:val="24"/>
              </w:rPr>
              <w:t>GB/T 50378-2019</w:t>
            </w:r>
          </w:p>
        </w:tc>
        <w:tc>
          <w:tcPr>
            <w:tcW w:w="1938" w:type="dxa"/>
          </w:tcPr>
          <w:p>
            <w:pPr>
              <w:spacing w:line="360" w:lineRule="auto"/>
              <w:rPr>
                <w:rFonts w:hAnsi="宋体"/>
                <w:sz w:val="24"/>
              </w:rPr>
            </w:pPr>
            <w:r>
              <w:rPr>
                <w:rFonts w:hint="eastAsia" w:hAnsi="宋体"/>
                <w:sz w:val="24"/>
              </w:rPr>
              <w:t>4.1.4条</w:t>
            </w:r>
          </w:p>
        </w:tc>
        <w:tc>
          <w:tcPr>
            <w:tcW w:w="3306" w:type="dxa"/>
          </w:tcPr>
          <w:p>
            <w:pPr>
              <w:spacing w:line="360" w:lineRule="auto"/>
              <w:rPr>
                <w:rFonts w:hAnsi="宋体"/>
                <w:sz w:val="24"/>
              </w:rPr>
            </w:pPr>
            <w:r>
              <w:rPr>
                <w:rFonts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552" w:type="dxa"/>
          </w:tcPr>
          <w:p>
            <w:pPr>
              <w:spacing w:line="360" w:lineRule="auto"/>
              <w:rPr>
                <w:rFonts w:hAnsi="宋体"/>
                <w:sz w:val="24"/>
              </w:rPr>
            </w:pPr>
            <w:r>
              <w:rPr>
                <w:rFonts w:hint="eastAsia" w:hAnsi="宋体"/>
                <w:sz w:val="24"/>
                <w:lang w:val="en-GB"/>
              </w:rPr>
              <w:t>DB33/1092-2021</w:t>
            </w:r>
          </w:p>
        </w:tc>
        <w:tc>
          <w:tcPr>
            <w:tcW w:w="1938" w:type="dxa"/>
          </w:tcPr>
          <w:p>
            <w:pPr>
              <w:spacing w:line="360" w:lineRule="auto"/>
              <w:rPr>
                <w:rFonts w:hAnsi="宋体"/>
                <w:sz w:val="24"/>
              </w:rPr>
            </w:pPr>
            <w:r>
              <w:rPr>
                <w:rFonts w:hint="eastAsia" w:hAnsi="宋体"/>
                <w:sz w:val="24"/>
              </w:rPr>
              <w:t>6.1.7条</w:t>
            </w:r>
          </w:p>
        </w:tc>
        <w:tc>
          <w:tcPr>
            <w:tcW w:w="3306" w:type="dxa"/>
          </w:tcPr>
          <w:p>
            <w:pPr>
              <w:spacing w:line="360" w:lineRule="auto"/>
              <w:rPr>
                <w:rFonts w:hAnsi="宋体"/>
                <w:sz w:val="24"/>
              </w:rPr>
            </w:pPr>
            <w:r>
              <w:rPr>
                <w:rFonts w:hint="eastAsia" w:hAnsi="宋体"/>
                <w:sz w:val="24"/>
                <w:lang w:val="en-GB"/>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ind w:firstLine="480" w:firstLineChars="200"/>
              <w:rPr>
                <w:rFonts w:hAnsi="宋体"/>
                <w:sz w:val="24"/>
              </w:rPr>
            </w:pPr>
            <w:r>
              <w:rPr>
                <w:rFonts w:hAnsi="宋体"/>
                <w:sz w:val="24"/>
              </w:rPr>
              <w:t>设计人员</w:t>
            </w:r>
            <w:r>
              <w:rPr>
                <w:rFonts w:hint="eastAsia" w:hAnsi="宋体"/>
                <w:sz w:val="24"/>
              </w:rPr>
              <w:t>根据设计总说明、各连接件、配件、预埋件的材料及力学性能要求等、关键连接构件计算书、连接节点大样图等设计文件，设备及附属实施的布置图及设计说明等的具体情况填写本条内容。</w:t>
            </w:r>
          </w:p>
          <w:p>
            <w:pPr>
              <w:spacing w:line="360" w:lineRule="auto"/>
              <w:ind w:firstLine="480" w:firstLineChars="200"/>
              <w:rPr>
                <w:rFonts w:hAnsi="宋体"/>
                <w:sz w:val="24"/>
              </w:rPr>
            </w:pPr>
            <w:r>
              <w:rPr>
                <w:rFonts w:hint="eastAsia" w:hAnsi="宋体"/>
                <w:sz w:val="24"/>
                <w:lang w:val="en-GB"/>
              </w:rPr>
              <w:t>此条款为</w:t>
            </w:r>
            <w:r>
              <w:rPr>
                <w:rFonts w:hint="eastAsia" w:hAnsi="宋体"/>
                <w:sz w:val="24"/>
              </w:rPr>
              <w:t>GB/T 50378-2019控制项、</w:t>
            </w:r>
            <w:r>
              <w:rPr>
                <w:rFonts w:hint="eastAsia" w:hAnsi="宋体"/>
                <w:sz w:val="24"/>
                <w:lang w:val="en-GB"/>
              </w:rPr>
              <w:t>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int="eastAsia" w:hAnsi="宋体"/>
                <w:sz w:val="24"/>
              </w:rPr>
              <w:t>GB/T 50378-2019第4.1.4条对非结构构件的描述不够全面，本条要求按</w:t>
            </w:r>
            <w:r>
              <w:rPr>
                <w:rFonts w:hint="eastAsia" w:hAnsi="宋体"/>
                <w:sz w:val="24"/>
                <w:lang w:val="en-GB"/>
              </w:rPr>
              <w:t>DB33/1092-2021</w:t>
            </w:r>
            <w:r>
              <w:rPr>
                <w:rFonts w:hint="eastAsia" w:hAnsi="宋体"/>
                <w:sz w:val="24"/>
              </w:rPr>
              <w:t>进行编排。</w:t>
            </w:r>
          </w:p>
        </w:tc>
      </w:tr>
    </w:tbl>
    <w:p>
      <w:pPr>
        <w:spacing w:line="360" w:lineRule="auto"/>
        <w:rPr>
          <w:rFonts w:hAnsi="宋体"/>
          <w:sz w:val="24"/>
        </w:rPr>
      </w:pPr>
    </w:p>
    <w:p>
      <w:pPr>
        <w:spacing w:before="109" w:beforeLines="35" w:after="109" w:afterLines="35" w:line="360" w:lineRule="auto"/>
        <w:rPr>
          <w:rFonts w:hAnsi="宋体"/>
          <w:sz w:val="24"/>
          <w:lang w:val="en-GB"/>
        </w:rPr>
      </w:pPr>
      <w:r>
        <w:rPr>
          <w:rFonts w:hint="eastAsia" w:hAnsi="宋体"/>
          <w:sz w:val="24"/>
          <w:lang w:val="en-GB"/>
        </w:rPr>
        <w:t>6、</w:t>
      </w:r>
      <w:r>
        <w:rPr>
          <w:rFonts w:hAnsi="宋体"/>
          <w:sz w:val="24"/>
        </w:rPr>
        <w:t>结构方案应满足抗震概念设计的要求，不应采用严重不规则的结构方案，对于特别不规则的结构应合理确定抗震性能目标</w:t>
      </w:r>
      <w:r>
        <w:rPr>
          <w:rFonts w:hint="eastAsia" w:hAnsi="宋体"/>
          <w:sz w:val="24"/>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2222"/>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268" w:type="dxa"/>
          </w:tcPr>
          <w:p>
            <w:pPr>
              <w:spacing w:line="360" w:lineRule="auto"/>
              <w:rPr>
                <w:rFonts w:hAnsi="宋体"/>
                <w:sz w:val="24"/>
              </w:rPr>
            </w:pPr>
            <w:r>
              <w:rPr>
                <w:rFonts w:hint="eastAsia" w:hAnsi="宋体"/>
                <w:sz w:val="24"/>
              </w:rPr>
              <w:t>GB/T 50378-2019</w:t>
            </w:r>
          </w:p>
        </w:tc>
        <w:tc>
          <w:tcPr>
            <w:tcW w:w="2222" w:type="dxa"/>
          </w:tcPr>
          <w:p>
            <w:pPr>
              <w:spacing w:line="360" w:lineRule="auto"/>
              <w:rPr>
                <w:rFonts w:hAnsi="宋体"/>
                <w:sz w:val="24"/>
              </w:rPr>
            </w:pPr>
            <w:r>
              <w:rPr>
                <w:rFonts w:hint="eastAsia" w:hAnsi="宋体"/>
                <w:sz w:val="24"/>
              </w:rPr>
              <w:t>7.1.8条</w:t>
            </w:r>
          </w:p>
        </w:tc>
        <w:tc>
          <w:tcPr>
            <w:tcW w:w="3306" w:type="dxa"/>
          </w:tcPr>
          <w:p>
            <w:pPr>
              <w:spacing w:line="360" w:lineRule="auto"/>
              <w:rPr>
                <w:rFonts w:hAnsi="宋体"/>
                <w:sz w:val="24"/>
              </w:rPr>
            </w:pPr>
            <w:r>
              <w:rPr>
                <w:rFonts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268" w:type="dxa"/>
          </w:tcPr>
          <w:p>
            <w:pPr>
              <w:spacing w:line="360" w:lineRule="auto"/>
              <w:rPr>
                <w:rFonts w:hAnsi="宋体"/>
                <w:sz w:val="24"/>
              </w:rPr>
            </w:pPr>
            <w:r>
              <w:rPr>
                <w:rFonts w:hint="eastAsia" w:hAnsi="宋体"/>
                <w:sz w:val="24"/>
                <w:lang w:val="en-GB"/>
              </w:rPr>
              <w:t>DB33/1092-2021</w:t>
            </w:r>
          </w:p>
        </w:tc>
        <w:tc>
          <w:tcPr>
            <w:tcW w:w="2222" w:type="dxa"/>
          </w:tcPr>
          <w:p>
            <w:pPr>
              <w:spacing w:line="360" w:lineRule="auto"/>
              <w:rPr>
                <w:rFonts w:hAnsi="宋体"/>
                <w:sz w:val="24"/>
              </w:rPr>
            </w:pPr>
            <w:r>
              <w:rPr>
                <w:rFonts w:hint="eastAsia" w:hAnsi="宋体"/>
                <w:sz w:val="24"/>
              </w:rPr>
              <w:t>6.1.5条</w:t>
            </w:r>
          </w:p>
        </w:tc>
        <w:tc>
          <w:tcPr>
            <w:tcW w:w="3306" w:type="dxa"/>
          </w:tcPr>
          <w:p>
            <w:pPr>
              <w:spacing w:line="360" w:lineRule="auto"/>
              <w:rPr>
                <w:rFonts w:hAnsi="宋体"/>
                <w:sz w:val="24"/>
              </w:rPr>
            </w:pPr>
            <w:r>
              <w:rPr>
                <w:rFonts w:hint="eastAsia" w:hAnsi="宋体"/>
                <w:sz w:val="24"/>
                <w:lang w:val="en-GB"/>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ind w:firstLine="480" w:firstLineChars="200"/>
              <w:rPr>
                <w:rFonts w:hAnsi="宋体"/>
                <w:sz w:val="24"/>
              </w:rPr>
            </w:pPr>
            <w:r>
              <w:rPr>
                <w:rFonts w:hint="eastAsia" w:hAnsi="宋体"/>
                <w:sz w:val="24"/>
              </w:rPr>
              <w:t>设计人员应对照项目施工图，对项目实际采用的结构体系，根据现行国家标准《建筑抗震设计规范》GB50011的有关规定进行划分。结构规则性主要分为：规则、不规则、特别不规则、严重不规则四类。</w:t>
            </w:r>
          </w:p>
          <w:p>
            <w:pPr>
              <w:spacing w:line="360" w:lineRule="auto"/>
              <w:ind w:firstLine="480" w:firstLineChars="200"/>
              <w:rPr>
                <w:rFonts w:hAnsi="宋体"/>
                <w:sz w:val="24"/>
              </w:rPr>
            </w:pPr>
            <w:r>
              <w:rPr>
                <w:rFonts w:hint="eastAsia" w:hAnsi="宋体"/>
                <w:sz w:val="24"/>
                <w:lang w:val="en-GB"/>
              </w:rPr>
              <w:t>此条款为</w:t>
            </w:r>
            <w:r>
              <w:rPr>
                <w:rFonts w:hint="eastAsia" w:hAnsi="宋体"/>
                <w:sz w:val="24"/>
              </w:rPr>
              <w:t>GB/T 50378-2019控制项、</w:t>
            </w:r>
            <w:r>
              <w:rPr>
                <w:rFonts w:hint="eastAsia" w:hAnsi="宋体"/>
                <w:sz w:val="24"/>
                <w:lang w:val="en-GB"/>
              </w:rPr>
              <w:t>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int="eastAsia" w:hAnsi="宋体"/>
                <w:sz w:val="24"/>
              </w:rPr>
              <w:t>结构方案应尽量采用平面、竖向规则的方案，满足抗震概念设计的要求。对于特别不规则的结构应合理确定抗震性能目标，不应采用严重不规则的结构方案。</w:t>
            </w:r>
          </w:p>
        </w:tc>
      </w:tr>
    </w:tbl>
    <w:p>
      <w:pPr>
        <w:spacing w:before="109" w:beforeLines="35" w:after="109" w:afterLines="35" w:line="360" w:lineRule="auto"/>
        <w:rPr>
          <w:rFonts w:hAnsi="宋体"/>
          <w:sz w:val="24"/>
        </w:rPr>
      </w:pPr>
    </w:p>
    <w:p>
      <w:pPr>
        <w:spacing w:before="109" w:beforeLines="35" w:after="109" w:afterLines="35" w:line="360" w:lineRule="auto"/>
        <w:rPr>
          <w:rFonts w:hAnsi="宋体"/>
          <w:sz w:val="24"/>
          <w:lang w:val="en-GB"/>
        </w:rPr>
      </w:pPr>
      <w:r>
        <w:rPr>
          <w:rFonts w:hint="eastAsia" w:hAnsi="宋体"/>
          <w:sz w:val="24"/>
          <w:lang w:val="en-GB"/>
        </w:rPr>
        <w:t>7、</w:t>
      </w:r>
      <w:r>
        <w:rPr>
          <w:rFonts w:hint="eastAsia" w:hAnsi="宋体"/>
          <w:sz w:val="24"/>
        </w:rPr>
        <w:t>500km以内生产的建筑材料重量占建筑材料总重量的比例应大于60%；</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2364"/>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126" w:type="dxa"/>
          </w:tcPr>
          <w:p>
            <w:pPr>
              <w:spacing w:line="360" w:lineRule="auto"/>
              <w:rPr>
                <w:rFonts w:hAnsi="宋体"/>
                <w:sz w:val="24"/>
              </w:rPr>
            </w:pPr>
            <w:r>
              <w:rPr>
                <w:rFonts w:hint="eastAsia" w:hAnsi="宋体"/>
                <w:sz w:val="24"/>
              </w:rPr>
              <w:t>GB/T 50378-2019</w:t>
            </w:r>
          </w:p>
        </w:tc>
        <w:tc>
          <w:tcPr>
            <w:tcW w:w="2364" w:type="dxa"/>
          </w:tcPr>
          <w:p>
            <w:pPr>
              <w:spacing w:line="360" w:lineRule="auto"/>
              <w:rPr>
                <w:rFonts w:hAnsi="宋体"/>
                <w:sz w:val="24"/>
              </w:rPr>
            </w:pPr>
            <w:r>
              <w:rPr>
                <w:rFonts w:hint="eastAsia" w:hAnsi="宋体"/>
                <w:sz w:val="24"/>
              </w:rPr>
              <w:t>7.1.10.1条</w:t>
            </w:r>
          </w:p>
        </w:tc>
        <w:tc>
          <w:tcPr>
            <w:tcW w:w="3306" w:type="dxa"/>
          </w:tcPr>
          <w:p>
            <w:pPr>
              <w:spacing w:line="360" w:lineRule="auto"/>
              <w:rPr>
                <w:rFonts w:hAnsi="宋体"/>
                <w:sz w:val="24"/>
              </w:rPr>
            </w:pPr>
            <w:r>
              <w:rPr>
                <w:rFonts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spacing w:line="360" w:lineRule="auto"/>
              <w:rPr>
                <w:rFonts w:hAnsi="宋体"/>
                <w:sz w:val="24"/>
              </w:rPr>
            </w:pPr>
          </w:p>
        </w:tc>
        <w:tc>
          <w:tcPr>
            <w:tcW w:w="2126" w:type="dxa"/>
            <w:vMerge w:val="restart"/>
          </w:tcPr>
          <w:p>
            <w:pPr>
              <w:spacing w:line="360" w:lineRule="auto"/>
              <w:rPr>
                <w:rFonts w:hAnsi="宋体"/>
                <w:sz w:val="24"/>
              </w:rPr>
            </w:pPr>
            <w:r>
              <w:rPr>
                <w:rFonts w:hint="eastAsia" w:hAnsi="宋体"/>
                <w:sz w:val="24"/>
                <w:lang w:val="en-GB"/>
              </w:rPr>
              <w:t>DB33/1092-2021</w:t>
            </w:r>
          </w:p>
        </w:tc>
        <w:tc>
          <w:tcPr>
            <w:tcW w:w="2364" w:type="dxa"/>
          </w:tcPr>
          <w:p>
            <w:pPr>
              <w:spacing w:line="360" w:lineRule="auto"/>
              <w:rPr>
                <w:rFonts w:hAnsi="宋体"/>
                <w:sz w:val="24"/>
              </w:rPr>
            </w:pPr>
            <w:r>
              <w:rPr>
                <w:rFonts w:hint="eastAsia" w:hAnsi="宋体"/>
                <w:sz w:val="24"/>
              </w:rPr>
              <w:t xml:space="preserve">6.1.8.2条 </w:t>
            </w:r>
          </w:p>
        </w:tc>
        <w:tc>
          <w:tcPr>
            <w:tcW w:w="3306" w:type="dxa"/>
          </w:tcPr>
          <w:p>
            <w:pPr>
              <w:spacing w:line="360" w:lineRule="auto"/>
              <w:rPr>
                <w:rFonts w:hAnsi="宋体"/>
                <w:sz w:val="24"/>
              </w:rPr>
            </w:pPr>
            <w:r>
              <w:rPr>
                <w:rFonts w:hint="eastAsia" w:hAnsi="宋体"/>
                <w:sz w:val="24"/>
                <w:lang w:val="en-GB"/>
              </w:rPr>
              <w:t xml:space="preserve">一般规定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126" w:type="dxa"/>
            <w:vMerge w:val="continue"/>
          </w:tcPr>
          <w:p>
            <w:pPr>
              <w:spacing w:line="360" w:lineRule="auto"/>
              <w:rPr>
                <w:rFonts w:hAnsi="宋体"/>
                <w:sz w:val="24"/>
              </w:rPr>
            </w:pPr>
          </w:p>
        </w:tc>
        <w:tc>
          <w:tcPr>
            <w:tcW w:w="2364" w:type="dxa"/>
          </w:tcPr>
          <w:p>
            <w:pPr>
              <w:spacing w:line="360" w:lineRule="auto"/>
              <w:rPr>
                <w:rFonts w:hAnsi="宋体"/>
                <w:sz w:val="24"/>
              </w:rPr>
            </w:pPr>
            <w:r>
              <w:rPr>
                <w:rFonts w:hint="eastAsia" w:hAnsi="宋体"/>
                <w:sz w:val="24"/>
              </w:rPr>
              <w:t>6.3.3条</w:t>
            </w:r>
          </w:p>
        </w:tc>
        <w:tc>
          <w:tcPr>
            <w:tcW w:w="3306" w:type="dxa"/>
          </w:tcPr>
          <w:p>
            <w:pPr>
              <w:spacing w:line="360" w:lineRule="auto"/>
              <w:rPr>
                <w:rFonts w:hAnsi="宋体"/>
                <w:sz w:val="24"/>
                <w:lang w:val="en-GB"/>
              </w:rPr>
            </w:pPr>
            <w:r>
              <w:rPr>
                <w:rFonts w:hint="eastAsia" w:hAnsi="宋体"/>
                <w:sz w:val="24"/>
                <w:lang w:val="en-GB"/>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126" w:type="dxa"/>
            <w:vMerge w:val="continue"/>
          </w:tcPr>
          <w:p>
            <w:pPr>
              <w:spacing w:line="360" w:lineRule="auto"/>
              <w:rPr>
                <w:rFonts w:hAnsi="宋体"/>
                <w:sz w:val="24"/>
              </w:rPr>
            </w:pPr>
          </w:p>
        </w:tc>
        <w:tc>
          <w:tcPr>
            <w:tcW w:w="2364" w:type="dxa"/>
          </w:tcPr>
          <w:p>
            <w:pPr>
              <w:spacing w:line="360" w:lineRule="auto"/>
              <w:rPr>
                <w:rFonts w:hAnsi="宋体"/>
                <w:sz w:val="24"/>
              </w:rPr>
            </w:pPr>
            <w:r>
              <w:rPr>
                <w:rFonts w:hint="eastAsia" w:hAnsi="宋体"/>
                <w:sz w:val="24"/>
              </w:rPr>
              <w:t>6.4.4条</w:t>
            </w:r>
          </w:p>
        </w:tc>
        <w:tc>
          <w:tcPr>
            <w:tcW w:w="3306" w:type="dxa"/>
          </w:tcPr>
          <w:p>
            <w:pPr>
              <w:spacing w:line="360" w:lineRule="auto"/>
              <w:rPr>
                <w:rFonts w:hAnsi="宋体"/>
                <w:sz w:val="24"/>
                <w:lang w:val="en-GB"/>
              </w:rPr>
            </w:pPr>
            <w:r>
              <w:rPr>
                <w:rFonts w:hint="eastAsia" w:hAnsi="宋体"/>
                <w:sz w:val="24"/>
                <w:lang w:val="en-GB"/>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ind w:firstLine="480" w:firstLineChars="200"/>
              <w:rPr>
                <w:rFonts w:hAnsi="宋体"/>
                <w:sz w:val="24"/>
              </w:rPr>
            </w:pPr>
            <w:r>
              <w:rPr>
                <w:rFonts w:hint="eastAsia" w:hAnsi="宋体"/>
                <w:sz w:val="24"/>
                <w:lang w:val="en-GB"/>
              </w:rPr>
              <w:t>设计阶段预评估时本条不参评。考虑到此条款为</w:t>
            </w:r>
            <w:r>
              <w:rPr>
                <w:rFonts w:hint="eastAsia" w:hAnsi="宋体"/>
                <w:sz w:val="24"/>
              </w:rPr>
              <w:t>GB/T 50378-2019控制项、</w:t>
            </w:r>
            <w:r>
              <w:rPr>
                <w:rFonts w:hint="eastAsia" w:hAnsi="宋体"/>
                <w:sz w:val="24"/>
                <w:lang w:val="en-GB"/>
              </w:rPr>
              <w:t>DB33/1092-2021一般规定内容，专篇中仍予以保留，</w:t>
            </w:r>
            <w:r>
              <w:rPr>
                <w:rFonts w:hAnsi="宋体"/>
                <w:sz w:val="24"/>
              </w:rPr>
              <w:t>设计人员在设计选材时</w:t>
            </w:r>
            <w:r>
              <w:rPr>
                <w:rFonts w:hint="eastAsia" w:hAnsi="宋体"/>
                <w:sz w:val="24"/>
              </w:rPr>
              <w:t>，</w:t>
            </w:r>
            <w:r>
              <w:rPr>
                <w:rFonts w:hAnsi="宋体"/>
                <w:sz w:val="24"/>
              </w:rPr>
              <w:t>应调研所选择建筑结构材料的供应现状</w:t>
            </w:r>
            <w:r>
              <w:rPr>
                <w:rFonts w:hint="eastAsia" w:hAnsi="宋体"/>
                <w:sz w:val="24"/>
              </w:rPr>
              <w:t>，尽可能选择本地化建材。</w:t>
            </w:r>
          </w:p>
          <w:p>
            <w:pPr>
              <w:spacing w:line="360" w:lineRule="auto"/>
              <w:ind w:firstLine="480" w:firstLineChars="200"/>
              <w:rPr>
                <w:rFonts w:hAnsi="宋体"/>
                <w:sz w:val="24"/>
              </w:rPr>
            </w:pPr>
            <w:r>
              <w:rPr>
                <w:rFonts w:hint="eastAsia" w:hAnsi="宋体"/>
                <w:sz w:val="24"/>
                <w:lang w:val="en-GB"/>
              </w:rPr>
              <w:t>此条款为</w:t>
            </w:r>
            <w:r>
              <w:rPr>
                <w:rFonts w:hint="eastAsia" w:hAnsi="宋体"/>
                <w:sz w:val="24"/>
              </w:rPr>
              <w:t>GB/T 50378-2019控制项、</w:t>
            </w:r>
            <w:r>
              <w:rPr>
                <w:rFonts w:hint="eastAsia" w:hAnsi="宋体"/>
                <w:sz w:val="24"/>
                <w:lang w:val="en-GB"/>
              </w:rPr>
              <w:t>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Ansi="宋体"/>
                <w:sz w:val="24"/>
              </w:rPr>
              <w:t>鼓励选用本地化建材</w:t>
            </w:r>
            <w:r>
              <w:rPr>
                <w:rFonts w:hint="eastAsia" w:hAnsi="宋体"/>
                <w:sz w:val="24"/>
              </w:rPr>
              <w:t>，</w:t>
            </w:r>
            <w:r>
              <w:rPr>
                <w:rFonts w:hAnsi="宋体"/>
                <w:sz w:val="24"/>
              </w:rPr>
              <w:t>是减少运输过程的资源和能源消耗</w:t>
            </w:r>
            <w:r>
              <w:rPr>
                <w:rFonts w:hint="eastAsia" w:hAnsi="宋体"/>
                <w:sz w:val="24"/>
              </w:rPr>
              <w:t>、</w:t>
            </w:r>
            <w:r>
              <w:rPr>
                <w:rFonts w:hAnsi="宋体"/>
                <w:sz w:val="24"/>
              </w:rPr>
              <w:t>降低环境污染的重要手段</w:t>
            </w:r>
            <w:r>
              <w:rPr>
                <w:rFonts w:hint="eastAsia" w:hAnsi="宋体"/>
                <w:sz w:val="24"/>
              </w:rPr>
              <w:t>。此处的本地化建筑材料是指最后一个生产工厂或场地到施工现场的运输距离。特殊地区因客观原因无法达到者提供相关说明，本条可不参评。</w:t>
            </w:r>
          </w:p>
          <w:p>
            <w:pPr>
              <w:spacing w:line="360" w:lineRule="auto"/>
              <w:ind w:firstLine="480" w:firstLineChars="200"/>
              <w:rPr>
                <w:rFonts w:hAnsi="宋体"/>
                <w:sz w:val="24"/>
              </w:rPr>
            </w:pPr>
            <w:r>
              <w:rPr>
                <w:rFonts w:hint="eastAsia" w:hAnsi="宋体"/>
                <w:sz w:val="24"/>
                <w:lang w:val="en-GB"/>
              </w:rPr>
              <w:t>DB33/1092-2021第6.3.3、6.4.4条涉及本条文的递增要求。</w:t>
            </w:r>
          </w:p>
        </w:tc>
      </w:tr>
    </w:tbl>
    <w:p>
      <w:pPr>
        <w:spacing w:before="109" w:beforeLines="35" w:after="109" w:afterLines="35" w:line="360" w:lineRule="auto"/>
        <w:rPr>
          <w:rFonts w:hAnsi="宋体"/>
          <w:sz w:val="24"/>
        </w:rPr>
      </w:pPr>
    </w:p>
    <w:p>
      <w:pPr>
        <w:spacing w:before="109" w:beforeLines="35" w:after="109" w:afterLines="35" w:line="360" w:lineRule="auto"/>
        <w:rPr>
          <w:rFonts w:hAnsi="宋体"/>
          <w:sz w:val="24"/>
          <w:lang w:val="en-GB"/>
        </w:rPr>
      </w:pPr>
      <w:r>
        <w:rPr>
          <w:rFonts w:hint="eastAsia" w:hAnsi="宋体"/>
          <w:sz w:val="24"/>
          <w:lang w:val="en-GB"/>
        </w:rPr>
        <w:t>8、</w:t>
      </w:r>
      <w:r>
        <w:rPr>
          <w:rFonts w:hint="eastAsia" w:hAnsi="宋体"/>
          <w:sz w:val="24"/>
        </w:rPr>
        <w:t>现浇混凝土应采用预拌混凝土，建筑砂浆应采用预拌砂浆；</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1938"/>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552" w:type="dxa"/>
          </w:tcPr>
          <w:p>
            <w:pPr>
              <w:spacing w:line="360" w:lineRule="auto"/>
              <w:rPr>
                <w:rFonts w:hAnsi="宋体"/>
                <w:sz w:val="24"/>
              </w:rPr>
            </w:pPr>
            <w:r>
              <w:rPr>
                <w:rFonts w:hint="eastAsia" w:hAnsi="宋体"/>
                <w:sz w:val="24"/>
              </w:rPr>
              <w:t>GB/T 50378-2019</w:t>
            </w:r>
          </w:p>
        </w:tc>
        <w:tc>
          <w:tcPr>
            <w:tcW w:w="1938" w:type="dxa"/>
          </w:tcPr>
          <w:p>
            <w:pPr>
              <w:spacing w:line="360" w:lineRule="auto"/>
              <w:rPr>
                <w:rFonts w:hAnsi="宋体"/>
                <w:sz w:val="24"/>
              </w:rPr>
            </w:pPr>
            <w:r>
              <w:rPr>
                <w:rFonts w:hint="eastAsia" w:hAnsi="宋体"/>
                <w:sz w:val="24"/>
              </w:rPr>
              <w:t>7.1.10.2条</w:t>
            </w:r>
          </w:p>
        </w:tc>
        <w:tc>
          <w:tcPr>
            <w:tcW w:w="3306" w:type="dxa"/>
          </w:tcPr>
          <w:p>
            <w:pPr>
              <w:spacing w:line="360" w:lineRule="auto"/>
              <w:rPr>
                <w:rFonts w:hAnsi="宋体"/>
                <w:sz w:val="24"/>
              </w:rPr>
            </w:pPr>
            <w:r>
              <w:rPr>
                <w:rFonts w:hAnsi="宋体"/>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552" w:type="dxa"/>
          </w:tcPr>
          <w:p>
            <w:pPr>
              <w:spacing w:line="360" w:lineRule="auto"/>
              <w:rPr>
                <w:rFonts w:hAnsi="宋体"/>
                <w:sz w:val="24"/>
              </w:rPr>
            </w:pPr>
            <w:r>
              <w:rPr>
                <w:rFonts w:hint="eastAsia" w:hAnsi="宋体"/>
                <w:sz w:val="24"/>
                <w:lang w:val="en-GB"/>
              </w:rPr>
              <w:t>DB33/1092-2021</w:t>
            </w:r>
          </w:p>
        </w:tc>
        <w:tc>
          <w:tcPr>
            <w:tcW w:w="1938" w:type="dxa"/>
          </w:tcPr>
          <w:p>
            <w:pPr>
              <w:spacing w:line="360" w:lineRule="auto"/>
              <w:rPr>
                <w:rFonts w:hAnsi="宋体"/>
                <w:sz w:val="24"/>
              </w:rPr>
            </w:pPr>
            <w:r>
              <w:rPr>
                <w:rFonts w:hint="eastAsia" w:hAnsi="宋体"/>
                <w:sz w:val="24"/>
              </w:rPr>
              <w:t>6.1.8.3条</w:t>
            </w:r>
          </w:p>
        </w:tc>
        <w:tc>
          <w:tcPr>
            <w:tcW w:w="3306" w:type="dxa"/>
          </w:tcPr>
          <w:p>
            <w:pPr>
              <w:spacing w:line="360" w:lineRule="auto"/>
              <w:rPr>
                <w:rFonts w:hAnsi="宋体"/>
                <w:sz w:val="24"/>
              </w:rPr>
            </w:pPr>
            <w:r>
              <w:rPr>
                <w:rFonts w:hint="eastAsia" w:hAnsi="宋体"/>
                <w:sz w:val="24"/>
                <w:lang w:val="en-GB"/>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设计人员应对照项目设计总说明，根据项目实际填写本条内容。</w:t>
            </w:r>
          </w:p>
          <w:p>
            <w:pPr>
              <w:spacing w:line="360" w:lineRule="auto"/>
              <w:ind w:firstLine="480" w:firstLineChars="200"/>
              <w:rPr>
                <w:rFonts w:hAnsi="宋体"/>
                <w:sz w:val="24"/>
              </w:rPr>
            </w:pPr>
            <w:r>
              <w:rPr>
                <w:rFonts w:hint="eastAsia" w:hAnsi="宋体"/>
                <w:sz w:val="24"/>
              </w:rPr>
              <w:t>《浙江省绿色建筑条例》第三十二条要求，“民用建筑应当按照国家和省有关规定使用预拌砂浆、预拌混凝土、高强钢筋和新型墙体材料，推广应用高性能混凝土”，所以在施工图设计说明中应明确采用预拌混凝土、预拌砂浆。</w:t>
            </w:r>
          </w:p>
          <w:p>
            <w:pPr>
              <w:spacing w:line="360" w:lineRule="auto"/>
              <w:ind w:firstLine="480" w:firstLineChars="200"/>
              <w:rPr>
                <w:rFonts w:hAnsi="宋体"/>
                <w:sz w:val="24"/>
              </w:rPr>
            </w:pPr>
            <w:r>
              <w:rPr>
                <w:rFonts w:hint="eastAsia" w:hAnsi="宋体"/>
                <w:sz w:val="24"/>
                <w:lang w:val="en-GB"/>
              </w:rPr>
              <w:t>此条款为</w:t>
            </w:r>
            <w:r>
              <w:rPr>
                <w:rFonts w:hint="eastAsia" w:hAnsi="宋体"/>
                <w:sz w:val="24"/>
              </w:rPr>
              <w:t>GB/T 50378-2019控制项、</w:t>
            </w:r>
            <w:r>
              <w:rPr>
                <w:rFonts w:hint="eastAsia" w:hAnsi="宋体"/>
                <w:sz w:val="24"/>
                <w:lang w:val="en-GB"/>
              </w:rPr>
              <w:t>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left="27" w:leftChars="13" w:firstLine="480" w:firstLineChars="200"/>
              <w:rPr>
                <w:rFonts w:hAnsi="宋体"/>
                <w:sz w:val="24"/>
              </w:rPr>
            </w:pPr>
            <w:r>
              <w:rPr>
                <w:rFonts w:hAnsi="宋体"/>
                <w:sz w:val="24"/>
              </w:rPr>
              <w:t>与现场搅拌混凝土相比，预拌混凝土产品性能稳定，易于保证工程质量，且采用预拌混凝土能够减少施工现场噪声和粉尘污染，节约能源、资源，减少材料损耗。</w:t>
            </w:r>
          </w:p>
          <w:p>
            <w:pPr>
              <w:spacing w:line="360" w:lineRule="auto"/>
              <w:ind w:left="27" w:leftChars="13" w:firstLine="480" w:firstLineChars="200"/>
              <w:rPr>
                <w:rFonts w:hAnsi="宋体"/>
                <w:sz w:val="24"/>
              </w:rPr>
            </w:pPr>
            <w:r>
              <w:rPr>
                <w:rFonts w:hAnsi="宋体"/>
                <w:sz w:val="24"/>
              </w:rPr>
              <w:t>预拌砂浆包括干拌砂浆和湿拌砂浆，由专业化工厂生产，在生产时添加各种外加剂，能保证砂浆性能且质量稳定。同时，预拌砂浆可以利用工业固体废弃物制造成人工机制砂石代替天然砂石，既可以回收利用废弃物，减少原材料消耗，又可以减少对环境的破坏。</w:t>
            </w:r>
          </w:p>
          <w:p>
            <w:pPr>
              <w:spacing w:line="360" w:lineRule="auto"/>
              <w:ind w:firstLine="480" w:firstLineChars="200"/>
              <w:rPr>
                <w:rFonts w:hAnsi="宋体"/>
                <w:sz w:val="24"/>
              </w:rPr>
            </w:pPr>
            <w:r>
              <w:rPr>
                <w:rFonts w:hint="eastAsia" w:hAnsi="宋体"/>
                <w:sz w:val="24"/>
              </w:rPr>
              <w:t>若项目所在地无预拌混凝土或预拌砂浆采购来源者提供相关说明，本条可不参评。</w:t>
            </w:r>
          </w:p>
        </w:tc>
      </w:tr>
    </w:tbl>
    <w:p>
      <w:pPr>
        <w:spacing w:before="109" w:beforeLines="35" w:after="109" w:afterLines="35" w:line="360" w:lineRule="auto"/>
        <w:rPr>
          <w:rFonts w:hAnsi="宋体"/>
          <w:sz w:val="24"/>
        </w:rPr>
      </w:pPr>
    </w:p>
    <w:p>
      <w:pPr>
        <w:pStyle w:val="17"/>
        <w:spacing w:line="360" w:lineRule="auto"/>
        <w:rPr>
          <w:rFonts w:hAnsi="宋体"/>
          <w:b/>
          <w:sz w:val="24"/>
          <w:lang w:val="en-GB"/>
        </w:rPr>
      </w:pPr>
      <w:r>
        <w:rPr>
          <w:rFonts w:hint="eastAsia" w:hAnsi="宋体"/>
          <w:b/>
          <w:sz w:val="24"/>
          <w:lang w:val="en-GB"/>
        </w:rPr>
        <w:t>一般项</w:t>
      </w:r>
      <w:r>
        <w:rPr>
          <w:rFonts w:hAnsi="宋体"/>
          <w:b/>
          <w:sz w:val="24"/>
          <w:lang w:val="en-GB"/>
        </w:rPr>
        <w:t>内容：</w:t>
      </w:r>
    </w:p>
    <w:p>
      <w:pPr>
        <w:spacing w:before="109" w:beforeLines="35" w:after="109" w:afterLines="35" w:line="360" w:lineRule="auto"/>
        <w:rPr>
          <w:rFonts w:hAnsi="宋体"/>
          <w:sz w:val="24"/>
          <w:lang w:val="en-GB"/>
        </w:rPr>
      </w:pPr>
      <w:r>
        <w:rPr>
          <w:rFonts w:hint="eastAsia" w:hAnsi="宋体"/>
          <w:sz w:val="24"/>
          <w:lang w:val="en-GB"/>
        </w:rPr>
        <w:t>1、对结构体系、基础形式、结构布置及构件截面、结构材料与构件进行优化设计；</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3260"/>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restart"/>
          </w:tcPr>
          <w:p>
            <w:pPr>
              <w:spacing w:line="360" w:lineRule="auto"/>
              <w:rPr>
                <w:rFonts w:hAnsi="宋体"/>
                <w:sz w:val="24"/>
              </w:rPr>
            </w:pPr>
            <w:r>
              <w:rPr>
                <w:rFonts w:hint="eastAsia" w:hAnsi="宋体"/>
                <w:sz w:val="24"/>
              </w:rPr>
              <w:t>条文来源</w:t>
            </w:r>
          </w:p>
        </w:tc>
        <w:tc>
          <w:tcPr>
            <w:tcW w:w="1985" w:type="dxa"/>
            <w:vMerge w:val="restart"/>
          </w:tcPr>
          <w:p>
            <w:pPr>
              <w:spacing w:line="360" w:lineRule="auto"/>
              <w:rPr>
                <w:rFonts w:hAnsi="宋体"/>
                <w:sz w:val="24"/>
              </w:rPr>
            </w:pPr>
            <w:r>
              <w:rPr>
                <w:rFonts w:hint="eastAsia" w:hAnsi="宋体"/>
                <w:sz w:val="24"/>
                <w:lang w:val="en-GB"/>
              </w:rPr>
              <w:t>DB33/1092-2021</w:t>
            </w:r>
          </w:p>
        </w:tc>
        <w:tc>
          <w:tcPr>
            <w:tcW w:w="3260" w:type="dxa"/>
          </w:tcPr>
          <w:p>
            <w:pPr>
              <w:spacing w:line="360" w:lineRule="auto"/>
              <w:rPr>
                <w:rFonts w:hAnsi="宋体"/>
                <w:sz w:val="24"/>
              </w:rPr>
            </w:pPr>
            <w:r>
              <w:rPr>
                <w:rFonts w:hint="eastAsia" w:hAnsi="宋体"/>
                <w:sz w:val="24"/>
              </w:rPr>
              <w:t>6.1.6条</w:t>
            </w:r>
          </w:p>
        </w:tc>
        <w:tc>
          <w:tcPr>
            <w:tcW w:w="2551" w:type="dxa"/>
          </w:tcPr>
          <w:p>
            <w:pPr>
              <w:spacing w:line="360" w:lineRule="auto"/>
              <w:rPr>
                <w:rFonts w:hAnsi="宋体"/>
                <w:sz w:val="24"/>
              </w:rPr>
            </w:pPr>
            <w:r>
              <w:rPr>
                <w:rFonts w:hint="eastAsia" w:hAnsi="宋体"/>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1985" w:type="dxa"/>
            <w:vMerge w:val="continue"/>
          </w:tcPr>
          <w:p>
            <w:pPr>
              <w:spacing w:line="360" w:lineRule="auto"/>
              <w:rPr>
                <w:rFonts w:hAnsi="宋体"/>
                <w:sz w:val="24"/>
              </w:rPr>
            </w:pPr>
          </w:p>
        </w:tc>
        <w:tc>
          <w:tcPr>
            <w:tcW w:w="3260" w:type="dxa"/>
          </w:tcPr>
          <w:p>
            <w:pPr>
              <w:spacing w:line="360" w:lineRule="auto"/>
              <w:rPr>
                <w:rFonts w:hAnsi="宋体"/>
                <w:sz w:val="24"/>
              </w:rPr>
            </w:pPr>
            <w:r>
              <w:rPr>
                <w:rFonts w:hint="eastAsia" w:hAnsi="宋体"/>
                <w:sz w:val="24"/>
              </w:rPr>
              <w:t>6.2.1、6.2.2、6.2.3、6.2.4条</w:t>
            </w:r>
          </w:p>
        </w:tc>
        <w:tc>
          <w:tcPr>
            <w:tcW w:w="2551" w:type="dxa"/>
          </w:tcPr>
          <w:p>
            <w:pPr>
              <w:spacing w:line="360" w:lineRule="auto"/>
              <w:rPr>
                <w:rFonts w:hAnsi="宋体"/>
                <w:sz w:val="24"/>
              </w:rPr>
            </w:pPr>
            <w:r>
              <w:rPr>
                <w:rFonts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jc w:val="left"/>
              <w:rPr>
                <w:rFonts w:hAnsi="宋体"/>
                <w:sz w:val="24"/>
              </w:rPr>
            </w:pPr>
            <w:r>
              <w:rPr>
                <w:rFonts w:hint="eastAsia" w:hAnsi="宋体"/>
                <w:sz w:val="24"/>
              </w:rPr>
              <w:t>设计人员应对照项目施工图、计算书，根据项目实际填写本条内容。</w:t>
            </w:r>
          </w:p>
          <w:p>
            <w:pPr>
              <w:spacing w:line="360" w:lineRule="auto"/>
              <w:rPr>
                <w:rFonts w:hAnsi="宋体"/>
                <w:sz w:val="24"/>
              </w:rPr>
            </w:pPr>
            <w:r>
              <w:rPr>
                <w:rFonts w:hint="eastAsia" w:hAnsi="宋体"/>
                <w:sz w:val="24"/>
              </w:rPr>
              <w:t>对结构体系、基础形式、结构布置及构件截面、</w:t>
            </w:r>
            <w:r>
              <w:rPr>
                <w:rFonts w:hint="eastAsia" w:hAnsi="宋体"/>
                <w:sz w:val="24"/>
                <w:lang w:val="en-GB"/>
              </w:rPr>
              <w:t>结构材料与构件</w:t>
            </w:r>
            <w:r>
              <w:rPr>
                <w:rFonts w:hint="eastAsia" w:hAnsi="宋体"/>
                <w:sz w:val="24"/>
              </w:rPr>
              <w:t>进行优化设计，主要按以下四个方面进行综合考虑：</w:t>
            </w:r>
          </w:p>
          <w:p>
            <w:pPr>
              <w:spacing w:line="360" w:lineRule="auto"/>
              <w:rPr>
                <w:rFonts w:hAnsi="宋体"/>
                <w:sz w:val="24"/>
              </w:rPr>
            </w:pPr>
            <w:r>
              <w:rPr>
                <w:rFonts w:hint="eastAsia" w:hAnsi="宋体"/>
                <w:sz w:val="24"/>
                <w:lang w:val="en-GB"/>
              </w:rPr>
              <w:t>一、</w:t>
            </w:r>
            <w:r>
              <w:rPr>
                <w:rFonts w:hAnsi="宋体"/>
                <w:sz w:val="24"/>
              </w:rPr>
              <w:t>结构体系应进行优化设计，并符合下列要求：</w:t>
            </w:r>
          </w:p>
          <w:p>
            <w:pPr>
              <w:spacing w:line="360" w:lineRule="auto"/>
              <w:jc w:val="left"/>
              <w:rPr>
                <w:rFonts w:hAnsi="宋体"/>
                <w:sz w:val="24"/>
              </w:rPr>
            </w:pPr>
            <w:r>
              <w:rPr>
                <w:rFonts w:hAnsi="宋体"/>
                <w:sz w:val="24"/>
              </w:rPr>
              <w:t>1</w:t>
            </w:r>
            <w:r>
              <w:rPr>
                <w:rFonts w:hint="eastAsia" w:hAnsi="宋体"/>
                <w:sz w:val="24"/>
              </w:rPr>
              <w:t xml:space="preserve"> </w:t>
            </w:r>
            <w:r>
              <w:rPr>
                <w:rFonts w:hAnsi="宋体"/>
                <w:sz w:val="24"/>
              </w:rPr>
              <w:t>应根据受力特点选择材料用量较少的结构体系；</w:t>
            </w:r>
          </w:p>
          <w:p>
            <w:pPr>
              <w:spacing w:line="360" w:lineRule="auto"/>
              <w:jc w:val="left"/>
              <w:rPr>
                <w:rFonts w:hAnsi="宋体"/>
                <w:sz w:val="24"/>
              </w:rPr>
            </w:pPr>
            <w:r>
              <w:rPr>
                <w:rFonts w:hAnsi="宋体"/>
                <w:sz w:val="24"/>
              </w:rPr>
              <w:t>2</w:t>
            </w:r>
            <w:r>
              <w:rPr>
                <w:rFonts w:hint="eastAsia" w:hAnsi="宋体"/>
                <w:sz w:val="24"/>
              </w:rPr>
              <w:t xml:space="preserve"> </w:t>
            </w:r>
            <w:r>
              <w:rPr>
                <w:rFonts w:hAnsi="宋体"/>
                <w:sz w:val="24"/>
              </w:rPr>
              <w:t>不宜采用因建筑形体不规则而形成的超限结构；</w:t>
            </w:r>
          </w:p>
          <w:p>
            <w:pPr>
              <w:spacing w:line="360" w:lineRule="auto"/>
              <w:jc w:val="left"/>
              <w:rPr>
                <w:rFonts w:hAnsi="宋体"/>
                <w:sz w:val="24"/>
              </w:rPr>
            </w:pPr>
            <w:r>
              <w:rPr>
                <w:rFonts w:hAnsi="宋体"/>
                <w:sz w:val="24"/>
              </w:rPr>
              <w:t>3</w:t>
            </w:r>
            <w:r>
              <w:rPr>
                <w:rFonts w:hint="eastAsia" w:hAnsi="宋体"/>
                <w:sz w:val="24"/>
              </w:rPr>
              <w:t xml:space="preserve"> </w:t>
            </w:r>
            <w:r>
              <w:rPr>
                <w:rFonts w:hAnsi="宋体"/>
                <w:sz w:val="24"/>
              </w:rPr>
              <w:t>在高层和大跨度结构中，宜优先采用钢结构、钢与混凝土混合结构、预应力结构等结构体系；</w:t>
            </w:r>
          </w:p>
          <w:p>
            <w:pPr>
              <w:spacing w:line="360" w:lineRule="auto"/>
              <w:jc w:val="left"/>
              <w:rPr>
                <w:rFonts w:hAnsi="宋体"/>
                <w:sz w:val="24"/>
              </w:rPr>
            </w:pPr>
            <w:r>
              <w:rPr>
                <w:rFonts w:hint="eastAsia" w:hAnsi="宋体"/>
                <w:sz w:val="24"/>
              </w:rPr>
              <w:t>4宜采用符合工业化建造要求的结构体系与建筑构件；</w:t>
            </w:r>
          </w:p>
          <w:p>
            <w:pPr>
              <w:spacing w:line="360" w:lineRule="auto"/>
              <w:jc w:val="left"/>
              <w:rPr>
                <w:rFonts w:hAnsi="宋体"/>
                <w:sz w:val="24"/>
              </w:rPr>
            </w:pPr>
            <w:r>
              <w:rPr>
                <w:rFonts w:hAnsi="宋体"/>
                <w:sz w:val="24"/>
              </w:rPr>
              <w:t>5</w:t>
            </w:r>
            <w:r>
              <w:rPr>
                <w:rFonts w:hint="eastAsia" w:hAnsi="宋体"/>
                <w:sz w:val="24"/>
              </w:rPr>
              <w:t xml:space="preserve"> 宜采用基于性能的抗震设计并合理提高建筑的抗震性能。</w:t>
            </w:r>
          </w:p>
          <w:p>
            <w:pPr>
              <w:spacing w:line="360" w:lineRule="auto"/>
              <w:outlineLvl w:val="2"/>
              <w:rPr>
                <w:rFonts w:hAnsi="宋体"/>
                <w:sz w:val="24"/>
              </w:rPr>
            </w:pPr>
            <w:bookmarkStart w:id="39" w:name="_Toc109325915"/>
            <w:bookmarkStart w:id="40" w:name="_Toc113029280"/>
            <w:bookmarkStart w:id="41" w:name="_Toc109325279"/>
            <w:r>
              <w:rPr>
                <w:rFonts w:hint="eastAsia" w:hAnsi="宋体"/>
                <w:sz w:val="24"/>
                <w:lang w:val="en-GB"/>
              </w:rPr>
              <w:t>二、</w:t>
            </w:r>
            <w:r>
              <w:rPr>
                <w:rFonts w:hAnsi="宋体"/>
                <w:sz w:val="24"/>
              </w:rPr>
              <w:t>地基基础应进行优化设计</w:t>
            </w:r>
            <w:r>
              <w:rPr>
                <w:rFonts w:hint="eastAsia" w:hAnsi="宋体"/>
                <w:sz w:val="24"/>
              </w:rPr>
              <w:t>，</w:t>
            </w:r>
            <w:r>
              <w:rPr>
                <w:rFonts w:hAnsi="宋体"/>
                <w:sz w:val="24"/>
              </w:rPr>
              <w:t>并满足下列要求：</w:t>
            </w:r>
            <w:bookmarkEnd w:id="39"/>
            <w:bookmarkEnd w:id="40"/>
            <w:bookmarkEnd w:id="41"/>
          </w:p>
          <w:p>
            <w:pPr>
              <w:spacing w:line="360" w:lineRule="auto"/>
              <w:outlineLvl w:val="2"/>
              <w:rPr>
                <w:rFonts w:hAnsi="宋体"/>
                <w:sz w:val="24"/>
              </w:rPr>
            </w:pPr>
            <w:bookmarkStart w:id="42" w:name="_Toc113029281"/>
            <w:bookmarkStart w:id="43" w:name="_Toc109325280"/>
            <w:bookmarkStart w:id="44" w:name="_Toc109325916"/>
            <w:r>
              <w:rPr>
                <w:rFonts w:hint="eastAsia" w:hAnsi="宋体"/>
                <w:sz w:val="24"/>
              </w:rPr>
              <w:t>1</w:t>
            </w:r>
            <w:r>
              <w:rPr>
                <w:rFonts w:hAnsi="宋体"/>
                <w:sz w:val="24"/>
              </w:rPr>
              <w:t>地基基础设计应结合建筑所在地实际情况、上部结构特点及使用要求，综合考虑施工条件、场地环境和工程造价等因素，优先采用环境影响小、质量有保证、施工可实现、节约材料的基础形式</w:t>
            </w:r>
            <w:r>
              <w:rPr>
                <w:rFonts w:hint="eastAsia" w:hAnsi="宋体"/>
                <w:sz w:val="24"/>
              </w:rPr>
              <w:t>；</w:t>
            </w:r>
            <w:bookmarkEnd w:id="42"/>
            <w:bookmarkEnd w:id="43"/>
            <w:bookmarkEnd w:id="44"/>
          </w:p>
          <w:p>
            <w:pPr>
              <w:spacing w:line="360" w:lineRule="auto"/>
              <w:rPr>
                <w:rFonts w:hAnsi="宋体"/>
                <w:sz w:val="24"/>
              </w:rPr>
            </w:pPr>
            <w:r>
              <w:rPr>
                <w:rFonts w:hint="eastAsia" w:hAnsi="宋体"/>
                <w:sz w:val="24"/>
              </w:rPr>
              <w:t>2</w:t>
            </w:r>
            <w:r>
              <w:rPr>
                <w:rFonts w:hAnsi="宋体"/>
                <w:sz w:val="24"/>
              </w:rPr>
              <w:t>高层建筑宜考虑地基基础与上部结构的共同作用，进行协同设计；</w:t>
            </w:r>
          </w:p>
          <w:p>
            <w:pPr>
              <w:spacing w:line="360" w:lineRule="auto"/>
              <w:rPr>
                <w:rFonts w:hAnsi="宋体"/>
                <w:sz w:val="24"/>
              </w:rPr>
            </w:pPr>
            <w:r>
              <w:rPr>
                <w:rFonts w:hint="eastAsia" w:hAnsi="宋体"/>
                <w:sz w:val="24"/>
              </w:rPr>
              <w:t>3</w:t>
            </w:r>
            <w:r>
              <w:rPr>
                <w:rFonts w:hAnsi="宋体"/>
                <w:sz w:val="24"/>
              </w:rPr>
              <w:t>桩基础沉降控制时，宜考虑承台、桩与土的协同作用；</w:t>
            </w:r>
          </w:p>
          <w:p>
            <w:pPr>
              <w:spacing w:line="360" w:lineRule="auto"/>
              <w:rPr>
                <w:rFonts w:hAnsi="宋体"/>
                <w:sz w:val="24"/>
              </w:rPr>
            </w:pPr>
            <w:r>
              <w:rPr>
                <w:rFonts w:hint="eastAsia" w:hAnsi="宋体"/>
                <w:sz w:val="24"/>
              </w:rPr>
              <w:t>4</w:t>
            </w:r>
            <w:r>
              <w:rPr>
                <w:rFonts w:hAnsi="宋体"/>
                <w:sz w:val="24"/>
              </w:rPr>
              <w:t>筏板基础宜根据桩、土协同计算结果进行优化设计</w:t>
            </w:r>
            <w:r>
              <w:rPr>
                <w:rFonts w:hint="eastAsia" w:hAnsi="宋体"/>
                <w:sz w:val="24"/>
              </w:rPr>
              <w:t>；</w:t>
            </w:r>
          </w:p>
          <w:p>
            <w:pPr>
              <w:spacing w:line="360" w:lineRule="auto"/>
              <w:rPr>
                <w:rFonts w:hAnsi="宋体"/>
                <w:sz w:val="24"/>
              </w:rPr>
            </w:pPr>
            <w:r>
              <w:rPr>
                <w:rFonts w:hint="eastAsia" w:hAnsi="宋体"/>
                <w:sz w:val="24"/>
              </w:rPr>
              <w:t>5场地土条件及周边环境合适时，桩基宜优先采用预制桩，钻孔灌注桩宜通过采用后注浆技术提高桩基承载力；</w:t>
            </w:r>
          </w:p>
          <w:p>
            <w:pPr>
              <w:spacing w:line="360" w:lineRule="auto"/>
              <w:rPr>
                <w:rFonts w:hAnsi="宋体"/>
                <w:sz w:val="24"/>
              </w:rPr>
            </w:pPr>
            <w:r>
              <w:rPr>
                <w:rFonts w:hint="eastAsia" w:hAnsi="宋体"/>
                <w:sz w:val="24"/>
              </w:rPr>
              <w:t>6宜通过先期试桩确定单桩承载力特征值；</w:t>
            </w:r>
          </w:p>
          <w:p>
            <w:pPr>
              <w:spacing w:line="360" w:lineRule="auto"/>
              <w:rPr>
                <w:rFonts w:hAnsi="宋体"/>
                <w:sz w:val="24"/>
              </w:rPr>
            </w:pPr>
            <w:r>
              <w:rPr>
                <w:rFonts w:hint="eastAsia" w:hAnsi="宋体"/>
                <w:sz w:val="24"/>
              </w:rPr>
              <w:t>7对于抗压设计为主的基础，当建筑设置地下室时宜合理考虑地下水的有利作用。</w:t>
            </w:r>
          </w:p>
          <w:p>
            <w:pPr>
              <w:spacing w:line="360" w:lineRule="auto"/>
              <w:outlineLvl w:val="2"/>
              <w:rPr>
                <w:rFonts w:hAnsi="宋体"/>
                <w:sz w:val="24"/>
              </w:rPr>
            </w:pPr>
            <w:bookmarkStart w:id="45" w:name="_Toc109325281"/>
            <w:bookmarkStart w:id="46" w:name="_Toc113029282"/>
            <w:bookmarkStart w:id="47" w:name="_Toc109325917"/>
            <w:r>
              <w:rPr>
                <w:rFonts w:hint="eastAsia" w:hAnsi="宋体"/>
                <w:sz w:val="24"/>
                <w:lang w:val="en-GB"/>
              </w:rPr>
              <w:t>三、</w:t>
            </w:r>
            <w:r>
              <w:rPr>
                <w:rFonts w:hAnsi="宋体"/>
                <w:sz w:val="24"/>
              </w:rPr>
              <w:t>结构布置及构件截面应进行优化设计</w:t>
            </w:r>
            <w:r>
              <w:rPr>
                <w:rFonts w:hint="eastAsia" w:hAnsi="宋体"/>
                <w:sz w:val="24"/>
              </w:rPr>
              <w:t>，</w:t>
            </w:r>
            <w:r>
              <w:rPr>
                <w:rFonts w:hAnsi="宋体"/>
                <w:sz w:val="24"/>
              </w:rPr>
              <w:t>并应符合下列要求：</w:t>
            </w:r>
            <w:bookmarkEnd w:id="45"/>
            <w:bookmarkEnd w:id="46"/>
            <w:bookmarkEnd w:id="47"/>
          </w:p>
          <w:p>
            <w:pPr>
              <w:spacing w:line="360" w:lineRule="auto"/>
              <w:rPr>
                <w:rFonts w:hAnsi="宋体"/>
                <w:sz w:val="24"/>
              </w:rPr>
            </w:pPr>
            <w:r>
              <w:rPr>
                <w:rFonts w:hAnsi="宋体"/>
                <w:sz w:val="24"/>
              </w:rPr>
              <w:t>1高层结构的竖向构件和大跨度结构的水平构件应进行截面优化设计；</w:t>
            </w:r>
          </w:p>
          <w:p>
            <w:pPr>
              <w:spacing w:line="360" w:lineRule="auto"/>
              <w:rPr>
                <w:rFonts w:hAnsi="宋体"/>
                <w:sz w:val="24"/>
              </w:rPr>
            </w:pPr>
            <w:r>
              <w:rPr>
                <w:rFonts w:hAnsi="宋体"/>
                <w:sz w:val="24"/>
              </w:rPr>
              <w:t>2大跨度混凝土楼盖结构宜合理采用预应力楼盖及现浇混凝土空心楼板等技术；</w:t>
            </w:r>
          </w:p>
          <w:p>
            <w:pPr>
              <w:spacing w:line="360" w:lineRule="auto"/>
              <w:rPr>
                <w:rFonts w:hAnsi="宋体"/>
                <w:sz w:val="24"/>
              </w:rPr>
            </w:pPr>
            <w:r>
              <w:rPr>
                <w:rFonts w:hint="eastAsia" w:hAnsi="宋体"/>
                <w:sz w:val="24"/>
              </w:rPr>
              <w:t xml:space="preserve">3 </w:t>
            </w:r>
            <w:r>
              <w:rPr>
                <w:rFonts w:hAnsi="宋体"/>
                <w:sz w:val="24"/>
              </w:rPr>
              <w:t>由强度控制的钢结构构件优先选用高强钢材</w:t>
            </w:r>
            <w:r>
              <w:rPr>
                <w:rFonts w:hint="eastAsia" w:hAnsi="宋体"/>
                <w:sz w:val="24"/>
              </w:rPr>
              <w:t>；</w:t>
            </w:r>
            <w:r>
              <w:rPr>
                <w:rFonts w:hAnsi="宋体"/>
                <w:sz w:val="24"/>
              </w:rPr>
              <w:t>由刚度控制的钢结构优先调整构件布置和构件截面</w:t>
            </w:r>
            <w:r>
              <w:rPr>
                <w:rFonts w:hint="eastAsia" w:hAnsi="宋体"/>
                <w:sz w:val="24"/>
              </w:rPr>
              <w:t>；</w:t>
            </w:r>
          </w:p>
          <w:p>
            <w:pPr>
              <w:spacing w:line="360" w:lineRule="auto"/>
              <w:rPr>
                <w:rFonts w:hAnsi="宋体"/>
                <w:sz w:val="24"/>
              </w:rPr>
            </w:pPr>
            <w:r>
              <w:rPr>
                <w:rFonts w:hAnsi="宋体"/>
                <w:sz w:val="24"/>
              </w:rPr>
              <w:t>4</w:t>
            </w:r>
            <w:r>
              <w:rPr>
                <w:rFonts w:hint="eastAsia" w:hAnsi="宋体"/>
                <w:sz w:val="24"/>
              </w:rPr>
              <w:t xml:space="preserve"> 采用钢结构楼盖时，宜合理采用组合梁设计；</w:t>
            </w:r>
          </w:p>
          <w:p>
            <w:pPr>
              <w:spacing w:line="360" w:lineRule="auto"/>
              <w:rPr>
                <w:rFonts w:hAnsi="宋体"/>
                <w:sz w:val="24"/>
              </w:rPr>
            </w:pPr>
            <w:r>
              <w:rPr>
                <w:rFonts w:hAnsi="宋体"/>
                <w:sz w:val="24"/>
              </w:rPr>
              <w:t>5</w:t>
            </w:r>
            <w:r>
              <w:rPr>
                <w:rFonts w:hint="eastAsia" w:hAnsi="宋体"/>
                <w:sz w:val="24"/>
              </w:rPr>
              <w:t xml:space="preserve"> 建筑结构与建筑设备管线宜分离布置。</w:t>
            </w:r>
          </w:p>
          <w:p>
            <w:pPr>
              <w:spacing w:line="360" w:lineRule="auto"/>
              <w:rPr>
                <w:rFonts w:hAnsi="宋体"/>
                <w:sz w:val="24"/>
              </w:rPr>
            </w:pPr>
            <w:r>
              <w:rPr>
                <w:rFonts w:hint="eastAsia" w:hAnsi="宋体"/>
                <w:sz w:val="24"/>
                <w:lang w:val="en-GB"/>
              </w:rPr>
              <w:t>四、应合理选用建筑结构材料与构件，并符合下列规定：</w:t>
            </w:r>
          </w:p>
          <w:p>
            <w:pPr>
              <w:spacing w:line="360" w:lineRule="auto"/>
              <w:rPr>
                <w:rFonts w:hAnsi="宋体"/>
                <w:sz w:val="24"/>
              </w:rPr>
            </w:pPr>
            <w:r>
              <w:rPr>
                <w:rFonts w:hAnsi="宋体"/>
                <w:sz w:val="24"/>
              </w:rPr>
              <w:t>1 钢筋混凝土结构或混合结构中混凝土部分，400MPa级及以上受力普通钢筋占受力普通钢筋总量的比例不应小于</w:t>
            </w:r>
            <w:r>
              <w:rPr>
                <w:rFonts w:hint="eastAsia" w:hAnsi="宋体"/>
                <w:sz w:val="24"/>
              </w:rPr>
              <w:t>85</w:t>
            </w:r>
            <w:r>
              <w:rPr>
                <w:rFonts w:hAnsi="宋体"/>
                <w:sz w:val="24"/>
              </w:rPr>
              <w:t>%；</w:t>
            </w:r>
          </w:p>
          <w:p>
            <w:pPr>
              <w:spacing w:line="360" w:lineRule="auto"/>
              <w:rPr>
                <w:rFonts w:hAnsi="宋体"/>
                <w:sz w:val="24"/>
              </w:rPr>
            </w:pPr>
            <w:r>
              <w:rPr>
                <w:rFonts w:hAnsi="宋体"/>
                <w:sz w:val="24"/>
              </w:rPr>
              <w:t>2</w:t>
            </w:r>
            <w:r>
              <w:rPr>
                <w:rFonts w:hint="eastAsia" w:hAnsi="宋体"/>
                <w:sz w:val="24"/>
              </w:rPr>
              <w:t xml:space="preserve"> </w:t>
            </w:r>
            <w:r>
              <w:rPr>
                <w:rFonts w:hAnsi="宋体"/>
                <w:sz w:val="24"/>
              </w:rPr>
              <w:t>高层钢结构或高层混合结构中钢结构部分，Q3</w:t>
            </w:r>
            <w:r>
              <w:rPr>
                <w:rFonts w:hint="eastAsia" w:hAnsi="宋体"/>
                <w:sz w:val="24"/>
              </w:rPr>
              <w:t>5</w:t>
            </w:r>
            <w:r>
              <w:rPr>
                <w:rFonts w:hAnsi="宋体"/>
                <w:sz w:val="24"/>
              </w:rPr>
              <w:t>5及以上高强钢材用量占钢材总量的比例不应小于50%；</w:t>
            </w:r>
          </w:p>
          <w:p>
            <w:pPr>
              <w:spacing w:line="360" w:lineRule="auto"/>
              <w:rPr>
                <w:rFonts w:hAnsi="宋体"/>
                <w:sz w:val="24"/>
              </w:rPr>
            </w:pPr>
            <w:r>
              <w:rPr>
                <w:rFonts w:hAnsi="宋体"/>
                <w:sz w:val="24"/>
              </w:rPr>
              <w:t>3 100米以上高层钢筋混凝土结构中竖向承重结构采用强度等级不小于C50混凝土用量占竖向承重结构中混凝土总量的比例不</w:t>
            </w:r>
            <w:r>
              <w:rPr>
                <w:rFonts w:hint="eastAsia" w:hAnsi="宋体"/>
                <w:sz w:val="24"/>
              </w:rPr>
              <w:t>宜</w:t>
            </w:r>
            <w:r>
              <w:rPr>
                <w:rFonts w:hAnsi="宋体"/>
                <w:sz w:val="24"/>
              </w:rPr>
              <w:t>小于50%</w:t>
            </w:r>
            <w:r>
              <w:rPr>
                <w:rFonts w:hint="eastAsia" w:hAnsi="宋体"/>
                <w:sz w:val="24"/>
              </w:rPr>
              <w:t>；</w:t>
            </w:r>
          </w:p>
          <w:p>
            <w:pPr>
              <w:autoSpaceDE w:val="0"/>
              <w:autoSpaceDN w:val="0"/>
              <w:adjustRightInd w:val="0"/>
              <w:spacing w:line="360" w:lineRule="auto"/>
              <w:rPr>
                <w:rFonts w:hAnsi="宋体"/>
                <w:sz w:val="24"/>
              </w:rPr>
            </w:pPr>
            <w:r>
              <w:rPr>
                <w:rFonts w:hint="eastAsia" w:hAnsi="宋体"/>
                <w:sz w:val="24"/>
              </w:rPr>
              <w:t>4 钢结构现场连接、拼接节点宜采用螺栓连接等非现场焊接的节点形式；</w:t>
            </w:r>
          </w:p>
          <w:p>
            <w:pPr>
              <w:spacing w:line="360" w:lineRule="auto"/>
              <w:rPr>
                <w:rFonts w:hAnsi="宋体"/>
                <w:sz w:val="24"/>
              </w:rPr>
            </w:pPr>
            <w:r>
              <w:rPr>
                <w:rFonts w:hAnsi="宋体"/>
                <w:sz w:val="24"/>
              </w:rPr>
              <w:t>5</w:t>
            </w:r>
            <w:r>
              <w:rPr>
                <w:rFonts w:hint="eastAsia" w:hAnsi="宋体"/>
                <w:sz w:val="24"/>
              </w:rPr>
              <w:t>钢结构施工时宜采用免支撑的楼屋面板。</w:t>
            </w:r>
          </w:p>
          <w:p>
            <w:pPr>
              <w:spacing w:line="360" w:lineRule="auto"/>
              <w:rPr>
                <w:rFonts w:hAnsi="宋体"/>
                <w:sz w:val="24"/>
              </w:rPr>
            </w:pPr>
            <w:r>
              <w:rPr>
                <w:rFonts w:hint="eastAsia" w:hAnsi="宋体"/>
                <w:sz w:val="24"/>
                <w:lang w:val="en-GB"/>
              </w:rPr>
              <w:t>此条款为DB33/1092-2021一般规定，必须达标。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rPr>
                <w:rFonts w:hAnsi="宋体"/>
                <w:sz w:val="24"/>
                <w:lang w:val="en-GB"/>
              </w:rPr>
            </w:pPr>
            <w:r>
              <w:rPr>
                <w:rFonts w:hint="eastAsia" w:hAnsi="宋体"/>
                <w:sz w:val="24"/>
                <w:lang w:val="en-GB"/>
              </w:rPr>
              <w:t>对于结构优化设计，</w:t>
            </w:r>
            <w:r>
              <w:rPr>
                <w:rFonts w:hint="eastAsia" w:hAnsi="宋体"/>
                <w:sz w:val="24"/>
              </w:rPr>
              <w:t>GB/T 50378-2019没有专门条文涉及，本条款主要参照</w:t>
            </w:r>
            <w:r>
              <w:rPr>
                <w:rFonts w:hint="eastAsia" w:hAnsi="宋体"/>
                <w:sz w:val="24"/>
                <w:lang w:val="en-GB"/>
              </w:rPr>
              <w:t>DB33/1092-2021</w:t>
            </w:r>
            <w:r>
              <w:rPr>
                <w:rFonts w:hint="eastAsia" w:hAnsi="宋体"/>
                <w:sz w:val="24"/>
              </w:rPr>
              <w:t>进行编制。</w:t>
            </w:r>
          </w:p>
        </w:tc>
      </w:tr>
    </w:tbl>
    <w:p>
      <w:pPr>
        <w:pStyle w:val="17"/>
        <w:spacing w:line="360" w:lineRule="auto"/>
        <w:rPr>
          <w:rFonts w:hAnsi="宋体"/>
          <w:sz w:val="24"/>
        </w:rPr>
      </w:pPr>
    </w:p>
    <w:p>
      <w:pPr>
        <w:pStyle w:val="17"/>
        <w:spacing w:line="360" w:lineRule="auto"/>
        <w:rPr>
          <w:rFonts w:hAnsi="宋体"/>
          <w:sz w:val="24"/>
          <w:lang w:val="en-GB"/>
        </w:rPr>
      </w:pPr>
      <w:r>
        <w:rPr>
          <w:rFonts w:hint="eastAsia" w:hAnsi="宋体"/>
          <w:sz w:val="24"/>
          <w:lang w:val="en-GB"/>
        </w:rPr>
        <w:t>2、采用基于性能的抗震设计并合理提高建筑的抗震性能；</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1938"/>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552" w:type="dxa"/>
          </w:tcPr>
          <w:p>
            <w:pPr>
              <w:spacing w:line="360" w:lineRule="auto"/>
              <w:rPr>
                <w:rFonts w:hAnsi="宋体"/>
                <w:sz w:val="24"/>
              </w:rPr>
            </w:pPr>
            <w:r>
              <w:rPr>
                <w:rFonts w:hint="eastAsia" w:hAnsi="宋体"/>
                <w:sz w:val="24"/>
              </w:rPr>
              <w:t>GB/T 50378-2019</w:t>
            </w:r>
          </w:p>
        </w:tc>
        <w:tc>
          <w:tcPr>
            <w:tcW w:w="1938" w:type="dxa"/>
          </w:tcPr>
          <w:p>
            <w:pPr>
              <w:spacing w:line="360" w:lineRule="auto"/>
              <w:rPr>
                <w:rFonts w:hAnsi="宋体"/>
                <w:sz w:val="24"/>
              </w:rPr>
            </w:pPr>
            <w:r>
              <w:rPr>
                <w:rFonts w:hint="eastAsia" w:hAnsi="宋体"/>
                <w:sz w:val="24"/>
              </w:rPr>
              <w:t>4.2.1条</w:t>
            </w:r>
          </w:p>
        </w:tc>
        <w:tc>
          <w:tcPr>
            <w:tcW w:w="3306" w:type="dxa"/>
          </w:tcPr>
          <w:p>
            <w:pPr>
              <w:spacing w:line="360" w:lineRule="auto"/>
              <w:rPr>
                <w:rFonts w:hAnsi="宋体"/>
                <w:sz w:val="24"/>
              </w:rPr>
            </w:pPr>
            <w:r>
              <w:rPr>
                <w:rFonts w:hAnsi="宋体"/>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552" w:type="dxa"/>
          </w:tcPr>
          <w:p>
            <w:pPr>
              <w:spacing w:line="360" w:lineRule="auto"/>
              <w:rPr>
                <w:rFonts w:hAnsi="宋体"/>
                <w:sz w:val="24"/>
              </w:rPr>
            </w:pPr>
            <w:r>
              <w:rPr>
                <w:rFonts w:hint="eastAsia" w:hAnsi="宋体"/>
                <w:sz w:val="24"/>
                <w:lang w:val="en-GB"/>
              </w:rPr>
              <w:t>DB33/1092-2021</w:t>
            </w:r>
          </w:p>
        </w:tc>
        <w:tc>
          <w:tcPr>
            <w:tcW w:w="1938" w:type="dxa"/>
          </w:tcPr>
          <w:p>
            <w:pPr>
              <w:spacing w:line="360" w:lineRule="auto"/>
              <w:rPr>
                <w:rFonts w:hAnsi="宋体"/>
                <w:sz w:val="24"/>
              </w:rPr>
            </w:pPr>
            <w:r>
              <w:rPr>
                <w:rFonts w:hint="eastAsia" w:hAnsi="宋体"/>
                <w:sz w:val="24"/>
              </w:rPr>
              <w:t>6.2.1.5条</w:t>
            </w:r>
          </w:p>
        </w:tc>
        <w:tc>
          <w:tcPr>
            <w:tcW w:w="3306" w:type="dxa"/>
          </w:tcPr>
          <w:p>
            <w:pPr>
              <w:spacing w:line="360" w:lineRule="auto"/>
              <w:rPr>
                <w:rFonts w:hAnsi="宋体"/>
                <w:sz w:val="24"/>
              </w:rPr>
            </w:pPr>
            <w:r>
              <w:rPr>
                <w:rFonts w:hint="eastAsia" w:hAnsi="宋体"/>
                <w:sz w:val="24"/>
                <w:lang w:val="en-GB"/>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Ansi="宋体"/>
                <w:sz w:val="24"/>
              </w:rPr>
              <w:t>设计人员应对照项目设计文件</w:t>
            </w:r>
            <w:r>
              <w:rPr>
                <w:rFonts w:hint="eastAsia" w:hAnsi="宋体"/>
                <w:sz w:val="24"/>
              </w:rPr>
              <w:t>、</w:t>
            </w:r>
            <w:r>
              <w:rPr>
                <w:rFonts w:hAnsi="宋体"/>
                <w:sz w:val="24"/>
              </w:rPr>
              <w:t>结构计算文件等</w:t>
            </w:r>
            <w:r>
              <w:rPr>
                <w:rFonts w:hint="eastAsia" w:hAnsi="宋体"/>
                <w:sz w:val="24"/>
              </w:rPr>
              <w:t>，根据项目实际填写本条内容。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Ansi="宋体"/>
                <w:sz w:val="24"/>
              </w:rPr>
              <w:t>本条实际操作时</w:t>
            </w:r>
            <w:r>
              <w:rPr>
                <w:rFonts w:hint="eastAsia" w:hAnsi="宋体"/>
                <w:sz w:val="24"/>
              </w:rPr>
              <w:t>，</w:t>
            </w:r>
            <w:r>
              <w:rPr>
                <w:rFonts w:hAnsi="宋体"/>
                <w:sz w:val="24"/>
              </w:rPr>
              <w:t>在确保建筑结构满足</w:t>
            </w:r>
            <w:r>
              <w:rPr>
                <w:rFonts w:hint="eastAsia" w:hAnsi="宋体"/>
                <w:sz w:val="24"/>
              </w:rPr>
              <w:t>“小震不坏、中震可修、大震不倒”一般情况的性能要求前提下，根据项目实际，可以考虑对整体结构、局部结构或者关键构件及节点按更高的抗震性能目标进行设计，或者采取措施减少地震作用。局部部位或者关键构件及节点可根据建筑平面、立面的规则性及构件的重要性选取，采取的措施包括设隔震支座（垫）、消能减震支撑、阻尼器等。本条分值为10分。</w:t>
            </w:r>
          </w:p>
        </w:tc>
      </w:tr>
    </w:tbl>
    <w:p>
      <w:pPr>
        <w:pStyle w:val="17"/>
        <w:spacing w:line="360" w:lineRule="auto"/>
        <w:rPr>
          <w:rFonts w:hAnsi="宋体"/>
          <w:sz w:val="24"/>
        </w:rPr>
      </w:pPr>
    </w:p>
    <w:p>
      <w:pPr>
        <w:pStyle w:val="17"/>
        <w:spacing w:line="360" w:lineRule="auto"/>
        <w:rPr>
          <w:rFonts w:hAnsi="宋体"/>
          <w:sz w:val="24"/>
          <w:lang w:val="en-GB"/>
        </w:rPr>
      </w:pPr>
      <w:r>
        <w:rPr>
          <w:rFonts w:hint="eastAsia" w:hAnsi="宋体"/>
          <w:sz w:val="24"/>
          <w:lang w:val="en-GB"/>
        </w:rPr>
        <w:t>3、建筑结构与建筑设备管线分离布置；</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2080"/>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410" w:type="dxa"/>
          </w:tcPr>
          <w:p>
            <w:pPr>
              <w:spacing w:line="360" w:lineRule="auto"/>
              <w:rPr>
                <w:rFonts w:hAnsi="宋体"/>
                <w:sz w:val="24"/>
              </w:rPr>
            </w:pPr>
            <w:r>
              <w:rPr>
                <w:rFonts w:hint="eastAsia" w:hAnsi="宋体"/>
                <w:sz w:val="24"/>
              </w:rPr>
              <w:t>GB/T 50378-2019</w:t>
            </w:r>
          </w:p>
        </w:tc>
        <w:tc>
          <w:tcPr>
            <w:tcW w:w="2080" w:type="dxa"/>
          </w:tcPr>
          <w:p>
            <w:pPr>
              <w:spacing w:line="360" w:lineRule="auto"/>
              <w:rPr>
                <w:rFonts w:hAnsi="宋体"/>
                <w:sz w:val="24"/>
              </w:rPr>
            </w:pPr>
            <w:r>
              <w:rPr>
                <w:rFonts w:hint="eastAsia" w:hAnsi="宋体"/>
                <w:sz w:val="24"/>
              </w:rPr>
              <w:t>4.2.6.2条</w:t>
            </w:r>
          </w:p>
        </w:tc>
        <w:tc>
          <w:tcPr>
            <w:tcW w:w="3306" w:type="dxa"/>
          </w:tcPr>
          <w:p>
            <w:pPr>
              <w:spacing w:line="360" w:lineRule="auto"/>
              <w:rPr>
                <w:rFonts w:hAnsi="宋体"/>
                <w:sz w:val="24"/>
              </w:rPr>
            </w:pPr>
            <w:r>
              <w:rPr>
                <w:rFonts w:hAnsi="宋体"/>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410" w:type="dxa"/>
          </w:tcPr>
          <w:p>
            <w:pPr>
              <w:spacing w:line="360" w:lineRule="auto"/>
              <w:rPr>
                <w:rFonts w:hAnsi="宋体"/>
                <w:sz w:val="24"/>
              </w:rPr>
            </w:pPr>
            <w:r>
              <w:rPr>
                <w:rFonts w:hint="eastAsia" w:hAnsi="宋体"/>
                <w:sz w:val="24"/>
                <w:lang w:val="en-GB"/>
              </w:rPr>
              <w:t>DB33/1092-2021</w:t>
            </w:r>
          </w:p>
        </w:tc>
        <w:tc>
          <w:tcPr>
            <w:tcW w:w="2080" w:type="dxa"/>
          </w:tcPr>
          <w:p>
            <w:pPr>
              <w:spacing w:line="360" w:lineRule="auto"/>
              <w:rPr>
                <w:rFonts w:hAnsi="宋体"/>
                <w:sz w:val="24"/>
              </w:rPr>
            </w:pPr>
            <w:r>
              <w:rPr>
                <w:rFonts w:hint="eastAsia" w:hAnsi="宋体"/>
                <w:sz w:val="24"/>
              </w:rPr>
              <w:t>6.2.3.5条</w:t>
            </w:r>
          </w:p>
        </w:tc>
        <w:tc>
          <w:tcPr>
            <w:tcW w:w="3306" w:type="dxa"/>
          </w:tcPr>
          <w:p>
            <w:pPr>
              <w:spacing w:line="360" w:lineRule="auto"/>
              <w:rPr>
                <w:rFonts w:hAnsi="宋体"/>
                <w:sz w:val="24"/>
              </w:rPr>
            </w:pPr>
            <w:r>
              <w:rPr>
                <w:rFonts w:hint="eastAsia" w:hAnsi="宋体"/>
                <w:sz w:val="24"/>
                <w:lang w:val="en-GB"/>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设计人员应对照建筑、结构、设备及装修相关设计说明及设计文件，根据项目实际填写本条内容。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int="eastAsia" w:hAnsi="宋体"/>
                <w:sz w:val="24"/>
              </w:rPr>
              <w:t>管线与结构、墙体的寿命不同，给建筑全寿命期的使用和维护带来了很大的困难。建筑结构与设备管线分离设计，可有利于建筑的耐久性。</w:t>
            </w:r>
          </w:p>
          <w:p>
            <w:pPr>
              <w:spacing w:line="360" w:lineRule="auto"/>
              <w:ind w:firstLine="480" w:firstLineChars="200"/>
              <w:rPr>
                <w:rFonts w:hAnsi="宋体"/>
                <w:sz w:val="24"/>
              </w:rPr>
            </w:pPr>
            <w:r>
              <w:rPr>
                <w:rFonts w:hAnsi="宋体"/>
                <w:sz w:val="24"/>
              </w:rPr>
              <w:t>管线分离是建筑结构体中不埋设设备及管线</w:t>
            </w:r>
            <w:r>
              <w:rPr>
                <w:rFonts w:hint="eastAsia" w:hAnsi="宋体"/>
                <w:sz w:val="24"/>
              </w:rPr>
              <w:t>，</w:t>
            </w:r>
            <w:r>
              <w:rPr>
                <w:rFonts w:hAnsi="宋体"/>
                <w:sz w:val="24"/>
              </w:rPr>
              <w:t>将设备及管线与建筑结构体相分离的方式</w:t>
            </w:r>
            <w:r>
              <w:rPr>
                <w:rFonts w:hint="eastAsia" w:hAnsi="宋体"/>
                <w:sz w:val="24"/>
              </w:rPr>
              <w:t>。</w:t>
            </w:r>
            <w:r>
              <w:rPr>
                <w:rFonts w:hAnsi="宋体"/>
                <w:sz w:val="24"/>
              </w:rPr>
              <w:t>建筑结构不仅仅指建筑结构主体</w:t>
            </w:r>
            <w:r>
              <w:rPr>
                <w:rFonts w:hint="eastAsia" w:hAnsi="宋体"/>
                <w:sz w:val="24"/>
              </w:rPr>
              <w:t>，</w:t>
            </w:r>
            <w:r>
              <w:rPr>
                <w:rFonts w:hAnsi="宋体"/>
                <w:sz w:val="24"/>
              </w:rPr>
              <w:t>还包括外围护结构和公共管井等可保持长久不变的部分</w:t>
            </w:r>
            <w:r>
              <w:rPr>
                <w:rFonts w:hint="eastAsia" w:hAnsi="宋体"/>
                <w:sz w:val="24"/>
              </w:rPr>
              <w:t>。本条分值为7分。</w:t>
            </w:r>
          </w:p>
        </w:tc>
      </w:tr>
    </w:tbl>
    <w:p>
      <w:pPr>
        <w:pStyle w:val="17"/>
        <w:spacing w:line="360" w:lineRule="auto"/>
        <w:rPr>
          <w:rFonts w:hAnsi="宋体"/>
          <w:sz w:val="24"/>
        </w:rPr>
      </w:pPr>
    </w:p>
    <w:p>
      <w:pPr>
        <w:pStyle w:val="17"/>
        <w:spacing w:line="360" w:lineRule="auto"/>
        <w:rPr>
          <w:rFonts w:hAnsi="宋体"/>
          <w:sz w:val="24"/>
          <w:lang w:val="en-GB"/>
        </w:rPr>
      </w:pPr>
      <w:r>
        <w:rPr>
          <w:rFonts w:hint="eastAsia" w:hAnsi="宋体"/>
          <w:sz w:val="24"/>
          <w:lang w:val="en-GB"/>
        </w:rPr>
        <w:t>4、按100年进行耐久性设计；</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2080"/>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410" w:type="dxa"/>
          </w:tcPr>
          <w:p>
            <w:pPr>
              <w:spacing w:line="360" w:lineRule="auto"/>
              <w:rPr>
                <w:rFonts w:hAnsi="宋体"/>
                <w:sz w:val="24"/>
              </w:rPr>
            </w:pPr>
            <w:r>
              <w:rPr>
                <w:rFonts w:hint="eastAsia" w:hAnsi="宋体"/>
                <w:sz w:val="24"/>
              </w:rPr>
              <w:t>GB/T 50378-2019</w:t>
            </w:r>
          </w:p>
        </w:tc>
        <w:tc>
          <w:tcPr>
            <w:tcW w:w="2080" w:type="dxa"/>
          </w:tcPr>
          <w:p>
            <w:pPr>
              <w:spacing w:line="360" w:lineRule="auto"/>
              <w:rPr>
                <w:rFonts w:hAnsi="宋体"/>
                <w:sz w:val="24"/>
              </w:rPr>
            </w:pPr>
            <w:r>
              <w:rPr>
                <w:rFonts w:hint="eastAsia" w:hAnsi="宋体"/>
                <w:sz w:val="24"/>
              </w:rPr>
              <w:t>4.2.8.1条</w:t>
            </w:r>
          </w:p>
        </w:tc>
        <w:tc>
          <w:tcPr>
            <w:tcW w:w="3306" w:type="dxa"/>
          </w:tcPr>
          <w:p>
            <w:pPr>
              <w:spacing w:line="360" w:lineRule="auto"/>
              <w:rPr>
                <w:rFonts w:hAnsi="宋体"/>
                <w:sz w:val="24"/>
              </w:rPr>
            </w:pPr>
            <w:r>
              <w:rPr>
                <w:rFonts w:hAnsi="宋体"/>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410" w:type="dxa"/>
          </w:tcPr>
          <w:p>
            <w:pPr>
              <w:spacing w:line="360" w:lineRule="auto"/>
              <w:rPr>
                <w:rFonts w:hAnsi="宋体"/>
                <w:sz w:val="24"/>
              </w:rPr>
            </w:pPr>
            <w:r>
              <w:rPr>
                <w:rFonts w:hint="eastAsia" w:hAnsi="宋体"/>
                <w:sz w:val="24"/>
                <w:lang w:val="en-GB"/>
              </w:rPr>
              <w:t>DB33/1092-2021</w:t>
            </w:r>
          </w:p>
        </w:tc>
        <w:tc>
          <w:tcPr>
            <w:tcW w:w="2080" w:type="dxa"/>
          </w:tcPr>
          <w:p>
            <w:pPr>
              <w:spacing w:line="360" w:lineRule="auto"/>
              <w:rPr>
                <w:rFonts w:hAnsi="宋体"/>
                <w:sz w:val="24"/>
              </w:rPr>
            </w:pPr>
            <w:r>
              <w:rPr>
                <w:rFonts w:hint="eastAsia" w:hAnsi="宋体"/>
                <w:sz w:val="24"/>
              </w:rPr>
              <w:t>6.4.1.1条</w:t>
            </w:r>
          </w:p>
        </w:tc>
        <w:tc>
          <w:tcPr>
            <w:tcW w:w="3306" w:type="dxa"/>
          </w:tcPr>
          <w:p>
            <w:pPr>
              <w:spacing w:line="360" w:lineRule="auto"/>
              <w:rPr>
                <w:rFonts w:hAnsi="宋体"/>
                <w:sz w:val="24"/>
              </w:rPr>
            </w:pPr>
            <w:r>
              <w:rPr>
                <w:rFonts w:hint="eastAsia" w:hAnsi="宋体"/>
                <w:sz w:val="24"/>
                <w:lang w:val="en-GB"/>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设计人员应对照项目设计文件、工程地质勘察报告等，根据项目实际填写本条内容。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int="eastAsia" w:hAnsi="宋体"/>
                <w:sz w:val="24"/>
              </w:rPr>
              <w:t>2014版《评价标准》对于本条款的评分只涉及高耐久性混凝土、耐候结构钢和耐候性防腐涂料，这些材料一般只用在特殊环境和特殊的气候条件下，一般的民用建筑不宜涉及，所以此条款一般难以得分。 GB/T 50378-2019增加了按100年耐久性设计和提高钢筋保护层厚度的得分项，实际可操作性较强。</w:t>
            </w:r>
          </w:p>
          <w:p>
            <w:pPr>
              <w:spacing w:line="360" w:lineRule="auto"/>
              <w:ind w:firstLine="480" w:firstLineChars="200"/>
              <w:rPr>
                <w:rFonts w:hAnsi="宋体"/>
                <w:sz w:val="24"/>
              </w:rPr>
            </w:pPr>
            <w:r>
              <w:rPr>
                <w:rFonts w:hint="eastAsia" w:hAnsi="宋体"/>
                <w:sz w:val="24"/>
              </w:rPr>
              <w:t>本条分值为10分。</w:t>
            </w:r>
          </w:p>
        </w:tc>
      </w:tr>
    </w:tbl>
    <w:p>
      <w:pPr>
        <w:pStyle w:val="17"/>
        <w:spacing w:line="360" w:lineRule="auto"/>
        <w:rPr>
          <w:rFonts w:hAnsi="宋体"/>
          <w:sz w:val="24"/>
        </w:rPr>
      </w:pPr>
    </w:p>
    <w:p>
      <w:pPr>
        <w:pStyle w:val="17"/>
        <w:spacing w:line="360" w:lineRule="auto"/>
        <w:rPr>
          <w:rFonts w:hAnsi="宋体"/>
          <w:sz w:val="24"/>
          <w:lang w:val="en-GB"/>
        </w:rPr>
      </w:pPr>
      <w:r>
        <w:rPr>
          <w:rFonts w:hint="eastAsia" w:hAnsi="宋体"/>
          <w:sz w:val="24"/>
          <w:lang w:val="en-GB"/>
        </w:rPr>
        <w:t>5、对于混凝土构件，提高钢筋保护层厚度或采用高耐久混凝土；</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2080"/>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410" w:type="dxa"/>
          </w:tcPr>
          <w:p>
            <w:pPr>
              <w:spacing w:line="360" w:lineRule="auto"/>
              <w:rPr>
                <w:rFonts w:hAnsi="宋体"/>
                <w:sz w:val="24"/>
              </w:rPr>
            </w:pPr>
            <w:r>
              <w:rPr>
                <w:rFonts w:hint="eastAsia" w:hAnsi="宋体"/>
                <w:sz w:val="24"/>
              </w:rPr>
              <w:t>GB/T 50378-2019</w:t>
            </w:r>
          </w:p>
        </w:tc>
        <w:tc>
          <w:tcPr>
            <w:tcW w:w="2080" w:type="dxa"/>
          </w:tcPr>
          <w:p>
            <w:pPr>
              <w:spacing w:line="360" w:lineRule="auto"/>
              <w:rPr>
                <w:rFonts w:hAnsi="宋体"/>
                <w:sz w:val="24"/>
              </w:rPr>
            </w:pPr>
            <w:r>
              <w:rPr>
                <w:rFonts w:hint="eastAsia" w:hAnsi="宋体"/>
                <w:sz w:val="24"/>
              </w:rPr>
              <w:t>4.2.8.2-1）条</w:t>
            </w:r>
          </w:p>
        </w:tc>
        <w:tc>
          <w:tcPr>
            <w:tcW w:w="3306" w:type="dxa"/>
          </w:tcPr>
          <w:p>
            <w:pPr>
              <w:spacing w:line="360" w:lineRule="auto"/>
              <w:rPr>
                <w:rFonts w:hAnsi="宋体"/>
                <w:sz w:val="24"/>
              </w:rPr>
            </w:pPr>
            <w:r>
              <w:rPr>
                <w:rFonts w:hAnsi="宋体"/>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410" w:type="dxa"/>
          </w:tcPr>
          <w:p>
            <w:pPr>
              <w:spacing w:line="360" w:lineRule="auto"/>
              <w:rPr>
                <w:rFonts w:hAnsi="宋体"/>
                <w:sz w:val="24"/>
              </w:rPr>
            </w:pPr>
            <w:r>
              <w:rPr>
                <w:rFonts w:hint="eastAsia" w:hAnsi="宋体"/>
                <w:sz w:val="24"/>
                <w:lang w:val="en-GB"/>
              </w:rPr>
              <w:t>DB33/1092-2021</w:t>
            </w:r>
          </w:p>
        </w:tc>
        <w:tc>
          <w:tcPr>
            <w:tcW w:w="2080" w:type="dxa"/>
          </w:tcPr>
          <w:p>
            <w:pPr>
              <w:spacing w:line="360" w:lineRule="auto"/>
              <w:rPr>
                <w:rFonts w:hAnsi="宋体"/>
                <w:sz w:val="24"/>
              </w:rPr>
            </w:pPr>
            <w:r>
              <w:rPr>
                <w:rFonts w:hint="eastAsia" w:hAnsi="宋体"/>
                <w:sz w:val="24"/>
              </w:rPr>
              <w:t>6.4.1.2条</w:t>
            </w:r>
          </w:p>
        </w:tc>
        <w:tc>
          <w:tcPr>
            <w:tcW w:w="3306" w:type="dxa"/>
          </w:tcPr>
          <w:p>
            <w:pPr>
              <w:spacing w:line="360" w:lineRule="auto"/>
              <w:rPr>
                <w:rFonts w:hAnsi="宋体"/>
                <w:sz w:val="24"/>
              </w:rPr>
            </w:pPr>
            <w:r>
              <w:rPr>
                <w:rFonts w:hint="eastAsia" w:hAnsi="宋体"/>
                <w:sz w:val="24"/>
                <w:lang w:val="en-GB"/>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设计人员应对照项目设计文件、工程地质勘察报告等，根据项目实际填写本条内容。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int="eastAsia" w:hAnsi="宋体"/>
                <w:sz w:val="24"/>
              </w:rPr>
              <w:t>2014版《评价标准》对于本条款的评分只涉及高耐久性混凝土、耐候结构钢和耐候性防腐涂料，这些材料一般只用在特殊环境和特殊的气候条件下，一般的民用建筑不宜涉及，所以此条款一般难以得分。 GB/T 50378-2019增加了按100年耐久性设计和提高钢筋保护层厚度的得分项，实际可操作性较强。</w:t>
            </w:r>
          </w:p>
          <w:p>
            <w:pPr>
              <w:spacing w:line="360" w:lineRule="auto"/>
              <w:ind w:firstLine="480" w:firstLineChars="200"/>
              <w:rPr>
                <w:rFonts w:hAnsi="宋体"/>
                <w:sz w:val="24"/>
              </w:rPr>
            </w:pPr>
            <w:r>
              <w:rPr>
                <w:rFonts w:hint="eastAsia" w:hAnsi="宋体"/>
                <w:sz w:val="24"/>
              </w:rPr>
              <w:t>本条中对钢筋保护层厚度的增加值指不小于5mm。</w:t>
            </w:r>
          </w:p>
          <w:p>
            <w:pPr>
              <w:spacing w:line="360" w:lineRule="auto"/>
              <w:ind w:firstLine="480" w:firstLineChars="200"/>
              <w:rPr>
                <w:rFonts w:hAnsi="宋体" w:cs="宋体"/>
                <w:sz w:val="24"/>
              </w:rPr>
            </w:pPr>
            <w:r>
              <w:rPr>
                <w:rFonts w:hint="eastAsia" w:hAnsi="宋体"/>
                <w:sz w:val="24"/>
              </w:rPr>
              <w:t>高耐久性混凝土</w:t>
            </w:r>
            <w:r>
              <w:rPr>
                <w:rFonts w:hint="eastAsia" w:hAnsi="宋体" w:cs="MS Gothic"/>
                <w:sz w:val="24"/>
              </w:rPr>
              <w:t>指</w:t>
            </w:r>
            <w:r>
              <w:rPr>
                <w:rFonts w:hint="eastAsia" w:hAnsi="宋体" w:cs="宋体"/>
                <w:sz w:val="24"/>
              </w:rPr>
              <w:t>满足设计要求下，结合具体应用环境，对抗渗性能、抗硫酸盐侵蚀性能、抗氯离子渗透性能、抗碳化性能及早期抗裂性能等耐久性指标提出合理要求的混凝土。</w:t>
            </w:r>
          </w:p>
          <w:p>
            <w:pPr>
              <w:spacing w:line="360" w:lineRule="auto"/>
              <w:ind w:firstLine="480" w:firstLineChars="200"/>
              <w:rPr>
                <w:rFonts w:hAnsi="宋体"/>
                <w:sz w:val="24"/>
              </w:rPr>
            </w:pPr>
            <w:r>
              <w:rPr>
                <w:rFonts w:hint="eastAsia" w:hAnsi="宋体" w:cs="宋体"/>
                <w:sz w:val="24"/>
              </w:rPr>
              <w:t>条款中的“未涉及”是指本项目未涉及混凝土构件。对于采用多种类型构件的建筑，得分按照材料用量比例计算，最终得分应在分别对应每种材料的评分后，按照材料质量进行加权平均计算。</w:t>
            </w:r>
          </w:p>
          <w:p>
            <w:pPr>
              <w:spacing w:line="360" w:lineRule="auto"/>
              <w:ind w:firstLine="480" w:firstLineChars="200"/>
              <w:rPr>
                <w:rFonts w:hAnsi="宋体"/>
                <w:sz w:val="24"/>
              </w:rPr>
            </w:pPr>
            <w:r>
              <w:rPr>
                <w:rFonts w:hint="eastAsia" w:hAnsi="宋体"/>
                <w:sz w:val="24"/>
              </w:rPr>
              <w:t>本条分值为10分。</w:t>
            </w:r>
          </w:p>
        </w:tc>
      </w:tr>
    </w:tbl>
    <w:p>
      <w:pPr>
        <w:pStyle w:val="17"/>
        <w:spacing w:line="360" w:lineRule="auto"/>
        <w:rPr>
          <w:rFonts w:hAnsi="宋体"/>
          <w:sz w:val="24"/>
        </w:rPr>
      </w:pPr>
    </w:p>
    <w:p>
      <w:pPr>
        <w:pStyle w:val="17"/>
        <w:spacing w:line="360" w:lineRule="auto"/>
        <w:rPr>
          <w:rFonts w:hAnsi="宋体"/>
          <w:sz w:val="24"/>
          <w:lang w:val="en-GB"/>
        </w:rPr>
      </w:pPr>
      <w:r>
        <w:rPr>
          <w:rFonts w:hint="eastAsia" w:hAnsi="宋体"/>
          <w:sz w:val="24"/>
          <w:lang w:val="en-GB"/>
        </w:rPr>
        <w:t>6、</w:t>
      </w:r>
      <w:r>
        <w:rPr>
          <w:rFonts w:hAnsi="宋体"/>
          <w:sz w:val="24"/>
          <w:lang w:val="en-GB"/>
        </w:rPr>
        <w:t>对于钢</w:t>
      </w:r>
      <w:r>
        <w:rPr>
          <w:rFonts w:hint="eastAsia" w:hAnsi="宋体"/>
          <w:sz w:val="24"/>
          <w:lang w:val="en-GB"/>
        </w:rPr>
        <w:t>构件，</w:t>
      </w:r>
      <w:r>
        <w:rPr>
          <w:rFonts w:hAnsi="宋体"/>
          <w:sz w:val="24"/>
          <w:lang w:val="en-GB"/>
        </w:rPr>
        <w:t>采用耐候结构钢或耐候</w:t>
      </w:r>
      <w:r>
        <w:rPr>
          <w:rFonts w:hint="eastAsia" w:hAnsi="宋体"/>
          <w:sz w:val="24"/>
          <w:lang w:val="en-GB"/>
        </w:rPr>
        <w:t>型</w:t>
      </w:r>
      <w:r>
        <w:rPr>
          <w:rFonts w:hAnsi="宋体"/>
          <w:sz w:val="24"/>
          <w:lang w:val="en-GB"/>
        </w:rPr>
        <w:t>防腐涂料</w:t>
      </w:r>
      <w:r>
        <w:rPr>
          <w:rFonts w:hint="eastAsia" w:hAnsi="宋体"/>
          <w:sz w:val="24"/>
          <w:lang w:val="en-GB"/>
        </w:rPr>
        <w:t>；</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2080"/>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410" w:type="dxa"/>
          </w:tcPr>
          <w:p>
            <w:pPr>
              <w:spacing w:line="360" w:lineRule="auto"/>
              <w:rPr>
                <w:rFonts w:hAnsi="宋体"/>
                <w:sz w:val="24"/>
              </w:rPr>
            </w:pPr>
            <w:r>
              <w:rPr>
                <w:rFonts w:hint="eastAsia" w:hAnsi="宋体"/>
                <w:sz w:val="24"/>
              </w:rPr>
              <w:t>GB/T 50378-2019</w:t>
            </w:r>
          </w:p>
        </w:tc>
        <w:tc>
          <w:tcPr>
            <w:tcW w:w="2080" w:type="dxa"/>
          </w:tcPr>
          <w:p>
            <w:pPr>
              <w:spacing w:line="360" w:lineRule="auto"/>
              <w:rPr>
                <w:rFonts w:hAnsi="宋体"/>
                <w:sz w:val="24"/>
              </w:rPr>
            </w:pPr>
            <w:r>
              <w:rPr>
                <w:rFonts w:hint="eastAsia" w:hAnsi="宋体"/>
                <w:sz w:val="24"/>
              </w:rPr>
              <w:t>4.2.8.2-2）条</w:t>
            </w:r>
          </w:p>
        </w:tc>
        <w:tc>
          <w:tcPr>
            <w:tcW w:w="3306" w:type="dxa"/>
          </w:tcPr>
          <w:p>
            <w:pPr>
              <w:spacing w:line="360" w:lineRule="auto"/>
              <w:rPr>
                <w:rFonts w:hAnsi="宋体"/>
                <w:sz w:val="24"/>
              </w:rPr>
            </w:pPr>
            <w:r>
              <w:rPr>
                <w:rFonts w:hAnsi="宋体"/>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410" w:type="dxa"/>
          </w:tcPr>
          <w:p>
            <w:pPr>
              <w:spacing w:line="360" w:lineRule="auto"/>
              <w:rPr>
                <w:rFonts w:hAnsi="宋体"/>
                <w:sz w:val="24"/>
              </w:rPr>
            </w:pPr>
            <w:r>
              <w:rPr>
                <w:rFonts w:hint="eastAsia" w:hAnsi="宋体"/>
                <w:sz w:val="24"/>
                <w:lang w:val="en-GB"/>
              </w:rPr>
              <w:t>DB33/1092-2021</w:t>
            </w:r>
          </w:p>
        </w:tc>
        <w:tc>
          <w:tcPr>
            <w:tcW w:w="2080" w:type="dxa"/>
          </w:tcPr>
          <w:p>
            <w:pPr>
              <w:spacing w:line="360" w:lineRule="auto"/>
              <w:rPr>
                <w:rFonts w:hAnsi="宋体"/>
                <w:sz w:val="24"/>
              </w:rPr>
            </w:pPr>
            <w:r>
              <w:rPr>
                <w:rFonts w:hint="eastAsia" w:hAnsi="宋体"/>
                <w:sz w:val="24"/>
              </w:rPr>
              <w:t>6.4.1.3条</w:t>
            </w:r>
          </w:p>
        </w:tc>
        <w:tc>
          <w:tcPr>
            <w:tcW w:w="3306" w:type="dxa"/>
          </w:tcPr>
          <w:p>
            <w:pPr>
              <w:spacing w:line="360" w:lineRule="auto"/>
              <w:rPr>
                <w:rFonts w:hAnsi="宋体"/>
                <w:sz w:val="24"/>
              </w:rPr>
            </w:pPr>
            <w:r>
              <w:rPr>
                <w:rFonts w:hint="eastAsia" w:hAnsi="宋体"/>
                <w:sz w:val="24"/>
                <w:lang w:val="en-GB"/>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设计人员应对照项目设计文件、工程地质勘察报告等，根据项目实际填写本条内容。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int="eastAsia" w:hAnsi="宋体"/>
                <w:sz w:val="24"/>
              </w:rPr>
              <w:t>耐候结构钢是指符合现行国家标准《耐候结构钢》GB/T4171要求的钢材；耐候型防腐涂料是指符合现行行业标准《建筑用钢结构防腐涂料》JG/T224的Ⅱ型面漆和长效型底漆。</w:t>
            </w:r>
          </w:p>
          <w:p>
            <w:pPr>
              <w:spacing w:line="360" w:lineRule="auto"/>
              <w:ind w:firstLine="480" w:firstLineChars="200"/>
              <w:rPr>
                <w:rFonts w:hAnsi="宋体"/>
                <w:sz w:val="24"/>
              </w:rPr>
            </w:pPr>
            <w:r>
              <w:rPr>
                <w:rFonts w:hint="eastAsia" w:hAnsi="宋体" w:cs="宋体"/>
                <w:sz w:val="24"/>
              </w:rPr>
              <w:t>条款中的“未涉及”是指本项目未涉及钢构件。对于采用多种类型构件的建筑，得分按照材料用量比例计算，最终得分应在分别对应每种材料的评分后，按照材料质量进行加权平均计算。</w:t>
            </w:r>
          </w:p>
          <w:p>
            <w:pPr>
              <w:spacing w:line="360" w:lineRule="auto"/>
              <w:ind w:firstLine="480" w:firstLineChars="200"/>
              <w:rPr>
                <w:rFonts w:hAnsi="宋体"/>
                <w:sz w:val="24"/>
              </w:rPr>
            </w:pPr>
            <w:r>
              <w:rPr>
                <w:rFonts w:hint="eastAsia" w:hAnsi="宋体"/>
                <w:sz w:val="24"/>
              </w:rPr>
              <w:t>本条分值为10分。</w:t>
            </w:r>
          </w:p>
        </w:tc>
      </w:tr>
    </w:tbl>
    <w:p>
      <w:pPr>
        <w:pStyle w:val="17"/>
        <w:spacing w:line="360" w:lineRule="auto"/>
        <w:rPr>
          <w:rFonts w:hAnsi="宋体"/>
          <w:sz w:val="24"/>
        </w:rPr>
      </w:pPr>
    </w:p>
    <w:p>
      <w:pPr>
        <w:pStyle w:val="17"/>
        <w:spacing w:line="360" w:lineRule="auto"/>
        <w:rPr>
          <w:rFonts w:hAnsi="宋体"/>
          <w:sz w:val="24"/>
          <w:lang w:val="en-GB"/>
        </w:rPr>
      </w:pPr>
      <w:r>
        <w:rPr>
          <w:rFonts w:hint="eastAsia" w:hAnsi="宋体"/>
          <w:sz w:val="24"/>
          <w:lang w:val="en-GB"/>
        </w:rPr>
        <w:t>7、对于木构件，采用防腐木材、耐久木材或耐久木制品；</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2080"/>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410" w:type="dxa"/>
          </w:tcPr>
          <w:p>
            <w:pPr>
              <w:spacing w:line="360" w:lineRule="auto"/>
              <w:rPr>
                <w:rFonts w:hAnsi="宋体"/>
                <w:sz w:val="24"/>
              </w:rPr>
            </w:pPr>
            <w:r>
              <w:rPr>
                <w:rFonts w:hint="eastAsia" w:hAnsi="宋体"/>
                <w:sz w:val="24"/>
              </w:rPr>
              <w:t>GB/T 50378-2019</w:t>
            </w:r>
          </w:p>
        </w:tc>
        <w:tc>
          <w:tcPr>
            <w:tcW w:w="2080" w:type="dxa"/>
          </w:tcPr>
          <w:p>
            <w:pPr>
              <w:spacing w:line="360" w:lineRule="auto"/>
              <w:rPr>
                <w:rFonts w:hAnsi="宋体"/>
                <w:sz w:val="24"/>
              </w:rPr>
            </w:pPr>
            <w:r>
              <w:rPr>
                <w:rFonts w:hint="eastAsia" w:hAnsi="宋体"/>
                <w:sz w:val="24"/>
              </w:rPr>
              <w:t>4.2.8.2-3）条</w:t>
            </w:r>
          </w:p>
        </w:tc>
        <w:tc>
          <w:tcPr>
            <w:tcW w:w="3306" w:type="dxa"/>
          </w:tcPr>
          <w:p>
            <w:pPr>
              <w:spacing w:line="360" w:lineRule="auto"/>
              <w:rPr>
                <w:rFonts w:hAnsi="宋体"/>
                <w:sz w:val="24"/>
              </w:rPr>
            </w:pPr>
            <w:r>
              <w:rPr>
                <w:rFonts w:hAnsi="宋体"/>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410" w:type="dxa"/>
          </w:tcPr>
          <w:p>
            <w:pPr>
              <w:spacing w:line="360" w:lineRule="auto"/>
              <w:rPr>
                <w:rFonts w:hAnsi="宋体"/>
                <w:sz w:val="24"/>
              </w:rPr>
            </w:pPr>
            <w:r>
              <w:rPr>
                <w:rFonts w:hint="eastAsia" w:hAnsi="宋体"/>
                <w:sz w:val="24"/>
                <w:lang w:val="en-GB"/>
              </w:rPr>
              <w:t>DB33/1092-2021</w:t>
            </w:r>
          </w:p>
        </w:tc>
        <w:tc>
          <w:tcPr>
            <w:tcW w:w="2080" w:type="dxa"/>
          </w:tcPr>
          <w:p>
            <w:pPr>
              <w:spacing w:line="360" w:lineRule="auto"/>
              <w:rPr>
                <w:rFonts w:hAnsi="宋体"/>
                <w:sz w:val="24"/>
              </w:rPr>
            </w:pPr>
            <w:r>
              <w:rPr>
                <w:rFonts w:hint="eastAsia" w:hAnsi="宋体"/>
                <w:sz w:val="24"/>
              </w:rPr>
              <w:t>6.4.1.4条</w:t>
            </w:r>
          </w:p>
        </w:tc>
        <w:tc>
          <w:tcPr>
            <w:tcW w:w="3306" w:type="dxa"/>
          </w:tcPr>
          <w:p>
            <w:pPr>
              <w:spacing w:line="360" w:lineRule="auto"/>
              <w:rPr>
                <w:rFonts w:hAnsi="宋体"/>
                <w:sz w:val="24"/>
              </w:rPr>
            </w:pPr>
            <w:r>
              <w:rPr>
                <w:rFonts w:hint="eastAsia" w:hAnsi="宋体"/>
                <w:sz w:val="24"/>
                <w:lang w:val="en-GB"/>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设计人员应对照项目设计文件、工程地质勘察报告等，根据项目实际填写本条内容。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int="eastAsia" w:hAnsi="宋体"/>
                <w:sz w:val="24"/>
              </w:rPr>
              <w:t>多高层木结构建筑采用的结构木材可分为方木、原木、规格材、层板胶合木、正交胶合木、结构复合木材、木基结构板材以及其他结构用锯材，其材质等级应符合现行国家标准《木结构设计标准》GB50005的有关规定。所有在室外使用，或与土壤直接接触的木构件，应采用防腐木材。在不直接接触土壤的情况下，可采用其他耐久木材或耐久木制品。</w:t>
            </w:r>
          </w:p>
          <w:p>
            <w:pPr>
              <w:spacing w:line="360" w:lineRule="auto"/>
              <w:ind w:firstLine="480" w:firstLineChars="200"/>
              <w:rPr>
                <w:rFonts w:hAnsi="宋体"/>
                <w:sz w:val="24"/>
              </w:rPr>
            </w:pPr>
            <w:r>
              <w:rPr>
                <w:rFonts w:hint="eastAsia" w:hAnsi="宋体" w:cs="宋体"/>
                <w:sz w:val="24"/>
              </w:rPr>
              <w:t>条款中的“未涉及”是指本项目未涉及木构件。对于采用多种类型构件的建筑，得分按照材料用量比例计算，最终得分应在分别对应每种材料的评分后，按照材料质量进行加权平均计算。</w:t>
            </w:r>
          </w:p>
          <w:p>
            <w:pPr>
              <w:spacing w:line="360" w:lineRule="auto"/>
              <w:ind w:firstLine="480" w:firstLineChars="200"/>
              <w:rPr>
                <w:rFonts w:hAnsi="宋体"/>
                <w:sz w:val="24"/>
              </w:rPr>
            </w:pPr>
            <w:r>
              <w:rPr>
                <w:rFonts w:hint="eastAsia" w:hAnsi="宋体"/>
                <w:sz w:val="24"/>
              </w:rPr>
              <w:t>本条分值为10分。</w:t>
            </w:r>
          </w:p>
        </w:tc>
      </w:tr>
    </w:tbl>
    <w:p>
      <w:pPr>
        <w:pStyle w:val="17"/>
        <w:spacing w:line="360" w:lineRule="auto"/>
        <w:rPr>
          <w:rFonts w:hAnsi="宋体"/>
          <w:sz w:val="24"/>
          <w:lang w:val="en-GB"/>
        </w:rPr>
      </w:pPr>
    </w:p>
    <w:p>
      <w:pPr>
        <w:pStyle w:val="17"/>
        <w:spacing w:line="360" w:lineRule="auto"/>
        <w:rPr>
          <w:rFonts w:hAnsi="宋体"/>
          <w:sz w:val="24"/>
        </w:rPr>
      </w:pPr>
      <w:r>
        <w:rPr>
          <w:rFonts w:hint="eastAsia" w:hAnsi="宋体"/>
          <w:sz w:val="24"/>
          <w:lang w:val="en-GB"/>
        </w:rPr>
        <w:t>8、合理选用建筑结构材料与构件；</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2080"/>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410" w:type="dxa"/>
          </w:tcPr>
          <w:p>
            <w:pPr>
              <w:spacing w:line="360" w:lineRule="auto"/>
              <w:rPr>
                <w:rFonts w:hAnsi="宋体"/>
                <w:sz w:val="24"/>
              </w:rPr>
            </w:pPr>
            <w:r>
              <w:rPr>
                <w:rFonts w:hint="eastAsia" w:hAnsi="宋体"/>
                <w:sz w:val="24"/>
              </w:rPr>
              <w:t>GB/T 50378-2019</w:t>
            </w:r>
          </w:p>
        </w:tc>
        <w:tc>
          <w:tcPr>
            <w:tcW w:w="2080" w:type="dxa"/>
          </w:tcPr>
          <w:p>
            <w:pPr>
              <w:spacing w:line="360" w:lineRule="auto"/>
              <w:rPr>
                <w:rFonts w:hAnsi="宋体"/>
                <w:sz w:val="24"/>
              </w:rPr>
            </w:pPr>
            <w:r>
              <w:rPr>
                <w:rFonts w:hint="eastAsia" w:hAnsi="宋体"/>
                <w:sz w:val="24"/>
              </w:rPr>
              <w:t>7.2.15条</w:t>
            </w:r>
          </w:p>
        </w:tc>
        <w:tc>
          <w:tcPr>
            <w:tcW w:w="3306" w:type="dxa"/>
          </w:tcPr>
          <w:p>
            <w:pPr>
              <w:spacing w:line="360" w:lineRule="auto"/>
              <w:rPr>
                <w:rFonts w:hAnsi="宋体"/>
                <w:sz w:val="24"/>
              </w:rPr>
            </w:pPr>
            <w:r>
              <w:rPr>
                <w:rFonts w:hAnsi="宋体"/>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spacing w:line="360" w:lineRule="auto"/>
              <w:rPr>
                <w:rFonts w:hAnsi="宋体"/>
                <w:sz w:val="24"/>
              </w:rPr>
            </w:pPr>
          </w:p>
        </w:tc>
        <w:tc>
          <w:tcPr>
            <w:tcW w:w="2410" w:type="dxa"/>
            <w:vMerge w:val="restart"/>
          </w:tcPr>
          <w:p>
            <w:pPr>
              <w:spacing w:line="360" w:lineRule="auto"/>
              <w:rPr>
                <w:rFonts w:hAnsi="宋体"/>
                <w:sz w:val="24"/>
              </w:rPr>
            </w:pPr>
            <w:r>
              <w:rPr>
                <w:rFonts w:hint="eastAsia" w:hAnsi="宋体"/>
                <w:sz w:val="24"/>
                <w:lang w:val="en-GB"/>
              </w:rPr>
              <w:t>DB33/1092-2021</w:t>
            </w:r>
          </w:p>
        </w:tc>
        <w:tc>
          <w:tcPr>
            <w:tcW w:w="2080" w:type="dxa"/>
          </w:tcPr>
          <w:p>
            <w:pPr>
              <w:spacing w:line="360" w:lineRule="auto"/>
              <w:rPr>
                <w:rFonts w:hAnsi="宋体"/>
                <w:sz w:val="24"/>
              </w:rPr>
            </w:pPr>
            <w:r>
              <w:rPr>
                <w:rFonts w:hint="eastAsia" w:hAnsi="宋体"/>
                <w:sz w:val="24"/>
              </w:rPr>
              <w:t>6.2.4条</w:t>
            </w:r>
          </w:p>
        </w:tc>
        <w:tc>
          <w:tcPr>
            <w:tcW w:w="3306" w:type="dxa"/>
          </w:tcPr>
          <w:p>
            <w:pPr>
              <w:spacing w:line="360" w:lineRule="auto"/>
              <w:rPr>
                <w:rFonts w:hAnsi="宋体"/>
                <w:sz w:val="24"/>
              </w:rPr>
            </w:pPr>
            <w:r>
              <w:rPr>
                <w:rFonts w:hint="eastAsia" w:hAnsi="宋体"/>
                <w:sz w:val="24"/>
                <w:lang w:val="en-GB"/>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410" w:type="dxa"/>
            <w:vMerge w:val="continue"/>
          </w:tcPr>
          <w:p>
            <w:pPr>
              <w:spacing w:line="360" w:lineRule="auto"/>
              <w:rPr>
                <w:rFonts w:hAnsi="宋体"/>
                <w:sz w:val="24"/>
              </w:rPr>
            </w:pPr>
          </w:p>
        </w:tc>
        <w:tc>
          <w:tcPr>
            <w:tcW w:w="2080" w:type="dxa"/>
          </w:tcPr>
          <w:p>
            <w:pPr>
              <w:spacing w:line="360" w:lineRule="auto"/>
              <w:rPr>
                <w:rFonts w:hAnsi="宋体"/>
                <w:sz w:val="24"/>
              </w:rPr>
            </w:pPr>
            <w:r>
              <w:rPr>
                <w:rFonts w:hint="eastAsia" w:hAnsi="宋体"/>
                <w:sz w:val="24"/>
              </w:rPr>
              <w:t>6.4.3条</w:t>
            </w:r>
          </w:p>
        </w:tc>
        <w:tc>
          <w:tcPr>
            <w:tcW w:w="3306" w:type="dxa"/>
          </w:tcPr>
          <w:p>
            <w:pPr>
              <w:spacing w:line="360" w:lineRule="auto"/>
              <w:rPr>
                <w:rFonts w:hAnsi="宋体"/>
                <w:sz w:val="24"/>
                <w:lang w:val="en-GB"/>
              </w:rPr>
            </w:pPr>
            <w:r>
              <w:rPr>
                <w:rFonts w:hint="eastAsia" w:hAnsi="宋体"/>
                <w:sz w:val="24"/>
                <w:lang w:val="en-GB"/>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设计人员依据设计说明、结构施工图、材料预算清单、各类材料用量比例计算书等，根据项目实际选材情况填写本条内容。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Ansi="宋体"/>
                <w:sz w:val="24"/>
              </w:rPr>
              <w:t>本条中建筑结构材料主要指</w:t>
            </w:r>
            <w:r>
              <w:rPr>
                <w:rFonts w:hint="eastAsia" w:hAnsi="宋体"/>
                <w:sz w:val="24"/>
              </w:rPr>
              <w:t>强度等级不小于400MPa级高强钢筋、强度等级不小于Q355高强钢材、强度等级不小于C50的高强混凝土。</w:t>
            </w:r>
          </w:p>
          <w:p>
            <w:pPr>
              <w:spacing w:line="360" w:lineRule="auto"/>
              <w:rPr>
                <w:rFonts w:hAnsi="宋体"/>
                <w:sz w:val="24"/>
              </w:rPr>
            </w:pPr>
            <w:r>
              <w:rPr>
                <w:rFonts w:hint="eastAsia" w:hAnsi="宋体"/>
                <w:sz w:val="24"/>
              </w:rPr>
              <w:t>施工时免支撑的楼屋面板包括各种类型的钢筋混凝土叠合板或预应力混凝土叠合板，对于楼屋面采用工具式脚手架与配套定型模板施工的，可达到免抹灰效果。</w:t>
            </w:r>
          </w:p>
          <w:p>
            <w:pPr>
              <w:spacing w:line="360" w:lineRule="auto"/>
              <w:ind w:firstLine="480" w:firstLineChars="200"/>
              <w:rPr>
                <w:rFonts w:hAnsi="宋体"/>
                <w:sz w:val="24"/>
              </w:rPr>
            </w:pPr>
            <w:r>
              <w:rPr>
                <w:rFonts w:hint="eastAsia" w:hAnsi="宋体"/>
                <w:sz w:val="24"/>
              </w:rPr>
              <w:t>对于高强钢筋的应用比例，GB/T 50378-2019与</w:t>
            </w:r>
            <w:r>
              <w:rPr>
                <w:rFonts w:hint="eastAsia" w:hAnsi="宋体"/>
                <w:sz w:val="24"/>
                <w:lang w:val="en-GB"/>
              </w:rPr>
              <w:t>DB33/1092-2021</w:t>
            </w:r>
            <w:r>
              <w:rPr>
                <w:rFonts w:hint="eastAsia" w:hAnsi="宋体"/>
                <w:sz w:val="24"/>
              </w:rPr>
              <w:t>的计算口径有所区别，本专篇采用了</w:t>
            </w:r>
            <w:r>
              <w:rPr>
                <w:rFonts w:hint="eastAsia" w:hAnsi="宋体"/>
                <w:sz w:val="24"/>
                <w:lang w:val="en-GB"/>
              </w:rPr>
              <w:t>DB33/1092-2021</w:t>
            </w:r>
            <w:r>
              <w:rPr>
                <w:rFonts w:hint="eastAsia" w:hAnsi="宋体"/>
                <w:sz w:val="24"/>
              </w:rPr>
              <w:t>的计算方法，即为“受力普通钢筋”的应用比例。</w:t>
            </w:r>
          </w:p>
          <w:p>
            <w:pPr>
              <w:spacing w:line="360" w:lineRule="auto"/>
              <w:ind w:firstLine="480" w:firstLineChars="200"/>
              <w:rPr>
                <w:rFonts w:hAnsi="宋体"/>
                <w:sz w:val="24"/>
              </w:rPr>
            </w:pPr>
            <w:r>
              <w:rPr>
                <w:rFonts w:hint="eastAsia" w:hAnsi="宋体"/>
                <w:sz w:val="24"/>
              </w:rPr>
              <w:t>对于高强混凝土的应用比例，GB/T 50378-2019与</w:t>
            </w:r>
            <w:r>
              <w:rPr>
                <w:rFonts w:hint="eastAsia" w:hAnsi="宋体"/>
                <w:sz w:val="24"/>
                <w:lang w:val="en-GB"/>
              </w:rPr>
              <w:t>DB33/1092-2021</w:t>
            </w:r>
            <w:r>
              <w:rPr>
                <w:rFonts w:hint="eastAsia" w:hAnsi="宋体"/>
                <w:sz w:val="24"/>
              </w:rPr>
              <w:t>的计算口径也有所区别，</w:t>
            </w:r>
            <w:r>
              <w:rPr>
                <w:rFonts w:hint="eastAsia" w:hAnsi="宋体"/>
                <w:sz w:val="24"/>
                <w:lang w:val="en-GB"/>
              </w:rPr>
              <w:t>DB33/1092-2021</w:t>
            </w:r>
            <w:r>
              <w:rPr>
                <w:rFonts w:hint="eastAsia" w:hAnsi="宋体"/>
                <w:sz w:val="24"/>
              </w:rPr>
              <w:t>加设了“100米以上高层”的前提，使高强混凝土的应用更加合理。本专篇采用了</w:t>
            </w:r>
            <w:r>
              <w:rPr>
                <w:rFonts w:hint="eastAsia" w:hAnsi="宋体"/>
                <w:sz w:val="24"/>
                <w:lang w:val="en-GB"/>
              </w:rPr>
              <w:t>DB33/1092-2021</w:t>
            </w:r>
            <w:r>
              <w:rPr>
                <w:rFonts w:hint="eastAsia" w:hAnsi="宋体"/>
                <w:sz w:val="24"/>
              </w:rPr>
              <w:t>的计算方法。</w:t>
            </w:r>
          </w:p>
          <w:p>
            <w:pPr>
              <w:spacing w:line="360" w:lineRule="auto"/>
              <w:ind w:firstLine="480" w:firstLineChars="200"/>
              <w:rPr>
                <w:rFonts w:hAnsi="宋体"/>
                <w:sz w:val="24"/>
              </w:rPr>
            </w:pPr>
            <w:r>
              <w:rPr>
                <w:rFonts w:hint="eastAsia" w:hAnsi="宋体"/>
                <w:sz w:val="24"/>
              </w:rPr>
              <w:t>本条分值为10分。</w:t>
            </w:r>
          </w:p>
        </w:tc>
      </w:tr>
    </w:tbl>
    <w:p>
      <w:pPr>
        <w:pStyle w:val="17"/>
        <w:spacing w:line="360" w:lineRule="auto"/>
        <w:rPr>
          <w:rFonts w:hAnsi="宋体"/>
          <w:sz w:val="24"/>
        </w:rPr>
      </w:pPr>
    </w:p>
    <w:p>
      <w:pPr>
        <w:pStyle w:val="17"/>
        <w:spacing w:line="360" w:lineRule="auto"/>
        <w:rPr>
          <w:rFonts w:hAnsi="宋体"/>
          <w:sz w:val="24"/>
          <w:lang w:val="en-GB"/>
        </w:rPr>
      </w:pPr>
      <w:r>
        <w:rPr>
          <w:rFonts w:hint="eastAsia" w:hAnsi="宋体"/>
          <w:sz w:val="24"/>
          <w:lang w:val="en-GB"/>
        </w:rPr>
        <w:t>9、采用可再利用材料和可再循环材料；</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2222"/>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268" w:type="dxa"/>
          </w:tcPr>
          <w:p>
            <w:pPr>
              <w:spacing w:line="360" w:lineRule="auto"/>
              <w:rPr>
                <w:rFonts w:hAnsi="宋体"/>
                <w:sz w:val="24"/>
              </w:rPr>
            </w:pPr>
            <w:r>
              <w:rPr>
                <w:rFonts w:hint="eastAsia" w:hAnsi="宋体"/>
                <w:sz w:val="24"/>
              </w:rPr>
              <w:t>GB/T 50378-2019</w:t>
            </w:r>
          </w:p>
        </w:tc>
        <w:tc>
          <w:tcPr>
            <w:tcW w:w="2222" w:type="dxa"/>
          </w:tcPr>
          <w:p>
            <w:pPr>
              <w:spacing w:line="360" w:lineRule="auto"/>
              <w:rPr>
                <w:rFonts w:hAnsi="宋体"/>
                <w:sz w:val="24"/>
              </w:rPr>
            </w:pPr>
            <w:r>
              <w:rPr>
                <w:rFonts w:hint="eastAsia" w:hAnsi="宋体"/>
                <w:sz w:val="24"/>
              </w:rPr>
              <w:t>7.2.17.1条</w:t>
            </w:r>
          </w:p>
        </w:tc>
        <w:tc>
          <w:tcPr>
            <w:tcW w:w="3306" w:type="dxa"/>
          </w:tcPr>
          <w:p>
            <w:pPr>
              <w:spacing w:line="360" w:lineRule="auto"/>
              <w:rPr>
                <w:rFonts w:hAnsi="宋体"/>
                <w:sz w:val="24"/>
              </w:rPr>
            </w:pPr>
            <w:r>
              <w:rPr>
                <w:rFonts w:hAnsi="宋体"/>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spacing w:line="360" w:lineRule="auto"/>
              <w:rPr>
                <w:rFonts w:hAnsi="宋体"/>
                <w:sz w:val="24"/>
              </w:rPr>
            </w:pPr>
          </w:p>
        </w:tc>
        <w:tc>
          <w:tcPr>
            <w:tcW w:w="2268" w:type="dxa"/>
            <w:vMerge w:val="restart"/>
          </w:tcPr>
          <w:p>
            <w:pPr>
              <w:spacing w:line="360" w:lineRule="auto"/>
              <w:rPr>
                <w:rFonts w:hAnsi="宋体"/>
                <w:sz w:val="24"/>
              </w:rPr>
            </w:pPr>
            <w:r>
              <w:rPr>
                <w:rFonts w:hint="eastAsia" w:hAnsi="宋体"/>
                <w:sz w:val="24"/>
                <w:lang w:val="en-GB"/>
              </w:rPr>
              <w:t>DB33/1092-2021</w:t>
            </w:r>
          </w:p>
        </w:tc>
        <w:tc>
          <w:tcPr>
            <w:tcW w:w="2222" w:type="dxa"/>
          </w:tcPr>
          <w:p>
            <w:pPr>
              <w:spacing w:line="360" w:lineRule="auto"/>
              <w:rPr>
                <w:rFonts w:hAnsi="宋体"/>
                <w:sz w:val="24"/>
              </w:rPr>
            </w:pPr>
            <w:r>
              <w:rPr>
                <w:rFonts w:hint="eastAsia" w:hAnsi="宋体"/>
                <w:sz w:val="24"/>
              </w:rPr>
              <w:t>6.2.5.1条</w:t>
            </w:r>
          </w:p>
        </w:tc>
        <w:tc>
          <w:tcPr>
            <w:tcW w:w="3306" w:type="dxa"/>
          </w:tcPr>
          <w:p>
            <w:pPr>
              <w:spacing w:line="360" w:lineRule="auto"/>
              <w:rPr>
                <w:rFonts w:hAnsi="宋体"/>
                <w:sz w:val="24"/>
              </w:rPr>
            </w:pPr>
            <w:r>
              <w:rPr>
                <w:rFonts w:hint="eastAsia" w:hAnsi="宋体"/>
                <w:sz w:val="24"/>
                <w:lang w:val="en-GB"/>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268" w:type="dxa"/>
            <w:vMerge w:val="continue"/>
          </w:tcPr>
          <w:p>
            <w:pPr>
              <w:spacing w:line="360" w:lineRule="auto"/>
              <w:rPr>
                <w:rFonts w:hAnsi="宋体"/>
                <w:sz w:val="24"/>
              </w:rPr>
            </w:pPr>
          </w:p>
        </w:tc>
        <w:tc>
          <w:tcPr>
            <w:tcW w:w="2222" w:type="dxa"/>
          </w:tcPr>
          <w:p>
            <w:pPr>
              <w:spacing w:line="360" w:lineRule="auto"/>
              <w:rPr>
                <w:rFonts w:hAnsi="宋体"/>
                <w:sz w:val="24"/>
              </w:rPr>
            </w:pPr>
            <w:r>
              <w:rPr>
                <w:rFonts w:hint="eastAsia" w:hAnsi="宋体"/>
                <w:sz w:val="24"/>
              </w:rPr>
              <w:t>6.4.5条</w:t>
            </w:r>
          </w:p>
        </w:tc>
        <w:tc>
          <w:tcPr>
            <w:tcW w:w="3306" w:type="dxa"/>
          </w:tcPr>
          <w:p>
            <w:pPr>
              <w:spacing w:line="360" w:lineRule="auto"/>
              <w:rPr>
                <w:rFonts w:hAnsi="宋体"/>
                <w:sz w:val="24"/>
                <w:lang w:val="en-GB"/>
              </w:rPr>
            </w:pPr>
            <w:r>
              <w:rPr>
                <w:rFonts w:hint="eastAsia" w:hAnsi="宋体"/>
                <w:sz w:val="24"/>
                <w:lang w:val="en-GB"/>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设计人员依据设计说明、施工图、工程概预算材料清单、各种材料用量比例计算书、各种建筑材料的使用部位及使用量一览表等，根据项目实际选材情况填写本条内容。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int="eastAsia" w:hAnsi="宋体"/>
                <w:sz w:val="24"/>
              </w:rPr>
              <w:t>此条中所指的</w:t>
            </w:r>
            <w:r>
              <w:rPr>
                <w:rFonts w:hint="eastAsia" w:hAnsi="宋体"/>
                <w:sz w:val="24"/>
                <w:lang w:val="en-GB"/>
              </w:rPr>
              <w:t>可再利用材料和可再循环材料</w:t>
            </w:r>
            <w:r>
              <w:rPr>
                <w:rFonts w:hint="eastAsia" w:hAnsi="宋体"/>
                <w:sz w:val="24"/>
              </w:rPr>
              <w:t>为永久性安装在工程中的建筑材料，不包括电梯等设备。可再利用材料和可再循环材料主要指：（1）不改变材料的物质形态的情况下直接进行再利用，或经过简单组合、修复后可直接再利用的材料；（2）需要通过改变物质形态才能实现循环利用的材料；（3）既可以直接再利用又可以回炉后再循环利用的材料。</w:t>
            </w:r>
          </w:p>
          <w:p>
            <w:pPr>
              <w:spacing w:line="360" w:lineRule="auto"/>
              <w:ind w:left="1" w:firstLine="480" w:firstLineChars="200"/>
              <w:rPr>
                <w:rFonts w:hAnsi="宋体"/>
                <w:sz w:val="24"/>
              </w:rPr>
            </w:pPr>
            <w:r>
              <w:rPr>
                <w:rFonts w:hint="eastAsia" w:hAnsi="宋体"/>
                <w:sz w:val="24"/>
              </w:rPr>
              <w:t>由于建筑类型的不同（住宅、公建），对采用可再利用和再循环材料的要求有所区别；由于绿色建筑设计标识等级的不同（一星级、二星级、三星级），对可再利用和再循环材料的用量比例要求有所区别。</w:t>
            </w:r>
          </w:p>
          <w:p>
            <w:pPr>
              <w:spacing w:line="360" w:lineRule="auto"/>
              <w:ind w:firstLine="480" w:firstLineChars="200"/>
              <w:rPr>
                <w:rFonts w:hAnsi="宋体"/>
                <w:sz w:val="24"/>
              </w:rPr>
            </w:pPr>
            <w:r>
              <w:rPr>
                <w:rFonts w:hint="eastAsia" w:hAnsi="宋体"/>
                <w:sz w:val="24"/>
              </w:rPr>
              <w:t>计算可再利用材料和再循环材料用量比例时，分子为申报项目各类可再利用材料和再循环材料重量之和，分母为全部建筑材料总重量。</w:t>
            </w:r>
          </w:p>
          <w:p>
            <w:pPr>
              <w:spacing w:line="360" w:lineRule="auto"/>
              <w:ind w:firstLine="480" w:firstLineChars="200"/>
              <w:rPr>
                <w:rFonts w:hAnsi="宋体"/>
                <w:sz w:val="24"/>
              </w:rPr>
            </w:pPr>
            <w:r>
              <w:rPr>
                <w:rFonts w:hint="eastAsia" w:hAnsi="宋体"/>
                <w:sz w:val="24"/>
              </w:rPr>
              <w:t>本条分值为6分。</w:t>
            </w:r>
          </w:p>
        </w:tc>
      </w:tr>
    </w:tbl>
    <w:p>
      <w:pPr>
        <w:pStyle w:val="17"/>
        <w:spacing w:line="360" w:lineRule="auto"/>
        <w:rPr>
          <w:rFonts w:hAnsi="宋体"/>
          <w:sz w:val="24"/>
        </w:rPr>
      </w:pPr>
    </w:p>
    <w:p>
      <w:pPr>
        <w:pStyle w:val="17"/>
        <w:spacing w:line="360" w:lineRule="auto"/>
        <w:rPr>
          <w:rFonts w:hAnsi="宋体"/>
          <w:sz w:val="24"/>
          <w:lang w:val="en-GB"/>
        </w:rPr>
      </w:pPr>
      <w:r>
        <w:rPr>
          <w:rFonts w:hint="eastAsia" w:hAnsi="宋体"/>
          <w:sz w:val="24"/>
          <w:lang w:val="en-GB"/>
        </w:rPr>
        <w:t>10、采用以各种废弃物为原料生产的建筑材料；</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2364"/>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126" w:type="dxa"/>
          </w:tcPr>
          <w:p>
            <w:pPr>
              <w:spacing w:line="360" w:lineRule="auto"/>
              <w:rPr>
                <w:rFonts w:hAnsi="宋体"/>
                <w:sz w:val="24"/>
              </w:rPr>
            </w:pPr>
            <w:r>
              <w:rPr>
                <w:rFonts w:hint="eastAsia" w:hAnsi="宋体"/>
                <w:sz w:val="24"/>
              </w:rPr>
              <w:t>GB/T 50378-2019</w:t>
            </w:r>
          </w:p>
        </w:tc>
        <w:tc>
          <w:tcPr>
            <w:tcW w:w="2364" w:type="dxa"/>
          </w:tcPr>
          <w:p>
            <w:pPr>
              <w:spacing w:line="360" w:lineRule="auto"/>
              <w:rPr>
                <w:rFonts w:hAnsi="宋体"/>
                <w:sz w:val="24"/>
              </w:rPr>
            </w:pPr>
            <w:r>
              <w:rPr>
                <w:rFonts w:hint="eastAsia" w:hAnsi="宋体"/>
                <w:sz w:val="24"/>
              </w:rPr>
              <w:t>7.2.17.2条</w:t>
            </w:r>
          </w:p>
        </w:tc>
        <w:tc>
          <w:tcPr>
            <w:tcW w:w="3306" w:type="dxa"/>
          </w:tcPr>
          <w:p>
            <w:pPr>
              <w:spacing w:line="360" w:lineRule="auto"/>
              <w:rPr>
                <w:rFonts w:hAnsi="宋体"/>
                <w:sz w:val="24"/>
              </w:rPr>
            </w:pPr>
            <w:r>
              <w:rPr>
                <w:rFonts w:hAnsi="宋体"/>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spacing w:line="360" w:lineRule="auto"/>
              <w:rPr>
                <w:rFonts w:hAnsi="宋体"/>
                <w:sz w:val="24"/>
              </w:rPr>
            </w:pPr>
          </w:p>
        </w:tc>
        <w:tc>
          <w:tcPr>
            <w:tcW w:w="2126" w:type="dxa"/>
          </w:tcPr>
          <w:p>
            <w:pPr>
              <w:spacing w:line="360" w:lineRule="auto"/>
              <w:rPr>
                <w:rFonts w:hAnsi="宋体"/>
                <w:sz w:val="24"/>
              </w:rPr>
            </w:pPr>
            <w:r>
              <w:rPr>
                <w:rFonts w:hint="eastAsia" w:hAnsi="宋体"/>
                <w:sz w:val="24"/>
                <w:lang w:val="en-GB"/>
              </w:rPr>
              <w:t>DB33/1092-2021</w:t>
            </w:r>
          </w:p>
        </w:tc>
        <w:tc>
          <w:tcPr>
            <w:tcW w:w="2364" w:type="dxa"/>
          </w:tcPr>
          <w:p>
            <w:pPr>
              <w:spacing w:line="360" w:lineRule="auto"/>
              <w:rPr>
                <w:rFonts w:hAnsi="宋体"/>
                <w:sz w:val="24"/>
              </w:rPr>
            </w:pPr>
            <w:r>
              <w:rPr>
                <w:rFonts w:hint="eastAsia" w:hAnsi="宋体"/>
                <w:sz w:val="24"/>
              </w:rPr>
              <w:t>6.2.5.2条</w:t>
            </w:r>
          </w:p>
        </w:tc>
        <w:tc>
          <w:tcPr>
            <w:tcW w:w="3306" w:type="dxa"/>
          </w:tcPr>
          <w:p>
            <w:pPr>
              <w:spacing w:line="360" w:lineRule="auto"/>
              <w:rPr>
                <w:rFonts w:hAnsi="宋体"/>
                <w:sz w:val="24"/>
              </w:rPr>
            </w:pPr>
            <w:r>
              <w:rPr>
                <w:rFonts w:hint="eastAsia" w:hAnsi="宋体"/>
                <w:sz w:val="24"/>
                <w:lang w:val="en-GB"/>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设计人员依据设计说明、施工图、工程概预算材料清单、各种材料用量比例计算书、各种建筑材料的使用部位及使用量一览表等，根据项目实际选材情况填写本条内容。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lang w:val="en-GB"/>
              </w:rPr>
            </w:pPr>
            <w:r>
              <w:rPr>
                <w:rFonts w:hint="eastAsia" w:hAnsi="宋体"/>
                <w:sz w:val="24"/>
                <w:lang w:val="en-GB"/>
              </w:rPr>
              <w:t>以废弃物为原料生产的建筑材料，是指在满足安全和使用性能的前提下，使用废弃物等作为原材料生产出的建筑材料，其中废弃物主要包括建筑废弃物、工业废料和生活废弃物。在满足使用性能的前提下，鼓励利用建筑废弃混凝土生产再生骨料，制作成混凝土砌块、水泥制品或配制再生混凝土；鼓励利用工业废料、农作物秸秆、建筑垃圾、淤泥为原料制作成水泥、混凝土、墙体材料、保温材料等建筑材料；鼓励以工业副产品石膏制作成石膏制品；鼓励使用生活废弃物经处理后制成的建筑材料。</w:t>
            </w:r>
          </w:p>
          <w:p>
            <w:pPr>
              <w:spacing w:line="360" w:lineRule="auto"/>
              <w:ind w:firstLine="480" w:firstLineChars="200"/>
              <w:rPr>
                <w:rFonts w:hAnsi="宋体"/>
                <w:sz w:val="24"/>
                <w:lang w:val="en-GB"/>
              </w:rPr>
            </w:pPr>
            <w:r>
              <w:rPr>
                <w:rFonts w:hint="eastAsia" w:hAnsi="宋体"/>
                <w:sz w:val="24"/>
                <w:lang w:val="en-GB"/>
              </w:rPr>
              <w:t>计算利废材料建材用量比例时，分子为某种利废建材重量，分母为该种利废建材所属的同类材料的总重量。</w:t>
            </w:r>
          </w:p>
          <w:p>
            <w:pPr>
              <w:spacing w:line="360" w:lineRule="auto"/>
              <w:ind w:firstLine="480" w:firstLineChars="200"/>
              <w:rPr>
                <w:rFonts w:hAnsi="宋体"/>
                <w:sz w:val="24"/>
              </w:rPr>
            </w:pPr>
            <w:r>
              <w:rPr>
                <w:rFonts w:hint="eastAsia" w:hAnsi="宋体"/>
                <w:sz w:val="24"/>
              </w:rPr>
              <w:t>本条分值为6分。</w:t>
            </w:r>
          </w:p>
        </w:tc>
      </w:tr>
    </w:tbl>
    <w:p>
      <w:pPr>
        <w:pStyle w:val="17"/>
        <w:spacing w:line="360" w:lineRule="auto"/>
        <w:rPr>
          <w:rFonts w:hAnsi="宋体"/>
          <w:sz w:val="24"/>
        </w:rPr>
      </w:pPr>
    </w:p>
    <w:p>
      <w:pPr>
        <w:pStyle w:val="17"/>
        <w:spacing w:line="360" w:lineRule="auto"/>
        <w:rPr>
          <w:rFonts w:hAnsi="宋体"/>
          <w:sz w:val="24"/>
          <w:lang w:val="en-GB"/>
        </w:rPr>
      </w:pPr>
      <w:r>
        <w:rPr>
          <w:rFonts w:hint="eastAsia" w:hAnsi="宋体"/>
          <w:sz w:val="24"/>
          <w:lang w:val="en-GB"/>
        </w:rPr>
        <w:t>11、采用绿色建材；</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2222"/>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268" w:type="dxa"/>
          </w:tcPr>
          <w:p>
            <w:pPr>
              <w:spacing w:line="360" w:lineRule="auto"/>
              <w:rPr>
                <w:rFonts w:hAnsi="宋体"/>
                <w:sz w:val="24"/>
              </w:rPr>
            </w:pPr>
            <w:r>
              <w:rPr>
                <w:rFonts w:hint="eastAsia" w:hAnsi="宋体"/>
                <w:sz w:val="24"/>
              </w:rPr>
              <w:t>GB/T 50378-2019</w:t>
            </w:r>
          </w:p>
        </w:tc>
        <w:tc>
          <w:tcPr>
            <w:tcW w:w="2222" w:type="dxa"/>
          </w:tcPr>
          <w:p>
            <w:pPr>
              <w:spacing w:line="360" w:lineRule="auto"/>
              <w:rPr>
                <w:rFonts w:hAnsi="宋体"/>
                <w:sz w:val="24"/>
              </w:rPr>
            </w:pPr>
            <w:r>
              <w:rPr>
                <w:rFonts w:hint="eastAsia" w:hAnsi="宋体"/>
                <w:sz w:val="24"/>
              </w:rPr>
              <w:t>7.2.18条</w:t>
            </w:r>
          </w:p>
        </w:tc>
        <w:tc>
          <w:tcPr>
            <w:tcW w:w="3306" w:type="dxa"/>
          </w:tcPr>
          <w:p>
            <w:pPr>
              <w:spacing w:line="360" w:lineRule="auto"/>
              <w:rPr>
                <w:rFonts w:hAnsi="宋体"/>
                <w:sz w:val="24"/>
              </w:rPr>
            </w:pPr>
            <w:r>
              <w:rPr>
                <w:rFonts w:hAnsi="宋体"/>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spacing w:line="360" w:lineRule="auto"/>
              <w:rPr>
                <w:rFonts w:hAnsi="宋体"/>
                <w:sz w:val="24"/>
              </w:rPr>
            </w:pPr>
          </w:p>
        </w:tc>
        <w:tc>
          <w:tcPr>
            <w:tcW w:w="2268" w:type="dxa"/>
            <w:vMerge w:val="restart"/>
          </w:tcPr>
          <w:p>
            <w:pPr>
              <w:spacing w:line="360" w:lineRule="auto"/>
              <w:rPr>
                <w:rFonts w:hAnsi="宋体"/>
                <w:sz w:val="24"/>
              </w:rPr>
            </w:pPr>
            <w:r>
              <w:rPr>
                <w:rFonts w:hint="eastAsia" w:hAnsi="宋体"/>
                <w:sz w:val="24"/>
                <w:lang w:val="en-GB"/>
              </w:rPr>
              <w:t>DB33/1092-2021</w:t>
            </w:r>
          </w:p>
        </w:tc>
        <w:tc>
          <w:tcPr>
            <w:tcW w:w="2222" w:type="dxa"/>
          </w:tcPr>
          <w:p>
            <w:pPr>
              <w:spacing w:line="360" w:lineRule="auto"/>
              <w:rPr>
                <w:rFonts w:hAnsi="宋体"/>
                <w:sz w:val="24"/>
              </w:rPr>
            </w:pPr>
            <w:r>
              <w:rPr>
                <w:rFonts w:hint="eastAsia" w:hAnsi="宋体"/>
                <w:sz w:val="24"/>
              </w:rPr>
              <w:t>6.2.5.5条</w:t>
            </w:r>
          </w:p>
        </w:tc>
        <w:tc>
          <w:tcPr>
            <w:tcW w:w="3306" w:type="dxa"/>
          </w:tcPr>
          <w:p>
            <w:pPr>
              <w:spacing w:line="360" w:lineRule="auto"/>
              <w:rPr>
                <w:rFonts w:hAnsi="宋体"/>
                <w:sz w:val="24"/>
              </w:rPr>
            </w:pPr>
            <w:r>
              <w:rPr>
                <w:rFonts w:hint="eastAsia" w:hAnsi="宋体"/>
                <w:sz w:val="24"/>
                <w:lang w:val="en-GB"/>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spacing w:line="360" w:lineRule="auto"/>
              <w:rPr>
                <w:rFonts w:hAnsi="宋体"/>
                <w:sz w:val="24"/>
              </w:rPr>
            </w:pPr>
          </w:p>
        </w:tc>
        <w:tc>
          <w:tcPr>
            <w:tcW w:w="2268" w:type="dxa"/>
            <w:vMerge w:val="continue"/>
          </w:tcPr>
          <w:p>
            <w:pPr>
              <w:spacing w:line="360" w:lineRule="auto"/>
              <w:rPr>
                <w:rFonts w:hAnsi="宋体"/>
                <w:sz w:val="24"/>
              </w:rPr>
            </w:pPr>
          </w:p>
        </w:tc>
        <w:tc>
          <w:tcPr>
            <w:tcW w:w="2222" w:type="dxa"/>
          </w:tcPr>
          <w:p>
            <w:pPr>
              <w:spacing w:line="360" w:lineRule="auto"/>
              <w:rPr>
                <w:rFonts w:hAnsi="宋体"/>
                <w:sz w:val="24"/>
              </w:rPr>
            </w:pPr>
            <w:r>
              <w:rPr>
                <w:rFonts w:hint="eastAsia" w:hAnsi="宋体"/>
                <w:sz w:val="24"/>
              </w:rPr>
              <w:t>6.4.6条</w:t>
            </w:r>
          </w:p>
        </w:tc>
        <w:tc>
          <w:tcPr>
            <w:tcW w:w="3306" w:type="dxa"/>
          </w:tcPr>
          <w:p>
            <w:pPr>
              <w:spacing w:line="360" w:lineRule="auto"/>
              <w:rPr>
                <w:rFonts w:hAnsi="宋体"/>
                <w:sz w:val="24"/>
                <w:lang w:val="en-GB"/>
              </w:rPr>
            </w:pPr>
            <w:r>
              <w:rPr>
                <w:rFonts w:hint="eastAsia" w:hAnsi="宋体"/>
                <w:sz w:val="24"/>
                <w:lang w:val="en-GB"/>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Ansi="宋体"/>
                <w:sz w:val="24"/>
              </w:rPr>
              <w:t>设计人员依据设计说明</w:t>
            </w:r>
            <w:r>
              <w:rPr>
                <w:rFonts w:hint="eastAsia" w:hAnsi="宋体"/>
                <w:sz w:val="24"/>
              </w:rPr>
              <w:t>、</w:t>
            </w:r>
            <w:r>
              <w:rPr>
                <w:rFonts w:hAnsi="宋体"/>
                <w:sz w:val="24"/>
              </w:rPr>
              <w:t>施工图</w:t>
            </w:r>
            <w:r>
              <w:rPr>
                <w:rFonts w:hint="eastAsia" w:hAnsi="宋体"/>
                <w:sz w:val="24"/>
              </w:rPr>
              <w:t>、</w:t>
            </w:r>
            <w:r>
              <w:rPr>
                <w:rFonts w:hAnsi="宋体"/>
                <w:sz w:val="24"/>
              </w:rPr>
              <w:t>工程概预算材料清单等设计文件</w:t>
            </w:r>
            <w:r>
              <w:rPr>
                <w:rFonts w:hint="eastAsia" w:hAnsi="宋体"/>
                <w:sz w:val="24"/>
              </w:rPr>
              <w:t>，</w:t>
            </w:r>
            <w:r>
              <w:rPr>
                <w:rFonts w:hAnsi="宋体"/>
                <w:sz w:val="24"/>
              </w:rPr>
              <w:t>绿色建材应用比例计算分析报告等</w:t>
            </w:r>
            <w:r>
              <w:rPr>
                <w:rFonts w:hint="eastAsia" w:hAnsi="宋体"/>
                <w:sz w:val="24"/>
              </w:rPr>
              <w:t>，根据项目实际选材情况填写本条内容。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Ansi="宋体"/>
                <w:sz w:val="24"/>
              </w:rPr>
              <w:t>本条所指绿色建材需通过相关评价论证</w:t>
            </w:r>
            <w:r>
              <w:rPr>
                <w:rFonts w:hint="eastAsia" w:hAnsi="宋体"/>
                <w:sz w:val="24"/>
              </w:rPr>
              <w:t>。</w:t>
            </w:r>
          </w:p>
          <w:p>
            <w:pPr>
              <w:spacing w:line="360" w:lineRule="auto"/>
              <w:ind w:firstLine="480" w:firstLineChars="200"/>
              <w:rPr>
                <w:rFonts w:hAnsi="宋体"/>
                <w:sz w:val="24"/>
              </w:rPr>
            </w:pPr>
            <w:r>
              <w:rPr>
                <w:rFonts w:hint="eastAsia" w:hAnsi="宋体"/>
                <w:sz w:val="24"/>
              </w:rPr>
              <w:t>根据GB/T 50378-2019第7.2.18条条文说明，绿色建材计算项分为：主体结构、围护墙和内隔墙、装修材料、其它材料四种类型，本专篇结构专业主要涉及其中的主体结构、围护墙和内隔墙两种类型。</w:t>
            </w:r>
          </w:p>
          <w:p>
            <w:pPr>
              <w:spacing w:line="360" w:lineRule="auto"/>
              <w:ind w:firstLine="480" w:firstLineChars="200"/>
              <w:rPr>
                <w:rFonts w:hAnsi="宋体"/>
                <w:sz w:val="24"/>
              </w:rPr>
            </w:pPr>
            <w:r>
              <w:rPr>
                <w:rFonts w:hint="eastAsia" w:hAnsi="宋体"/>
                <w:sz w:val="24"/>
              </w:rPr>
              <w:t>绿色建材使用比例计算表和计算公式参见GB/T 50378-2019第7.2.18条条文说明。</w:t>
            </w:r>
          </w:p>
          <w:p>
            <w:pPr>
              <w:spacing w:line="360" w:lineRule="auto"/>
              <w:ind w:firstLine="480" w:firstLineChars="200"/>
              <w:rPr>
                <w:rFonts w:hAnsi="宋体"/>
                <w:sz w:val="24"/>
              </w:rPr>
            </w:pPr>
            <w:r>
              <w:rPr>
                <w:rFonts w:hint="eastAsia" w:hAnsi="宋体"/>
                <w:sz w:val="24"/>
              </w:rPr>
              <w:t>本条分值为12分。</w:t>
            </w:r>
          </w:p>
        </w:tc>
      </w:tr>
    </w:tbl>
    <w:p>
      <w:pPr>
        <w:pStyle w:val="17"/>
        <w:spacing w:line="360" w:lineRule="auto"/>
        <w:rPr>
          <w:rFonts w:hAnsi="宋体"/>
          <w:sz w:val="24"/>
        </w:rPr>
      </w:pPr>
    </w:p>
    <w:p>
      <w:pPr>
        <w:pStyle w:val="17"/>
        <w:spacing w:line="360" w:lineRule="auto"/>
        <w:rPr>
          <w:rFonts w:hAnsi="宋体"/>
          <w:sz w:val="24"/>
        </w:rPr>
      </w:pPr>
      <w:r>
        <w:rPr>
          <w:rFonts w:hint="eastAsia" w:hAnsi="宋体"/>
          <w:sz w:val="24"/>
        </w:rPr>
        <w:t>12、采用符合工业化建造要求的结构体系与建筑构件；</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2222"/>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268" w:type="dxa"/>
          </w:tcPr>
          <w:p>
            <w:pPr>
              <w:spacing w:line="360" w:lineRule="auto"/>
              <w:rPr>
                <w:rFonts w:hAnsi="宋体"/>
                <w:sz w:val="24"/>
              </w:rPr>
            </w:pPr>
            <w:r>
              <w:rPr>
                <w:rFonts w:hint="eastAsia" w:hAnsi="宋体"/>
                <w:sz w:val="24"/>
              </w:rPr>
              <w:t>GB/T 50378-2019</w:t>
            </w:r>
          </w:p>
        </w:tc>
        <w:tc>
          <w:tcPr>
            <w:tcW w:w="2222" w:type="dxa"/>
          </w:tcPr>
          <w:p>
            <w:pPr>
              <w:spacing w:line="360" w:lineRule="auto"/>
              <w:rPr>
                <w:rFonts w:hAnsi="宋体"/>
                <w:sz w:val="24"/>
              </w:rPr>
            </w:pPr>
            <w:r>
              <w:rPr>
                <w:rFonts w:hint="eastAsia" w:hAnsi="宋体"/>
                <w:sz w:val="24"/>
              </w:rPr>
              <w:t>9.2.5条</w:t>
            </w:r>
          </w:p>
        </w:tc>
        <w:tc>
          <w:tcPr>
            <w:tcW w:w="3306" w:type="dxa"/>
          </w:tcPr>
          <w:p>
            <w:pPr>
              <w:spacing w:line="360" w:lineRule="auto"/>
              <w:rPr>
                <w:rFonts w:hAnsi="宋体"/>
                <w:sz w:val="24"/>
              </w:rPr>
            </w:pPr>
            <w:r>
              <w:rPr>
                <w:rFonts w:hAnsi="宋体"/>
                <w:sz w:val="24"/>
              </w:rPr>
              <w:t>加分项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spacing w:line="360" w:lineRule="auto"/>
              <w:rPr>
                <w:rFonts w:hAnsi="宋体"/>
                <w:sz w:val="24"/>
              </w:rPr>
            </w:pPr>
          </w:p>
        </w:tc>
        <w:tc>
          <w:tcPr>
            <w:tcW w:w="2268" w:type="dxa"/>
            <w:vMerge w:val="restart"/>
          </w:tcPr>
          <w:p>
            <w:pPr>
              <w:spacing w:line="360" w:lineRule="auto"/>
              <w:rPr>
                <w:rFonts w:hAnsi="宋体"/>
                <w:sz w:val="24"/>
              </w:rPr>
            </w:pPr>
            <w:r>
              <w:rPr>
                <w:rFonts w:hint="eastAsia" w:hAnsi="宋体"/>
                <w:sz w:val="24"/>
                <w:lang w:val="en-GB"/>
              </w:rPr>
              <w:t>DB33/1092-2021</w:t>
            </w:r>
          </w:p>
        </w:tc>
        <w:tc>
          <w:tcPr>
            <w:tcW w:w="2222" w:type="dxa"/>
          </w:tcPr>
          <w:p>
            <w:pPr>
              <w:spacing w:line="360" w:lineRule="auto"/>
              <w:rPr>
                <w:rFonts w:hAnsi="宋体"/>
                <w:sz w:val="24"/>
              </w:rPr>
            </w:pPr>
            <w:r>
              <w:rPr>
                <w:rFonts w:hint="eastAsia" w:hAnsi="宋体"/>
                <w:sz w:val="24"/>
              </w:rPr>
              <w:t>6.2.1.4条</w:t>
            </w:r>
          </w:p>
        </w:tc>
        <w:tc>
          <w:tcPr>
            <w:tcW w:w="3306" w:type="dxa"/>
          </w:tcPr>
          <w:p>
            <w:pPr>
              <w:spacing w:line="360" w:lineRule="auto"/>
              <w:rPr>
                <w:rFonts w:hAnsi="宋体"/>
                <w:sz w:val="24"/>
              </w:rPr>
            </w:pPr>
            <w:r>
              <w:rPr>
                <w:rFonts w:hint="eastAsia" w:hAnsi="宋体"/>
                <w:sz w:val="24"/>
                <w:lang w:val="en-GB"/>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spacing w:line="360" w:lineRule="auto"/>
              <w:rPr>
                <w:rFonts w:hAnsi="宋体"/>
                <w:sz w:val="24"/>
              </w:rPr>
            </w:pPr>
          </w:p>
        </w:tc>
        <w:tc>
          <w:tcPr>
            <w:tcW w:w="2268" w:type="dxa"/>
            <w:vMerge w:val="continue"/>
          </w:tcPr>
          <w:p>
            <w:pPr>
              <w:spacing w:line="360" w:lineRule="auto"/>
              <w:rPr>
                <w:rFonts w:hAnsi="宋体"/>
                <w:sz w:val="24"/>
              </w:rPr>
            </w:pPr>
          </w:p>
        </w:tc>
        <w:tc>
          <w:tcPr>
            <w:tcW w:w="2222" w:type="dxa"/>
          </w:tcPr>
          <w:p>
            <w:pPr>
              <w:spacing w:line="360" w:lineRule="auto"/>
              <w:rPr>
                <w:rFonts w:hAnsi="宋体"/>
                <w:sz w:val="24"/>
              </w:rPr>
            </w:pPr>
            <w:r>
              <w:rPr>
                <w:rFonts w:hint="eastAsia" w:hAnsi="宋体"/>
                <w:sz w:val="24"/>
              </w:rPr>
              <w:t>6.4.2条</w:t>
            </w:r>
          </w:p>
        </w:tc>
        <w:tc>
          <w:tcPr>
            <w:tcW w:w="3306" w:type="dxa"/>
          </w:tcPr>
          <w:p>
            <w:pPr>
              <w:spacing w:line="360" w:lineRule="auto"/>
              <w:rPr>
                <w:rFonts w:hAnsi="宋体"/>
                <w:sz w:val="24"/>
                <w:lang w:val="en-GB"/>
              </w:rPr>
            </w:pPr>
            <w:r>
              <w:rPr>
                <w:rFonts w:hint="eastAsia" w:hAnsi="宋体"/>
                <w:sz w:val="24"/>
                <w:lang w:val="en-GB"/>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384" w:type="dxa"/>
            <w:vMerge w:val="continue"/>
          </w:tcPr>
          <w:p>
            <w:pPr>
              <w:spacing w:line="360" w:lineRule="auto"/>
              <w:rPr>
                <w:rFonts w:hAnsi="宋体"/>
                <w:sz w:val="24"/>
              </w:rPr>
            </w:pPr>
          </w:p>
        </w:tc>
        <w:tc>
          <w:tcPr>
            <w:tcW w:w="2268" w:type="dxa"/>
          </w:tcPr>
          <w:p>
            <w:pPr>
              <w:spacing w:line="360" w:lineRule="auto"/>
              <w:rPr>
                <w:rFonts w:hAnsi="宋体"/>
                <w:sz w:val="24"/>
              </w:rPr>
            </w:pPr>
            <w:r>
              <w:rPr>
                <w:rFonts w:hint="eastAsia" w:hAnsi="宋体"/>
                <w:sz w:val="24"/>
              </w:rPr>
              <w:t>DB33/T1165-2019</w:t>
            </w:r>
          </w:p>
        </w:tc>
        <w:tc>
          <w:tcPr>
            <w:tcW w:w="2222" w:type="dxa"/>
          </w:tcPr>
          <w:p>
            <w:pPr>
              <w:spacing w:line="360" w:lineRule="auto"/>
              <w:rPr>
                <w:rFonts w:hAnsi="宋体"/>
                <w:sz w:val="24"/>
              </w:rPr>
            </w:pPr>
            <w:r>
              <w:rPr>
                <w:rFonts w:hint="eastAsia" w:hAnsi="宋体"/>
                <w:sz w:val="24"/>
              </w:rPr>
              <w:t>2.0.2条</w:t>
            </w:r>
          </w:p>
        </w:tc>
        <w:tc>
          <w:tcPr>
            <w:tcW w:w="3306" w:type="dxa"/>
          </w:tcPr>
          <w:p>
            <w:pPr>
              <w:spacing w:line="360" w:lineRule="auto"/>
              <w:rPr>
                <w:rFonts w:hAnsi="宋体"/>
                <w:sz w:val="24"/>
                <w:lang w:val="en-GB"/>
              </w:rPr>
            </w:pPr>
            <w:r>
              <w:rPr>
                <w:rFonts w:hint="eastAsia" w:hAnsi="宋体"/>
                <w:sz w:val="24"/>
              </w:rPr>
              <w:t>术语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设计人员应对照项目设计说明、施工图、计算书等，根据项目实际填写本条内容。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firstLine="480" w:firstLineChars="200"/>
              <w:rPr>
                <w:rFonts w:hAnsi="宋体"/>
                <w:sz w:val="24"/>
              </w:rPr>
            </w:pPr>
            <w:r>
              <w:rPr>
                <w:rFonts w:hint="eastAsia" w:hAnsi="宋体"/>
                <w:sz w:val="24"/>
              </w:rPr>
              <w:t>本条针对GB/T 50378-2019第9.2.5条加分项进行编制，考虑到GB/T 50378-2019的评价方式和计算口径与DB33/T1165-2019有区别，并基于本省在实际操作中设计人员和审查机构一般均以DB33/T1165-2019为依据，故在本专篇填写时，评价方式和计算口径按DB33/T1165-2019执行。</w:t>
            </w:r>
          </w:p>
          <w:p>
            <w:pPr>
              <w:spacing w:line="360" w:lineRule="auto"/>
              <w:ind w:left="34" w:hanging="33" w:hangingChars="14"/>
              <w:rPr>
                <w:rFonts w:hAnsi="宋体"/>
                <w:sz w:val="24"/>
              </w:rPr>
            </w:pPr>
            <w:r>
              <w:rPr>
                <w:rFonts w:hint="eastAsia" w:hAnsi="宋体"/>
                <w:sz w:val="24"/>
              </w:rPr>
              <w:t>对于钢结构、木结构建筑，可认为条款直接满足；对于砌体结构建筑，本条款不填写；对于装配式混凝土结构，要求对照DB33/T1165-2019表4.0.1计算主体结构指标实际评价分值，并与其它专业涉及的评分模块汇总后计算出装配率，当装配率达到DB33/T1165-2019要求时，可以得10分。</w:t>
            </w:r>
          </w:p>
          <w:p>
            <w:pPr>
              <w:spacing w:line="360" w:lineRule="auto"/>
              <w:rPr>
                <w:rFonts w:hAnsi="宋体"/>
                <w:sz w:val="24"/>
              </w:rPr>
            </w:pPr>
            <w:r>
              <w:rPr>
                <w:rFonts w:hint="eastAsia" w:hAnsi="宋体"/>
                <w:sz w:val="24"/>
              </w:rPr>
              <w:t>本条分值为10分。</w:t>
            </w:r>
          </w:p>
        </w:tc>
      </w:tr>
    </w:tbl>
    <w:p>
      <w:pPr>
        <w:pStyle w:val="17"/>
        <w:spacing w:line="360" w:lineRule="auto"/>
        <w:rPr>
          <w:rFonts w:hAnsi="宋体"/>
          <w:sz w:val="24"/>
        </w:rPr>
      </w:pPr>
    </w:p>
    <w:p>
      <w:pPr>
        <w:pStyle w:val="17"/>
        <w:spacing w:line="360" w:lineRule="auto"/>
        <w:rPr>
          <w:rFonts w:hAnsi="宋体"/>
          <w:sz w:val="24"/>
          <w:lang w:val="en-GB"/>
        </w:rPr>
      </w:pPr>
      <w:r>
        <w:rPr>
          <w:rFonts w:hint="eastAsia" w:hAnsi="宋体"/>
          <w:sz w:val="24"/>
          <w:lang w:val="en-GB"/>
        </w:rPr>
        <w:t>13：采取了与主体结构设计使用年限和使用环境相适应的结构耐久性设计措施；</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2222"/>
        <w:gridCol w:w="33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tcPr>
          <w:p>
            <w:pPr>
              <w:spacing w:line="360" w:lineRule="auto"/>
              <w:rPr>
                <w:rFonts w:hAnsi="宋体"/>
                <w:sz w:val="24"/>
              </w:rPr>
            </w:pPr>
          </w:p>
        </w:tc>
        <w:tc>
          <w:tcPr>
            <w:tcW w:w="2268" w:type="dxa"/>
          </w:tcPr>
          <w:p>
            <w:pPr>
              <w:spacing w:line="360" w:lineRule="auto"/>
              <w:rPr>
                <w:rFonts w:hAnsi="宋体"/>
                <w:sz w:val="24"/>
              </w:rPr>
            </w:pPr>
            <w:r>
              <w:rPr>
                <w:rFonts w:hint="eastAsia" w:hAnsi="宋体"/>
                <w:sz w:val="24"/>
                <w:lang w:val="en-GB"/>
              </w:rPr>
              <w:t>DB33/1092-2021</w:t>
            </w:r>
          </w:p>
        </w:tc>
        <w:tc>
          <w:tcPr>
            <w:tcW w:w="2222" w:type="dxa"/>
          </w:tcPr>
          <w:p>
            <w:pPr>
              <w:spacing w:line="360" w:lineRule="auto"/>
              <w:rPr>
                <w:rFonts w:hAnsi="宋体"/>
                <w:sz w:val="24"/>
              </w:rPr>
            </w:pPr>
            <w:r>
              <w:rPr>
                <w:rFonts w:hint="eastAsia" w:hAnsi="宋体"/>
                <w:sz w:val="24"/>
              </w:rPr>
              <w:t>6.1.3条</w:t>
            </w:r>
          </w:p>
        </w:tc>
        <w:tc>
          <w:tcPr>
            <w:tcW w:w="3306" w:type="dxa"/>
          </w:tcPr>
          <w:p>
            <w:pPr>
              <w:spacing w:line="360" w:lineRule="auto"/>
              <w:rPr>
                <w:rFonts w:hAnsi="宋体"/>
                <w:sz w:val="24"/>
              </w:rPr>
            </w:pPr>
            <w:r>
              <w:rPr>
                <w:rFonts w:hint="eastAsia" w:hAnsi="宋体"/>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7796" w:type="dxa"/>
            <w:gridSpan w:val="3"/>
          </w:tcPr>
          <w:p>
            <w:pPr>
              <w:spacing w:line="360" w:lineRule="auto"/>
              <w:ind w:left="1" w:firstLine="480" w:firstLineChars="200"/>
              <w:rPr>
                <w:rFonts w:hAnsi="宋体"/>
                <w:sz w:val="24"/>
              </w:rPr>
            </w:pPr>
            <w:r>
              <w:rPr>
                <w:rFonts w:hint="eastAsia" w:hAnsi="宋体"/>
                <w:sz w:val="24"/>
              </w:rPr>
              <w:t>设计人员应对照项目设计文件、结构计算书，根据项目实际填写本条内容。</w:t>
            </w:r>
          </w:p>
          <w:p>
            <w:pPr>
              <w:spacing w:line="360" w:lineRule="auto"/>
              <w:ind w:firstLine="480" w:firstLineChars="200"/>
              <w:rPr>
                <w:rFonts w:hAnsi="宋体"/>
                <w:sz w:val="24"/>
              </w:rPr>
            </w:pPr>
            <w:r>
              <w:rPr>
                <w:rFonts w:hint="eastAsia" w:hAnsi="宋体"/>
                <w:sz w:val="24"/>
              </w:rPr>
              <w:t>结构构件的抗力及耐久性应满足相应设计使用年限的要求，并根据使用环境确定相应的环境类别，采取相应的提高结构耐久性和防腐蚀措施。</w:t>
            </w:r>
          </w:p>
          <w:p>
            <w:pPr>
              <w:spacing w:line="360" w:lineRule="auto"/>
              <w:ind w:left="1" w:firstLine="480" w:firstLineChars="200"/>
              <w:rPr>
                <w:rFonts w:hAnsi="宋体"/>
                <w:sz w:val="24"/>
              </w:rPr>
            </w:pPr>
            <w:r>
              <w:rPr>
                <w:rFonts w:hint="eastAsia" w:hAnsi="宋体"/>
                <w:sz w:val="24"/>
                <w:lang w:val="en-GB"/>
              </w:rPr>
              <w:t>此条款为DB33/1092-2021一般规定，必须达标。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7796" w:type="dxa"/>
            <w:gridSpan w:val="3"/>
          </w:tcPr>
          <w:p>
            <w:pPr>
              <w:spacing w:line="360" w:lineRule="auto"/>
              <w:ind w:left="360" w:hanging="360" w:hangingChars="150"/>
              <w:rPr>
                <w:rFonts w:hAnsi="宋体"/>
                <w:sz w:val="24"/>
              </w:rPr>
            </w:pPr>
          </w:p>
        </w:tc>
      </w:tr>
    </w:tbl>
    <w:p>
      <w:pPr>
        <w:pStyle w:val="17"/>
        <w:rPr>
          <w:rFonts w:hAnsi="宋体"/>
          <w:sz w:val="18"/>
          <w:szCs w:val="18"/>
        </w:rPr>
      </w:pPr>
    </w:p>
    <w:p>
      <w:pPr>
        <w:widowControl/>
        <w:jc w:val="left"/>
        <w:rPr>
          <w:rFonts w:hAnsi="宋体"/>
          <w:b/>
          <w:bCs/>
          <w:kern w:val="0"/>
          <w:sz w:val="24"/>
        </w:rPr>
      </w:pPr>
      <w:r>
        <w:rPr>
          <w:rFonts w:hAnsi="宋体"/>
          <w:b/>
          <w:bCs/>
          <w:kern w:val="0"/>
          <w:sz w:val="24"/>
        </w:rPr>
        <w:br w:type="page"/>
      </w:r>
    </w:p>
    <w:p>
      <w:pPr>
        <w:pStyle w:val="4"/>
        <w:jc w:val="center"/>
      </w:pPr>
      <w:bookmarkStart w:id="48" w:name="_Toc109325918"/>
      <w:bookmarkStart w:id="49" w:name="_Toc113029283"/>
      <w:r>
        <w:rPr>
          <w:rFonts w:hint="eastAsia"/>
        </w:rPr>
        <w:t>3.4 给排水专业填写说明</w:t>
      </w:r>
      <w:bookmarkEnd w:id="48"/>
      <w:bookmarkEnd w:id="49"/>
    </w:p>
    <w:p>
      <w:pPr>
        <w:spacing w:line="240" w:lineRule="atLeast"/>
        <w:ind w:firstLine="420"/>
        <w:rPr>
          <w:rFonts w:asciiTheme="minorEastAsia" w:hAnsiTheme="minorEastAsia" w:eastAsiaTheme="minorEastAsia"/>
          <w:szCs w:val="21"/>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一、给排水主要设计依据: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 xml:space="preserve">    此项应包括项目进行建筑绿色与节能设计时所遵循的主要设计依据。包括法律法规、政策文件及现行国家与地方的标准、规范；还包括项目已取得的节能审查意见书及其附件：节能评估报告书（表）和专家评审意见；</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1.1 由设计人员复核各设计标准的现行版本号。</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1.2 设计人员应按项目选用的相关技术与措施，增补有关标准、规范依据。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1.3 设计人员应根据项目所在地特性，增加相应的相关政府性文件为依据。</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特别说明：当本专篇依据的标准、规范修订或有新标准、新规范实施时，应按新版标准、规范对专篇相关内容进行复核、调整后选用。</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二、给排水</w:t>
      </w:r>
      <w:r>
        <w:rPr>
          <w:rFonts w:ascii="Times New Roman" w:cs="宋体"/>
          <w:color w:val="000000"/>
          <w:kern w:val="0"/>
          <w:sz w:val="24"/>
        </w:rPr>
        <w:t>设计技术措施</w:t>
      </w:r>
      <w:r>
        <w:rPr>
          <w:rFonts w:hint="eastAsia" w:ascii="Times New Roman" w:cs="宋体"/>
          <w:color w:val="000000"/>
          <w:kern w:val="0"/>
          <w:sz w:val="24"/>
        </w:rPr>
        <w:t>：</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◇一般说明：</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1、填表说明主要包含三部分内容，分别为：条文来源、依据材料、备注。其中：“条文来源”主要依据浙江省《绿色建筑设计标准》 DB33/1092-2021（</w:t>
      </w:r>
      <w:r>
        <w:rPr>
          <w:rFonts w:ascii="Times New Roman" w:cs="宋体"/>
          <w:color w:val="000000"/>
          <w:kern w:val="0"/>
          <w:sz w:val="24"/>
        </w:rPr>
        <w:t>以</w:t>
      </w:r>
      <w:r>
        <w:rPr>
          <w:rFonts w:hint="eastAsia" w:ascii="Times New Roman" w:cs="宋体"/>
          <w:color w:val="000000"/>
          <w:kern w:val="0"/>
          <w:sz w:val="24"/>
        </w:rPr>
        <w:t>下</w:t>
      </w:r>
      <w:r>
        <w:rPr>
          <w:rFonts w:ascii="Times New Roman" w:cs="宋体"/>
          <w:color w:val="000000"/>
          <w:kern w:val="0"/>
          <w:sz w:val="24"/>
        </w:rPr>
        <w:t>简称</w:t>
      </w:r>
      <w:r>
        <w:rPr>
          <w:rFonts w:hint="eastAsia" w:ascii="Times New Roman" w:cs="宋体"/>
          <w:color w:val="000000"/>
          <w:kern w:val="0"/>
          <w:sz w:val="24"/>
        </w:rPr>
        <w:t>“DB33/1092-2021”）、浙江省《居住建筑节能设计标准》</w:t>
      </w:r>
      <w:r>
        <w:rPr>
          <w:rFonts w:ascii="Times New Roman" w:cs="宋体"/>
          <w:color w:val="000000"/>
          <w:kern w:val="0"/>
          <w:sz w:val="24"/>
        </w:rPr>
        <w:t>DB 33/1015-2021</w:t>
      </w:r>
      <w:r>
        <w:rPr>
          <w:rFonts w:hint="eastAsia" w:ascii="Times New Roman" w:cs="宋体"/>
          <w:color w:val="000000"/>
          <w:kern w:val="0"/>
          <w:sz w:val="24"/>
        </w:rPr>
        <w:t>（以下简称</w:t>
      </w:r>
      <w:r>
        <w:rPr>
          <w:rFonts w:ascii="Times New Roman" w:cs="宋体"/>
          <w:color w:val="000000"/>
          <w:kern w:val="0"/>
          <w:sz w:val="24"/>
        </w:rPr>
        <w:t>DB 33/1015-2021</w:t>
      </w:r>
      <w:r>
        <w:rPr>
          <w:rFonts w:hint="eastAsia" w:ascii="Times New Roman" w:cs="宋体"/>
          <w:color w:val="000000"/>
          <w:kern w:val="0"/>
          <w:sz w:val="24"/>
        </w:rPr>
        <w:t>）、</w:t>
      </w:r>
      <w:r>
        <w:rPr>
          <w:rFonts w:ascii="Times New Roman" w:cs="宋体"/>
          <w:color w:val="000000"/>
          <w:kern w:val="0"/>
          <w:sz w:val="24"/>
        </w:rPr>
        <w:t>国家标准</w:t>
      </w:r>
      <w:r>
        <w:rPr>
          <w:rFonts w:hint="eastAsia" w:ascii="Times New Roman" w:cs="宋体"/>
          <w:color w:val="000000"/>
          <w:kern w:val="0"/>
          <w:sz w:val="24"/>
        </w:rPr>
        <w:t>《绿色建筑评价</w:t>
      </w:r>
      <w:r>
        <w:rPr>
          <w:rFonts w:ascii="Times New Roman" w:cs="宋体"/>
          <w:color w:val="000000"/>
          <w:kern w:val="0"/>
          <w:sz w:val="24"/>
        </w:rPr>
        <w:t>标准</w:t>
      </w:r>
      <w:r>
        <w:rPr>
          <w:rFonts w:hint="eastAsia" w:ascii="Times New Roman" w:cs="宋体"/>
          <w:color w:val="000000"/>
          <w:kern w:val="0"/>
          <w:sz w:val="24"/>
        </w:rPr>
        <w:t>》GB/T50378-201</w:t>
      </w:r>
      <w:r>
        <w:rPr>
          <w:rFonts w:ascii="Times New Roman" w:cs="宋体"/>
          <w:color w:val="000000"/>
          <w:kern w:val="0"/>
          <w:sz w:val="24"/>
        </w:rPr>
        <w:t>9</w:t>
      </w:r>
      <w:r>
        <w:rPr>
          <w:rFonts w:hint="eastAsia" w:ascii="Times New Roman" w:cs="宋体"/>
          <w:color w:val="000000"/>
          <w:kern w:val="0"/>
          <w:sz w:val="24"/>
        </w:rPr>
        <w:t>（</w:t>
      </w:r>
      <w:r>
        <w:rPr>
          <w:rFonts w:ascii="Times New Roman" w:cs="宋体"/>
          <w:color w:val="000000"/>
          <w:kern w:val="0"/>
          <w:sz w:val="24"/>
        </w:rPr>
        <w:t>以下简称“</w:t>
      </w:r>
      <w:r>
        <w:rPr>
          <w:rFonts w:hint="eastAsia" w:ascii="Times New Roman" w:cs="宋体"/>
          <w:color w:val="000000"/>
          <w:kern w:val="0"/>
          <w:sz w:val="24"/>
        </w:rPr>
        <w:t>GB/T</w:t>
      </w:r>
      <w:r>
        <w:rPr>
          <w:rFonts w:ascii="Times New Roman" w:cs="宋体"/>
          <w:color w:val="000000"/>
          <w:kern w:val="0"/>
          <w:sz w:val="24"/>
        </w:rPr>
        <w:t xml:space="preserve"> </w:t>
      </w:r>
      <w:r>
        <w:rPr>
          <w:rFonts w:hint="eastAsia" w:ascii="Times New Roman" w:cs="宋体"/>
          <w:color w:val="000000"/>
          <w:kern w:val="0"/>
          <w:sz w:val="24"/>
        </w:rPr>
        <w:t>50378-201</w:t>
      </w:r>
      <w:r>
        <w:rPr>
          <w:rFonts w:ascii="Times New Roman" w:cs="宋体"/>
          <w:color w:val="000000"/>
          <w:kern w:val="0"/>
          <w:sz w:val="24"/>
        </w:rPr>
        <w:t>9”</w:t>
      </w:r>
      <w:r>
        <w:rPr>
          <w:rFonts w:hint="eastAsia" w:ascii="Times New Roman" w:cs="宋体"/>
          <w:color w:val="000000"/>
          <w:kern w:val="0"/>
          <w:sz w:val="24"/>
        </w:rPr>
        <w:t>）、《建筑给水排水与节水通用规范》GB 55020-2021（</w:t>
      </w:r>
      <w:r>
        <w:rPr>
          <w:rFonts w:ascii="Times New Roman" w:cs="宋体"/>
          <w:color w:val="000000"/>
          <w:kern w:val="0"/>
          <w:sz w:val="24"/>
        </w:rPr>
        <w:t>以下简称“GB 55020-2021”</w:t>
      </w:r>
      <w:r>
        <w:rPr>
          <w:rFonts w:hint="eastAsia" w:ascii="Times New Roman" w:cs="宋体"/>
          <w:color w:val="000000"/>
          <w:kern w:val="0"/>
          <w:sz w:val="24"/>
        </w:rPr>
        <w:t>）、《建筑节能与可再生能源利用通用规范》GB55015-2021（</w:t>
      </w:r>
      <w:r>
        <w:rPr>
          <w:rFonts w:ascii="Times New Roman" w:cs="宋体"/>
          <w:color w:val="000000"/>
          <w:kern w:val="0"/>
          <w:sz w:val="24"/>
        </w:rPr>
        <w:t>以下简称“GB55015-2021”</w:t>
      </w:r>
      <w:r>
        <w:rPr>
          <w:rFonts w:hint="eastAsia" w:ascii="Times New Roman" w:cs="宋体"/>
          <w:color w:val="000000"/>
          <w:kern w:val="0"/>
          <w:sz w:val="24"/>
        </w:rPr>
        <w:t>）、《浙江省绿色建筑条例》、《建筑中水设计规范》GB</w:t>
      </w:r>
      <w:r>
        <w:rPr>
          <w:rFonts w:ascii="Times New Roman" w:cs="宋体"/>
          <w:color w:val="000000"/>
          <w:kern w:val="0"/>
          <w:sz w:val="24"/>
        </w:rPr>
        <w:t xml:space="preserve"> </w:t>
      </w:r>
      <w:r>
        <w:rPr>
          <w:rFonts w:hint="eastAsia" w:ascii="Times New Roman" w:cs="宋体"/>
          <w:color w:val="000000"/>
          <w:kern w:val="0"/>
          <w:sz w:val="24"/>
        </w:rPr>
        <w:t>50336-20</w:t>
      </w:r>
      <w:r>
        <w:rPr>
          <w:rFonts w:ascii="Times New Roman" w:cs="宋体"/>
          <w:color w:val="000000"/>
          <w:kern w:val="0"/>
          <w:sz w:val="24"/>
        </w:rPr>
        <w:t>18</w:t>
      </w:r>
      <w:r>
        <w:rPr>
          <w:rFonts w:hint="eastAsia" w:ascii="Times New Roman" w:cs="宋体"/>
          <w:color w:val="000000"/>
          <w:kern w:val="0"/>
          <w:sz w:val="24"/>
        </w:rPr>
        <w:t>、《建筑与小区雨水控制及利用工程技术规范》GB</w:t>
      </w:r>
      <w:r>
        <w:rPr>
          <w:rFonts w:ascii="Times New Roman" w:cs="宋体"/>
          <w:color w:val="000000"/>
          <w:kern w:val="0"/>
          <w:sz w:val="24"/>
        </w:rPr>
        <w:t xml:space="preserve"> </w:t>
      </w:r>
      <w:r>
        <w:rPr>
          <w:rFonts w:hint="eastAsia" w:ascii="Times New Roman" w:cs="宋体"/>
          <w:color w:val="000000"/>
          <w:kern w:val="0"/>
          <w:sz w:val="24"/>
        </w:rPr>
        <w:t>50400-2016的出处与条文编号；“依据材料”是明确</w:t>
      </w:r>
      <w:r>
        <w:rPr>
          <w:rFonts w:ascii="Times New Roman" w:cs="宋体"/>
          <w:color w:val="000000"/>
          <w:kern w:val="0"/>
          <w:sz w:val="24"/>
        </w:rPr>
        <w:t>设计人员依据</w:t>
      </w:r>
      <w:r>
        <w:rPr>
          <w:rFonts w:hint="eastAsia" w:ascii="Times New Roman" w:cs="宋体"/>
          <w:color w:val="000000"/>
          <w:kern w:val="0"/>
          <w:sz w:val="24"/>
        </w:rPr>
        <w:t>所</w:t>
      </w:r>
      <w:r>
        <w:rPr>
          <w:rFonts w:ascii="Times New Roman" w:cs="宋体"/>
          <w:color w:val="000000"/>
          <w:kern w:val="0"/>
          <w:sz w:val="24"/>
        </w:rPr>
        <w:t>注的基础资料</w:t>
      </w:r>
      <w:r>
        <w:rPr>
          <w:rFonts w:hint="eastAsia" w:ascii="Times New Roman" w:cs="宋体"/>
          <w:color w:val="000000"/>
          <w:kern w:val="0"/>
          <w:sz w:val="24"/>
        </w:rPr>
        <w:t>进行分析和</w:t>
      </w:r>
      <w:r>
        <w:rPr>
          <w:rFonts w:ascii="Times New Roman" w:cs="宋体"/>
          <w:color w:val="000000"/>
          <w:kern w:val="0"/>
          <w:sz w:val="24"/>
        </w:rPr>
        <w:t>填写</w:t>
      </w:r>
      <w:r>
        <w:rPr>
          <w:rFonts w:hint="eastAsia" w:ascii="Times New Roman" w:cs="宋体"/>
          <w:color w:val="000000"/>
          <w:kern w:val="0"/>
          <w:sz w:val="24"/>
        </w:rPr>
        <w:t>；“备注”是指对条款需要注意与重点核查的内容进行详细说明，或对相关条文进行解释和补充。</w:t>
      </w:r>
    </w:p>
    <w:p>
      <w:pPr>
        <w:ind w:firstLine="420" w:firstLineChars="200"/>
        <w:jc w:val="left"/>
        <w:rPr>
          <w:rFonts w:asciiTheme="minorEastAsia" w:hAnsiTheme="minorEastAsia" w:eastAsiaTheme="minorEastAsia"/>
          <w:szCs w:val="21"/>
        </w:rPr>
      </w:pPr>
    </w:p>
    <w:p>
      <w:pPr>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◇条款说明：</w:t>
      </w:r>
    </w:p>
    <w:p>
      <w:pPr>
        <w:spacing w:line="360" w:lineRule="auto"/>
        <w:jc w:val="left"/>
        <w:rPr>
          <w:rFonts w:asciiTheme="minorEastAsia" w:hAnsiTheme="minorEastAsia" w:eastAsiaTheme="minorEastAsia"/>
          <w:b/>
          <w:sz w:val="24"/>
          <w:lang w:val="en-GB"/>
        </w:rPr>
      </w:pPr>
      <w:r>
        <w:rPr>
          <w:rFonts w:hint="eastAsia" w:asciiTheme="minorEastAsia" w:hAnsiTheme="minorEastAsia" w:eastAsiaTheme="minorEastAsia"/>
          <w:b/>
          <w:sz w:val="24"/>
          <w:lang w:val="en-GB"/>
        </w:rPr>
        <w:t>控制项内容：</w:t>
      </w:r>
    </w:p>
    <w:p>
      <w:pPr>
        <w:spacing w:line="360" w:lineRule="auto"/>
        <w:ind w:firstLine="481" w:firstLineChars="200"/>
        <w:jc w:val="left"/>
        <w:rPr>
          <w:rFonts w:asciiTheme="minorEastAsia" w:hAnsiTheme="minorEastAsia" w:eastAsiaTheme="minorEastAsia"/>
          <w:b/>
          <w:sz w:val="24"/>
        </w:rPr>
      </w:pPr>
    </w:p>
    <w:tbl>
      <w:tblPr>
        <w:tblStyle w:val="45"/>
        <w:tblW w:w="51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3"/>
        <w:gridCol w:w="2552"/>
        <w:gridCol w:w="5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7" w:type="pct"/>
            <w:vMerge w:val="restart"/>
          </w:tcPr>
          <w:p>
            <w:pPr>
              <w:widowControl/>
              <w:spacing w:line="360" w:lineRule="auto"/>
              <w:rPr>
                <w:sz w:val="24"/>
              </w:rPr>
            </w:pPr>
            <w:r>
              <w:rPr>
                <w:rFonts w:hint="eastAsia"/>
                <w:sz w:val="24"/>
              </w:rPr>
              <w:t>条文来源</w:t>
            </w:r>
          </w:p>
        </w:tc>
        <w:tc>
          <w:tcPr>
            <w:tcW w:w="1348" w:type="pct"/>
          </w:tcPr>
          <w:p>
            <w:pPr>
              <w:widowControl/>
              <w:spacing w:line="360" w:lineRule="auto"/>
              <w:ind w:firstLine="38" w:firstLineChars="16"/>
              <w:rPr>
                <w:sz w:val="24"/>
              </w:rPr>
            </w:pPr>
            <w:r>
              <w:rPr>
                <w:rFonts w:hint="eastAsia"/>
                <w:sz w:val="24"/>
              </w:rPr>
              <w:t>浙江省绿色建筑条例</w:t>
            </w:r>
          </w:p>
        </w:tc>
        <w:tc>
          <w:tcPr>
            <w:tcW w:w="2996" w:type="pct"/>
          </w:tcPr>
          <w:p>
            <w:pPr>
              <w:widowControl/>
              <w:spacing w:line="360" w:lineRule="auto"/>
              <w:ind w:firstLine="36" w:firstLineChars="15"/>
              <w:rPr>
                <w:sz w:val="24"/>
              </w:rPr>
            </w:pPr>
            <w:r>
              <w:rPr>
                <w:rFonts w:hint="eastAsia"/>
                <w:sz w:val="24"/>
              </w:rPr>
              <w:t>第29、31条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657" w:type="pct"/>
            <w:vMerge w:val="continue"/>
          </w:tcPr>
          <w:p>
            <w:pPr>
              <w:widowControl/>
              <w:spacing w:line="360" w:lineRule="auto"/>
              <w:ind w:firstLine="420"/>
              <w:rPr>
                <w:sz w:val="24"/>
              </w:rPr>
            </w:pPr>
          </w:p>
        </w:tc>
        <w:tc>
          <w:tcPr>
            <w:tcW w:w="1348" w:type="pct"/>
          </w:tcPr>
          <w:p>
            <w:pPr>
              <w:widowControl/>
              <w:spacing w:line="360" w:lineRule="auto"/>
              <w:ind w:firstLine="38" w:firstLineChars="16"/>
              <w:rPr>
                <w:sz w:val="24"/>
              </w:rPr>
            </w:pPr>
            <w:r>
              <w:rPr>
                <w:rFonts w:hint="eastAsia"/>
                <w:sz w:val="24"/>
              </w:rPr>
              <w:t>GB</w:t>
            </w:r>
            <w:r>
              <w:rPr>
                <w:sz w:val="24"/>
              </w:rPr>
              <w:t>50378-2019</w:t>
            </w:r>
          </w:p>
        </w:tc>
        <w:tc>
          <w:tcPr>
            <w:tcW w:w="2996" w:type="pct"/>
          </w:tcPr>
          <w:p>
            <w:pPr>
              <w:widowControl/>
              <w:spacing w:line="360" w:lineRule="auto"/>
              <w:ind w:firstLine="36" w:firstLineChars="15"/>
              <w:rPr>
                <w:sz w:val="24"/>
              </w:rPr>
            </w:pPr>
            <w:r>
              <w:rPr>
                <w:rFonts w:hint="eastAsia"/>
                <w:sz w:val="24"/>
              </w:rPr>
              <w:t>5.1.3、7.1.7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exact"/>
        </w:trPr>
        <w:tc>
          <w:tcPr>
            <w:tcW w:w="657" w:type="pct"/>
            <w:vMerge w:val="continue"/>
          </w:tcPr>
          <w:p>
            <w:pPr>
              <w:widowControl/>
              <w:spacing w:line="360" w:lineRule="auto"/>
              <w:ind w:firstLine="420"/>
              <w:rPr>
                <w:sz w:val="24"/>
              </w:rPr>
            </w:pPr>
          </w:p>
        </w:tc>
        <w:tc>
          <w:tcPr>
            <w:tcW w:w="1348" w:type="pct"/>
          </w:tcPr>
          <w:p>
            <w:pPr>
              <w:widowControl/>
              <w:spacing w:line="360" w:lineRule="auto"/>
              <w:ind w:firstLine="38" w:firstLineChars="16"/>
              <w:rPr>
                <w:sz w:val="24"/>
              </w:rPr>
            </w:pPr>
            <w:r>
              <w:rPr>
                <w:rFonts w:hint="eastAsia"/>
                <w:sz w:val="24"/>
              </w:rPr>
              <w:t>GB</w:t>
            </w:r>
            <w:r>
              <w:rPr>
                <w:sz w:val="24"/>
              </w:rPr>
              <w:t>55020-2021</w:t>
            </w:r>
          </w:p>
        </w:tc>
        <w:tc>
          <w:tcPr>
            <w:tcW w:w="2996" w:type="pct"/>
          </w:tcPr>
          <w:p>
            <w:pPr>
              <w:widowControl/>
              <w:spacing w:line="360" w:lineRule="auto"/>
              <w:ind w:right="-105" w:rightChars="-50" w:firstLine="29"/>
              <w:rPr>
                <w:sz w:val="24"/>
              </w:rPr>
            </w:pPr>
            <w:r>
              <w:rPr>
                <w:rFonts w:hint="eastAsia"/>
                <w:sz w:val="24"/>
              </w:rPr>
              <w:t>2.0.4、3.4.1、3.4.2、3.4.3、3.4.4、3.4.5、3.4.6、3.4.7、3.4.8、7.1.3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exact"/>
        </w:trPr>
        <w:tc>
          <w:tcPr>
            <w:tcW w:w="657" w:type="pct"/>
            <w:vMerge w:val="continue"/>
          </w:tcPr>
          <w:p>
            <w:pPr>
              <w:widowControl/>
              <w:spacing w:line="360" w:lineRule="auto"/>
              <w:ind w:firstLine="420"/>
              <w:rPr>
                <w:sz w:val="24"/>
              </w:rPr>
            </w:pPr>
          </w:p>
        </w:tc>
        <w:tc>
          <w:tcPr>
            <w:tcW w:w="1348" w:type="pct"/>
          </w:tcPr>
          <w:p>
            <w:pPr>
              <w:widowControl/>
              <w:spacing w:line="360" w:lineRule="auto"/>
              <w:ind w:firstLine="38" w:firstLineChars="16"/>
              <w:rPr>
                <w:sz w:val="24"/>
              </w:rPr>
            </w:pPr>
            <w:r>
              <w:rPr>
                <w:rFonts w:hint="eastAsia"/>
                <w:sz w:val="24"/>
              </w:rPr>
              <w:t>DB33/1092-2021</w:t>
            </w:r>
          </w:p>
        </w:tc>
        <w:tc>
          <w:tcPr>
            <w:tcW w:w="2996" w:type="pct"/>
          </w:tcPr>
          <w:p>
            <w:pPr>
              <w:widowControl/>
              <w:spacing w:line="360" w:lineRule="auto"/>
              <w:rPr>
                <w:sz w:val="24"/>
              </w:rPr>
            </w:pPr>
            <w:r>
              <w:rPr>
                <w:rFonts w:hint="eastAsia"/>
                <w:sz w:val="24"/>
              </w:rPr>
              <w:t>7.</w:t>
            </w:r>
            <w:r>
              <w:rPr>
                <w:sz w:val="24"/>
              </w:rPr>
              <w:t>1.1</w:t>
            </w:r>
            <w:r>
              <w:rPr>
                <w:rFonts w:hint="eastAsia"/>
                <w:sz w:val="24"/>
              </w:rPr>
              <w:t>、7</w:t>
            </w:r>
            <w:r>
              <w:rPr>
                <w:sz w:val="24"/>
              </w:rPr>
              <w:t>.</w:t>
            </w:r>
            <w:r>
              <w:rPr>
                <w:rFonts w:hint="eastAsia"/>
                <w:sz w:val="24"/>
              </w:rPr>
              <w:t>1</w:t>
            </w:r>
            <w:r>
              <w:rPr>
                <w:sz w:val="24"/>
              </w:rPr>
              <w:t>.2</w:t>
            </w:r>
            <w:r>
              <w:rPr>
                <w:rFonts w:hint="eastAsia"/>
                <w:sz w:val="24"/>
              </w:rPr>
              <w:t>、7</w:t>
            </w:r>
            <w:r>
              <w:rPr>
                <w:sz w:val="24"/>
              </w:rPr>
              <w:t>.1.3</w:t>
            </w:r>
            <w:r>
              <w:rPr>
                <w:rFonts w:hint="eastAsia"/>
                <w:sz w:val="24"/>
              </w:rPr>
              <w:t>、7</w:t>
            </w:r>
            <w:r>
              <w:rPr>
                <w:sz w:val="24"/>
              </w:rPr>
              <w:t>.1.4</w:t>
            </w:r>
            <w:r>
              <w:rPr>
                <w:rFonts w:hint="eastAsia"/>
                <w:sz w:val="24"/>
              </w:rPr>
              <w:t>、7</w:t>
            </w:r>
            <w:r>
              <w:rPr>
                <w:sz w:val="24"/>
              </w:rPr>
              <w:t>.1.5</w:t>
            </w:r>
            <w:r>
              <w:rPr>
                <w:rFonts w:hint="eastAsia"/>
                <w:sz w:val="24"/>
              </w:rPr>
              <w:t>、 7</w:t>
            </w:r>
            <w:r>
              <w:rPr>
                <w:sz w:val="24"/>
              </w:rPr>
              <w:t>.2.3</w:t>
            </w:r>
            <w:r>
              <w:rPr>
                <w:rFonts w:hint="eastAsia"/>
                <w:sz w:val="24"/>
              </w:rPr>
              <w:t>、7</w:t>
            </w:r>
            <w:r>
              <w:rPr>
                <w:sz w:val="24"/>
              </w:rPr>
              <w:t>.2.7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pct"/>
          </w:tcPr>
          <w:p>
            <w:pPr>
              <w:widowControl/>
              <w:spacing w:line="360" w:lineRule="auto"/>
              <w:ind w:firstLine="420"/>
              <w:rPr>
                <w:sz w:val="24"/>
              </w:rPr>
            </w:pPr>
            <w:r>
              <w:rPr>
                <w:rFonts w:hint="eastAsia"/>
                <w:sz w:val="24"/>
              </w:rPr>
              <w:t>依据材料</w:t>
            </w:r>
          </w:p>
        </w:tc>
        <w:tc>
          <w:tcPr>
            <w:tcW w:w="4343" w:type="pct"/>
            <w:gridSpan w:val="2"/>
          </w:tcPr>
          <w:p>
            <w:pPr>
              <w:widowControl/>
              <w:spacing w:line="360" w:lineRule="auto"/>
              <w:ind w:firstLine="420"/>
              <w:rPr>
                <w:sz w:val="24"/>
              </w:rPr>
            </w:pPr>
            <w:r>
              <w:rPr>
                <w:rFonts w:hint="eastAsia"/>
                <w:sz w:val="24"/>
              </w:rPr>
              <w:t>查阅设计图纸及说明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7" w:type="pct"/>
          </w:tcPr>
          <w:p>
            <w:pPr>
              <w:widowControl/>
              <w:spacing w:line="360" w:lineRule="auto"/>
              <w:ind w:firstLine="420"/>
              <w:rPr>
                <w:sz w:val="24"/>
              </w:rPr>
            </w:pPr>
            <w:r>
              <w:rPr>
                <w:rFonts w:hint="eastAsia"/>
                <w:sz w:val="24"/>
              </w:rPr>
              <w:t>备注</w:t>
            </w:r>
          </w:p>
        </w:tc>
        <w:tc>
          <w:tcPr>
            <w:tcW w:w="4343" w:type="pct"/>
            <w:gridSpan w:val="2"/>
          </w:tcPr>
          <w:p>
            <w:pPr>
              <w:widowControl/>
              <w:spacing w:line="360" w:lineRule="auto"/>
              <w:ind w:firstLine="420"/>
              <w:rPr>
                <w:sz w:val="24"/>
              </w:rPr>
            </w:pPr>
            <w:r>
              <w:rPr>
                <w:rFonts w:hint="eastAsia"/>
                <w:sz w:val="24"/>
              </w:rPr>
              <w:t>本栏第1栏条文均为GB/T 50378-2019中的控制项要求以及GB 55020-2021条文要求，第2、3条为浙江省《绿色建筑条例》要求，是绿色建筑设计的强制性控制内容，必须逐条满足。</w:t>
            </w:r>
          </w:p>
        </w:tc>
      </w:tr>
    </w:tbl>
    <w:p>
      <w:pPr>
        <w:spacing w:line="360" w:lineRule="auto"/>
        <w:ind w:firstLine="480" w:firstLineChars="200"/>
        <w:jc w:val="left"/>
        <w:rPr>
          <w:rFonts w:asciiTheme="minorEastAsia" w:hAnsiTheme="minorEastAsia" w:eastAsiaTheme="minorEastAsia"/>
          <w:sz w:val="24"/>
        </w:rPr>
      </w:pPr>
    </w:p>
    <w:p>
      <w:pPr>
        <w:spacing w:line="360" w:lineRule="auto"/>
        <w:jc w:val="left"/>
        <w:rPr>
          <w:rFonts w:asciiTheme="minorEastAsia" w:hAnsiTheme="minorEastAsia" w:eastAsiaTheme="minorEastAsia"/>
          <w:b/>
          <w:sz w:val="24"/>
          <w:lang w:val="en-GB"/>
        </w:rPr>
      </w:pPr>
      <w:r>
        <w:rPr>
          <w:rFonts w:hint="eastAsia" w:asciiTheme="minorEastAsia" w:hAnsiTheme="minorEastAsia" w:eastAsiaTheme="minorEastAsia"/>
          <w:b/>
          <w:sz w:val="24"/>
          <w:lang w:val="en-GB"/>
        </w:rPr>
        <w:t>一般项</w:t>
      </w:r>
      <w:r>
        <w:rPr>
          <w:rFonts w:asciiTheme="minorEastAsia" w:hAnsiTheme="minorEastAsia" w:eastAsiaTheme="minorEastAsia"/>
          <w:b/>
          <w:sz w:val="24"/>
          <w:lang w:val="en-GB"/>
        </w:rPr>
        <w:t>内容：</w:t>
      </w:r>
    </w:p>
    <w:p>
      <w:pPr>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lang w:val="en-GB"/>
        </w:rPr>
        <w:t>一、</w:t>
      </w:r>
      <w:r>
        <w:rPr>
          <w:rFonts w:hint="eastAsia" w:asciiTheme="minorEastAsia" w:hAnsiTheme="minorEastAsia" w:eastAsiaTheme="minorEastAsia"/>
          <w:b/>
          <w:sz w:val="24"/>
        </w:rPr>
        <w:t>可</w:t>
      </w:r>
      <w:r>
        <w:rPr>
          <w:rFonts w:asciiTheme="minorEastAsia" w:hAnsiTheme="minorEastAsia" w:eastAsiaTheme="minorEastAsia"/>
          <w:b/>
          <w:sz w:val="24"/>
        </w:rPr>
        <w:t>再生</w:t>
      </w:r>
      <w:r>
        <w:rPr>
          <w:rFonts w:hint="eastAsia" w:asciiTheme="minorEastAsia" w:hAnsiTheme="minorEastAsia" w:eastAsiaTheme="minorEastAsia"/>
          <w:b/>
          <w:sz w:val="24"/>
        </w:rPr>
        <w:t>能源利用</w:t>
      </w:r>
    </w:p>
    <w:tbl>
      <w:tblPr>
        <w:tblStyle w:val="4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59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spacing w:line="360" w:lineRule="auto"/>
              <w:rPr>
                <w:rFonts w:hAnsi="宋体"/>
                <w:sz w:val="24"/>
              </w:rPr>
            </w:pPr>
            <w:r>
              <w:rPr>
                <w:rFonts w:hint="eastAsia" w:hAnsi="宋体"/>
                <w:sz w:val="24"/>
              </w:rPr>
              <w:t>条文来源</w:t>
            </w:r>
          </w:p>
        </w:tc>
        <w:tc>
          <w:tcPr>
            <w:tcW w:w="2126" w:type="dxa"/>
          </w:tcPr>
          <w:p>
            <w:pPr>
              <w:spacing w:line="360" w:lineRule="auto"/>
              <w:rPr>
                <w:rFonts w:hAnsi="宋体"/>
                <w:sz w:val="24"/>
              </w:rPr>
            </w:pPr>
            <w:r>
              <w:rPr>
                <w:rFonts w:hint="eastAsia" w:hAnsi="宋体"/>
                <w:sz w:val="24"/>
              </w:rPr>
              <w:t>浙江省绿色建筑条例</w:t>
            </w:r>
          </w:p>
        </w:tc>
        <w:tc>
          <w:tcPr>
            <w:tcW w:w="5954" w:type="dxa"/>
          </w:tcPr>
          <w:p>
            <w:pPr>
              <w:spacing w:line="360" w:lineRule="auto"/>
              <w:rPr>
                <w:rFonts w:hAnsi="宋体"/>
                <w:sz w:val="24"/>
              </w:rPr>
            </w:pPr>
            <w:r>
              <w:rPr>
                <w:rFonts w:hint="eastAsia" w:hAnsi="宋体"/>
                <w:sz w:val="24"/>
              </w:rPr>
              <w:t>第31条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126" w:type="dxa"/>
          </w:tcPr>
          <w:p>
            <w:pPr>
              <w:spacing w:line="360" w:lineRule="auto"/>
              <w:rPr>
                <w:rFonts w:hAnsi="宋体"/>
                <w:sz w:val="24"/>
              </w:rPr>
            </w:pPr>
            <w:r>
              <w:rPr>
                <w:rFonts w:hint="eastAsia" w:hAnsi="宋体"/>
                <w:sz w:val="24"/>
              </w:rPr>
              <w:t>DB</w:t>
            </w:r>
            <w:r>
              <w:rPr>
                <w:rFonts w:hAnsi="宋体"/>
                <w:sz w:val="24"/>
              </w:rPr>
              <w:t>33/1092-2021</w:t>
            </w:r>
          </w:p>
        </w:tc>
        <w:tc>
          <w:tcPr>
            <w:tcW w:w="5954" w:type="dxa"/>
          </w:tcPr>
          <w:p>
            <w:pPr>
              <w:spacing w:line="360" w:lineRule="auto"/>
              <w:rPr>
                <w:rFonts w:hAnsi="宋体"/>
                <w:sz w:val="24"/>
              </w:rPr>
            </w:pPr>
            <w:r>
              <w:rPr>
                <w:rFonts w:hint="eastAsia" w:hAnsi="宋体"/>
                <w:sz w:val="24"/>
              </w:rPr>
              <w:t>7</w:t>
            </w:r>
            <w:r>
              <w:rPr>
                <w:rFonts w:hAnsi="宋体"/>
                <w:sz w:val="24"/>
              </w:rPr>
              <w:t>.1</w:t>
            </w:r>
            <w:r>
              <w:rPr>
                <w:rFonts w:hint="eastAsia" w:hAnsi="宋体"/>
                <w:sz w:val="24"/>
              </w:rPr>
              <w:t>．3、7.2.4、7.2.5、7.2.6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spacing w:line="360" w:lineRule="auto"/>
              <w:rPr>
                <w:rFonts w:hAnsi="宋体"/>
                <w:sz w:val="24"/>
              </w:rPr>
            </w:pPr>
          </w:p>
        </w:tc>
        <w:tc>
          <w:tcPr>
            <w:tcW w:w="2126" w:type="dxa"/>
          </w:tcPr>
          <w:p>
            <w:pPr>
              <w:spacing w:line="360" w:lineRule="auto"/>
              <w:rPr>
                <w:rFonts w:hAnsi="宋体"/>
                <w:sz w:val="24"/>
              </w:rPr>
            </w:pPr>
            <w:r>
              <w:rPr>
                <w:rFonts w:hint="eastAsia" w:hAnsi="宋体"/>
                <w:sz w:val="24"/>
              </w:rPr>
              <w:t>GB55015-2021</w:t>
            </w:r>
          </w:p>
        </w:tc>
        <w:tc>
          <w:tcPr>
            <w:tcW w:w="5954" w:type="dxa"/>
          </w:tcPr>
          <w:p>
            <w:pPr>
              <w:spacing w:line="360" w:lineRule="auto"/>
              <w:rPr>
                <w:rFonts w:hAnsi="宋体"/>
                <w:sz w:val="24"/>
              </w:rPr>
            </w:pPr>
            <w:r>
              <w:rPr>
                <w:rFonts w:hint="eastAsia" w:hAnsi="宋体"/>
                <w:sz w:val="24"/>
              </w:rPr>
              <w:t>3.4.1、3.4.3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依据材料</w:t>
            </w:r>
          </w:p>
        </w:tc>
        <w:tc>
          <w:tcPr>
            <w:tcW w:w="8080" w:type="dxa"/>
            <w:gridSpan w:val="2"/>
          </w:tcPr>
          <w:p>
            <w:pPr>
              <w:autoSpaceDE w:val="0"/>
              <w:autoSpaceDN w:val="0"/>
              <w:adjustRightInd w:val="0"/>
              <w:spacing w:line="360" w:lineRule="auto"/>
              <w:jc w:val="left"/>
              <w:rPr>
                <w:rFonts w:hAnsi="宋体"/>
                <w:sz w:val="24"/>
              </w:rPr>
            </w:pPr>
            <w:r>
              <w:rPr>
                <w:rFonts w:hint="eastAsia" w:hAnsi="宋体"/>
                <w:sz w:val="24"/>
              </w:rPr>
              <w:t>查阅设计图纸及说明，节能评估报告书。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spacing w:line="360" w:lineRule="auto"/>
              <w:rPr>
                <w:rFonts w:hAnsi="宋体"/>
                <w:sz w:val="24"/>
              </w:rPr>
            </w:pPr>
            <w:r>
              <w:rPr>
                <w:rFonts w:hint="eastAsia" w:hAnsi="宋体"/>
                <w:sz w:val="24"/>
              </w:rPr>
              <w:t>备注</w:t>
            </w:r>
          </w:p>
        </w:tc>
        <w:tc>
          <w:tcPr>
            <w:tcW w:w="8080" w:type="dxa"/>
            <w:gridSpan w:val="2"/>
          </w:tcPr>
          <w:p>
            <w:pPr>
              <w:widowControl/>
              <w:spacing w:line="360" w:lineRule="auto"/>
              <w:rPr>
                <w:sz w:val="24"/>
              </w:rPr>
            </w:pPr>
            <w:r>
              <w:rPr>
                <w:rFonts w:hint="eastAsia"/>
                <w:sz w:val="24"/>
              </w:rPr>
              <w:t>居住建筑应为全体住户配置太阳能热水系统或空气源热泵热水系统。</w:t>
            </w:r>
          </w:p>
          <w:p>
            <w:pPr>
              <w:widowControl/>
              <w:spacing w:line="360" w:lineRule="auto"/>
              <w:rPr>
                <w:sz w:val="24"/>
              </w:rPr>
            </w:pPr>
            <w:r>
              <w:rPr>
                <w:rFonts w:hint="eastAsia"/>
                <w:sz w:val="24"/>
              </w:rPr>
              <w:t>幼儿园等设有集中生活热水系统的居住建筑，应优先采用余热、废热或可再生能源作为热源加热制备生活热水。可再生能源应用量必须满足《民用建筑可再生能源应用核算标准》DB33/1105-2014相应公共建筑规模的综合利用量最低要求值。</w:t>
            </w:r>
          </w:p>
          <w:p>
            <w:pPr>
              <w:widowControl/>
              <w:spacing w:line="360" w:lineRule="auto"/>
              <w:rPr>
                <w:sz w:val="24"/>
              </w:rPr>
            </w:pPr>
            <w:r>
              <w:rPr>
                <w:rFonts w:hint="eastAsia"/>
                <w:sz w:val="24"/>
              </w:rPr>
              <w:t>太阳能光热系统计算：太阳能光热系统的可再生能源核算节能量可根据下式计算：</w:t>
            </w:r>
          </w:p>
          <w:p>
            <w:pPr>
              <w:widowControl/>
              <w:spacing w:line="360" w:lineRule="auto"/>
              <w:rPr>
                <w:sz w:val="24"/>
              </w:rPr>
            </w:pPr>
            <w:r>
              <w:rPr>
                <w:rFonts w:hint="eastAsia"/>
                <w:sz w:val="24"/>
              </w:rPr>
              <w:t>QL</w:t>
            </w:r>
            <w:r>
              <w:rPr>
                <w:rFonts w:hint="eastAsia"/>
                <w:sz w:val="24"/>
                <w:vertAlign w:val="subscript"/>
              </w:rPr>
              <w:t>S</w:t>
            </w:r>
            <w:r>
              <w:rPr>
                <w:rFonts w:hint="eastAsia"/>
                <w:sz w:val="24"/>
              </w:rPr>
              <w:t>=B</w:t>
            </w:r>
            <w:r>
              <w:rPr>
                <w:rFonts w:hint="eastAsia"/>
                <w:sz w:val="24"/>
                <w:vertAlign w:val="subscript"/>
              </w:rPr>
              <w:t>S</w:t>
            </w:r>
            <w:r>
              <w:rPr>
                <w:rFonts w:hint="eastAsia"/>
                <w:sz w:val="24"/>
              </w:rPr>
              <w:t>*A</w:t>
            </w:r>
            <w:r>
              <w:rPr>
                <w:rFonts w:hint="eastAsia"/>
                <w:sz w:val="24"/>
                <w:vertAlign w:val="subscript"/>
              </w:rPr>
              <w:t>S</w:t>
            </w:r>
          </w:p>
          <w:p>
            <w:pPr>
              <w:widowControl/>
              <w:spacing w:line="360" w:lineRule="auto"/>
              <w:rPr>
                <w:sz w:val="24"/>
              </w:rPr>
            </w:pPr>
            <w:r>
              <w:rPr>
                <w:rFonts w:hint="eastAsia"/>
                <w:sz w:val="24"/>
              </w:rPr>
              <w:t>QL</w:t>
            </w:r>
            <w:r>
              <w:rPr>
                <w:rFonts w:hint="eastAsia"/>
                <w:sz w:val="24"/>
                <w:vertAlign w:val="subscript"/>
              </w:rPr>
              <w:t>S</w:t>
            </w:r>
            <w:r>
              <w:rPr>
                <w:rFonts w:hint="eastAsia"/>
                <w:sz w:val="24"/>
              </w:rPr>
              <w:t>—太阳能热水系统可再生能源年综合节能量,kWh/a；</w:t>
            </w:r>
          </w:p>
          <w:p>
            <w:pPr>
              <w:widowControl/>
              <w:spacing w:line="360" w:lineRule="auto"/>
              <w:rPr>
                <w:sz w:val="24"/>
              </w:rPr>
            </w:pPr>
            <w:r>
              <w:rPr>
                <w:rFonts w:hint="eastAsia"/>
                <w:sz w:val="24"/>
              </w:rPr>
              <w:t>A</w:t>
            </w:r>
            <w:r>
              <w:rPr>
                <w:rFonts w:hint="eastAsia"/>
                <w:sz w:val="24"/>
                <w:vertAlign w:val="subscript"/>
              </w:rPr>
              <w:t>S</w:t>
            </w:r>
            <w:r>
              <w:rPr>
                <w:rFonts w:hint="eastAsia"/>
                <w:sz w:val="24"/>
              </w:rPr>
              <w:t>—太阳能集热器的面积，m</w:t>
            </w:r>
            <w:r>
              <w:rPr>
                <w:rFonts w:hint="eastAsia" w:hAnsi="宋体"/>
                <w:sz w:val="24"/>
              </w:rPr>
              <w:t>²</w:t>
            </w:r>
          </w:p>
          <w:p>
            <w:pPr>
              <w:widowControl/>
              <w:spacing w:line="360" w:lineRule="auto"/>
              <w:rPr>
                <w:sz w:val="24"/>
              </w:rPr>
            </w:pPr>
            <w:r>
              <w:rPr>
                <w:rFonts w:hint="eastAsia"/>
                <w:sz w:val="24"/>
              </w:rPr>
              <w:t>B</w:t>
            </w:r>
            <w:r>
              <w:rPr>
                <w:rFonts w:hint="eastAsia"/>
                <w:sz w:val="24"/>
                <w:vertAlign w:val="subscript"/>
              </w:rPr>
              <w:t>S</w:t>
            </w:r>
            <w:r>
              <w:rPr>
                <w:rFonts w:hint="eastAsia"/>
                <w:sz w:val="24"/>
              </w:rPr>
              <w:t>—太阳能热水系统可再生能源综合利用量核算系数，取值192KWh/(m</w:t>
            </w:r>
            <w:r>
              <w:rPr>
                <w:rFonts w:hint="eastAsia" w:hAnsi="宋体"/>
                <w:sz w:val="24"/>
              </w:rPr>
              <w:t>²˙a)</w:t>
            </w:r>
          </w:p>
          <w:p>
            <w:pPr>
              <w:widowControl/>
              <w:spacing w:line="360" w:lineRule="auto"/>
              <w:rPr>
                <w:sz w:val="24"/>
              </w:rPr>
            </w:pPr>
          </w:p>
          <w:p>
            <w:pPr>
              <w:widowControl/>
              <w:spacing w:line="360" w:lineRule="auto"/>
              <w:rPr>
                <w:sz w:val="24"/>
              </w:rPr>
            </w:pPr>
            <w:r>
              <w:rPr>
                <w:rFonts w:hint="eastAsia"/>
                <w:sz w:val="24"/>
              </w:rPr>
              <w:t>空气源热泵热水系统计算：空气源热泵热水系统的可再生能源综合利用量核算值应取下列2个公式计算的较小值：</w:t>
            </w:r>
          </w:p>
          <w:p>
            <w:pPr>
              <w:widowControl/>
              <w:spacing w:line="360" w:lineRule="auto"/>
              <w:rPr>
                <w:sz w:val="24"/>
              </w:rPr>
            </w:pPr>
            <w:r>
              <w:rPr>
                <w:rFonts w:hint="eastAsia"/>
                <w:sz w:val="24"/>
              </w:rPr>
              <w:t>QL</w:t>
            </w:r>
            <w:r>
              <w:rPr>
                <w:rFonts w:hint="eastAsia"/>
                <w:sz w:val="24"/>
                <w:vertAlign w:val="subscript"/>
              </w:rPr>
              <w:t>k</w:t>
            </w:r>
            <w:r>
              <w:rPr>
                <w:rFonts w:hint="eastAsia"/>
                <w:sz w:val="24"/>
              </w:rPr>
              <w:t>=B</w:t>
            </w:r>
            <w:r>
              <w:rPr>
                <w:rFonts w:hint="eastAsia"/>
                <w:sz w:val="24"/>
                <w:vertAlign w:val="subscript"/>
              </w:rPr>
              <w:t>k</w:t>
            </w:r>
            <w:r>
              <w:rPr>
                <w:rFonts w:hint="eastAsia"/>
                <w:sz w:val="24"/>
              </w:rPr>
              <w:t>*q</w:t>
            </w:r>
            <w:r>
              <w:rPr>
                <w:rFonts w:hint="eastAsia"/>
                <w:sz w:val="24"/>
                <w:vertAlign w:val="subscript"/>
              </w:rPr>
              <w:t>r</w:t>
            </w:r>
            <w:r>
              <w:rPr>
                <w:rFonts w:hint="eastAsia"/>
                <w:sz w:val="24"/>
              </w:rPr>
              <w:t>*S*D</w:t>
            </w:r>
            <w:r>
              <w:rPr>
                <w:rFonts w:hint="eastAsia"/>
                <w:sz w:val="24"/>
                <w:vertAlign w:val="subscript"/>
              </w:rPr>
              <w:t>a</w:t>
            </w:r>
          </w:p>
          <w:p>
            <w:pPr>
              <w:widowControl/>
              <w:spacing w:line="360" w:lineRule="auto"/>
              <w:rPr>
                <w:sz w:val="24"/>
              </w:rPr>
            </w:pPr>
            <w:r>
              <w:rPr>
                <w:rFonts w:hint="eastAsia"/>
                <w:sz w:val="24"/>
              </w:rPr>
              <w:t>QL</w:t>
            </w:r>
            <w:r>
              <w:rPr>
                <w:rFonts w:hint="eastAsia"/>
                <w:sz w:val="24"/>
                <w:vertAlign w:val="subscript"/>
              </w:rPr>
              <w:t>k</w:t>
            </w:r>
            <w:r>
              <w:rPr>
                <w:rFonts w:hint="eastAsia"/>
                <w:sz w:val="24"/>
              </w:rPr>
              <w:t>=B</w:t>
            </w:r>
            <w:r>
              <w:rPr>
                <w:rFonts w:hint="eastAsia"/>
                <w:sz w:val="24"/>
                <w:vertAlign w:val="subscript"/>
              </w:rPr>
              <w:t>ks</w:t>
            </w:r>
            <w:r>
              <w:rPr>
                <w:rFonts w:hint="eastAsia"/>
                <w:sz w:val="24"/>
              </w:rPr>
              <w:t>*W</w:t>
            </w:r>
            <w:r>
              <w:rPr>
                <w:rFonts w:hint="eastAsia"/>
                <w:sz w:val="24"/>
                <w:vertAlign w:val="subscript"/>
              </w:rPr>
              <w:t>k</w:t>
            </w:r>
            <w:r>
              <w:rPr>
                <w:rFonts w:hint="eastAsia"/>
                <w:sz w:val="24"/>
              </w:rPr>
              <w:t>*T*D</w:t>
            </w:r>
            <w:r>
              <w:rPr>
                <w:rFonts w:hint="eastAsia"/>
                <w:sz w:val="24"/>
                <w:vertAlign w:val="subscript"/>
              </w:rPr>
              <w:t>a</w:t>
            </w:r>
          </w:p>
          <w:p>
            <w:pPr>
              <w:widowControl/>
              <w:spacing w:line="360" w:lineRule="auto"/>
              <w:rPr>
                <w:sz w:val="24"/>
              </w:rPr>
            </w:pPr>
            <w:r>
              <w:rPr>
                <w:rFonts w:hint="eastAsia"/>
                <w:sz w:val="24"/>
              </w:rPr>
              <w:t>q</w:t>
            </w:r>
            <w:r>
              <w:rPr>
                <w:rFonts w:hint="eastAsia"/>
                <w:sz w:val="24"/>
                <w:vertAlign w:val="subscript"/>
              </w:rPr>
              <w:t>r</w:t>
            </w:r>
            <w:r>
              <w:rPr>
                <w:rFonts w:hint="eastAsia"/>
                <w:sz w:val="24"/>
              </w:rPr>
              <w:t xml:space="preserve"> —热水平均日用水定额；</w:t>
            </w:r>
          </w:p>
          <w:p>
            <w:pPr>
              <w:widowControl/>
              <w:spacing w:line="360" w:lineRule="auto"/>
              <w:rPr>
                <w:sz w:val="24"/>
              </w:rPr>
            </w:pPr>
            <w:r>
              <w:rPr>
                <w:rFonts w:hint="eastAsia"/>
                <w:sz w:val="24"/>
              </w:rPr>
              <w:t>S—用水单位，人或人·次</w:t>
            </w:r>
          </w:p>
          <w:p>
            <w:pPr>
              <w:widowControl/>
              <w:spacing w:line="360" w:lineRule="auto"/>
              <w:rPr>
                <w:sz w:val="24"/>
              </w:rPr>
            </w:pPr>
            <w:r>
              <w:rPr>
                <w:rFonts w:hint="eastAsia"/>
                <w:sz w:val="24"/>
              </w:rPr>
              <w:t>D</w:t>
            </w:r>
            <w:r>
              <w:rPr>
                <w:rFonts w:hint="eastAsia"/>
                <w:sz w:val="24"/>
                <w:vertAlign w:val="subscript"/>
              </w:rPr>
              <w:t>a</w:t>
            </w:r>
            <w:r>
              <w:rPr>
                <w:rFonts w:hint="eastAsia"/>
                <w:sz w:val="24"/>
              </w:rPr>
              <w:t xml:space="preserve"> —年用水天数，公共建筑按项目运行天数选取（天/a）</w:t>
            </w:r>
          </w:p>
          <w:p>
            <w:pPr>
              <w:widowControl/>
              <w:spacing w:line="360" w:lineRule="auto"/>
              <w:rPr>
                <w:sz w:val="24"/>
              </w:rPr>
            </w:pPr>
            <w:r>
              <w:rPr>
                <w:rFonts w:hint="eastAsia"/>
                <w:sz w:val="24"/>
              </w:rPr>
              <w:t>W</w:t>
            </w:r>
            <w:r>
              <w:rPr>
                <w:rFonts w:hint="eastAsia"/>
                <w:sz w:val="24"/>
                <w:vertAlign w:val="subscript"/>
              </w:rPr>
              <w:t>k</w:t>
            </w:r>
            <w:r>
              <w:rPr>
                <w:rFonts w:hint="eastAsia"/>
                <w:sz w:val="24"/>
              </w:rPr>
              <w:t>—空气源热泵热水机组的装机功率（KW）</w:t>
            </w:r>
          </w:p>
          <w:p>
            <w:pPr>
              <w:widowControl/>
              <w:spacing w:line="360" w:lineRule="auto"/>
              <w:rPr>
                <w:sz w:val="24"/>
              </w:rPr>
            </w:pPr>
            <w:r>
              <w:rPr>
                <w:rFonts w:hint="eastAsia"/>
                <w:sz w:val="24"/>
              </w:rPr>
              <w:t>T—机组每天运行时间（h）</w:t>
            </w:r>
          </w:p>
          <w:p>
            <w:pPr>
              <w:widowControl/>
              <w:spacing w:line="360" w:lineRule="auto"/>
              <w:rPr>
                <w:sz w:val="24"/>
              </w:rPr>
            </w:pPr>
            <w:r>
              <w:rPr>
                <w:rFonts w:hint="eastAsia"/>
                <w:sz w:val="24"/>
              </w:rPr>
              <w:t>B</w:t>
            </w:r>
            <w:r>
              <w:rPr>
                <w:rFonts w:hint="eastAsia"/>
                <w:sz w:val="24"/>
                <w:vertAlign w:val="subscript"/>
              </w:rPr>
              <w:t>k</w:t>
            </w:r>
            <w:r>
              <w:rPr>
                <w:rFonts w:hint="eastAsia"/>
                <w:sz w:val="24"/>
              </w:rPr>
              <w:t xml:space="preserve"> —空气源热泵热水系统可再生能源利用量热水量计算法核算系数，取值0.0068KWh/(L</w:t>
            </w:r>
            <w:r>
              <w:rPr>
                <w:rFonts w:hint="eastAsia" w:hAnsi="宋体"/>
                <w:sz w:val="24"/>
              </w:rPr>
              <w:t>˙</w:t>
            </w:r>
            <w:r>
              <w:rPr>
                <w:rFonts w:hint="eastAsia"/>
                <w:sz w:val="24"/>
              </w:rPr>
              <w:t>a)</w:t>
            </w:r>
          </w:p>
          <w:p>
            <w:pPr>
              <w:widowControl/>
              <w:spacing w:line="360" w:lineRule="auto"/>
              <w:rPr>
                <w:rFonts w:hAnsi="宋体"/>
                <w:sz w:val="24"/>
              </w:rPr>
            </w:pPr>
            <w:r>
              <w:rPr>
                <w:rFonts w:hint="eastAsia"/>
                <w:sz w:val="24"/>
              </w:rPr>
              <w:t>B</w:t>
            </w:r>
            <w:r>
              <w:rPr>
                <w:rFonts w:hint="eastAsia"/>
                <w:sz w:val="24"/>
                <w:vertAlign w:val="subscript"/>
              </w:rPr>
              <w:t>ks</w:t>
            </w:r>
            <w:r>
              <w:rPr>
                <w:rFonts w:hint="eastAsia"/>
                <w:sz w:val="24"/>
              </w:rPr>
              <w:t xml:space="preserve"> —空气源热泵热水系统可再生能源利用量装机功率计算法核算系数，取值</w:t>
            </w:r>
            <w:r>
              <w:rPr>
                <w:sz w:val="24"/>
              </w:rPr>
              <w:t>0.42</w:t>
            </w:r>
            <w:r>
              <w:rPr>
                <w:rFonts w:hint="eastAsia"/>
                <w:sz w:val="24"/>
              </w:rPr>
              <w:t>KW/KW。</w:t>
            </w:r>
          </w:p>
        </w:tc>
      </w:tr>
    </w:tbl>
    <w:p>
      <w:pPr>
        <w:spacing w:line="360" w:lineRule="auto"/>
        <w:rPr>
          <w:rFonts w:hAnsi="宋体"/>
          <w:sz w:val="24"/>
          <w:lang w:val="en-GB"/>
        </w:rPr>
      </w:pPr>
    </w:p>
    <w:p>
      <w:pPr>
        <w:spacing w:line="360" w:lineRule="auto"/>
        <w:jc w:val="left"/>
        <w:rPr>
          <w:rFonts w:cs="宋体" w:asciiTheme="minorEastAsia" w:hAnsiTheme="minorEastAsia" w:eastAsiaTheme="minorEastAsia"/>
          <w:b/>
          <w:bCs/>
          <w:sz w:val="24"/>
        </w:rPr>
      </w:pPr>
      <w:r>
        <w:rPr>
          <w:rFonts w:hint="eastAsia" w:cs="宋体" w:asciiTheme="minorEastAsia" w:hAnsiTheme="minorEastAsia" w:eastAsiaTheme="minorEastAsia"/>
          <w:b/>
          <w:bCs/>
          <w:sz w:val="24"/>
        </w:rPr>
        <w:t>二、安全耐久健康舒适</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843"/>
        <w:gridCol w:w="6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widowControl/>
              <w:spacing w:line="360" w:lineRule="auto"/>
              <w:rPr>
                <w:sz w:val="24"/>
              </w:rPr>
            </w:pPr>
            <w:r>
              <w:rPr>
                <w:rFonts w:hint="eastAsia"/>
                <w:sz w:val="24"/>
              </w:rPr>
              <w:t>条文来源</w:t>
            </w:r>
          </w:p>
        </w:tc>
        <w:tc>
          <w:tcPr>
            <w:tcW w:w="1843" w:type="dxa"/>
          </w:tcPr>
          <w:p>
            <w:pPr>
              <w:widowControl/>
              <w:spacing w:line="360" w:lineRule="auto"/>
              <w:rPr>
                <w:sz w:val="24"/>
              </w:rPr>
            </w:pPr>
            <w:r>
              <w:rPr>
                <w:rFonts w:hint="eastAsia"/>
                <w:sz w:val="24"/>
              </w:rPr>
              <w:t>GB/T50378-20</w:t>
            </w:r>
            <w:r>
              <w:rPr>
                <w:sz w:val="24"/>
              </w:rPr>
              <w:t>19</w:t>
            </w:r>
          </w:p>
        </w:tc>
        <w:tc>
          <w:tcPr>
            <w:tcW w:w="6095" w:type="dxa"/>
          </w:tcPr>
          <w:p>
            <w:pPr>
              <w:widowControl/>
              <w:spacing w:line="360" w:lineRule="auto"/>
              <w:ind w:firstLine="420"/>
              <w:rPr>
                <w:sz w:val="24"/>
              </w:rPr>
            </w:pPr>
            <w:r>
              <w:rPr>
                <w:sz w:val="24"/>
              </w:rPr>
              <w:t>4.2.7</w:t>
            </w:r>
            <w:r>
              <w:rPr>
                <w:rFonts w:hint="eastAsia"/>
                <w:sz w:val="24"/>
              </w:rPr>
              <w:t>条，</w:t>
            </w:r>
            <w:r>
              <w:rPr>
                <w:sz w:val="24"/>
              </w:rPr>
              <w:t>5.2.3</w:t>
            </w:r>
            <w:r>
              <w:rPr>
                <w:rFonts w:hint="eastAsia"/>
                <w:sz w:val="24"/>
              </w:rPr>
              <w:t>、5</w:t>
            </w:r>
            <w:r>
              <w:rPr>
                <w:sz w:val="24"/>
              </w:rPr>
              <w:t>.2.4</w:t>
            </w:r>
            <w:r>
              <w:rPr>
                <w:rFonts w:hint="eastAsia"/>
                <w:sz w:val="24"/>
              </w:rPr>
              <w:t>、</w:t>
            </w:r>
            <w:r>
              <w:rPr>
                <w:sz w:val="24"/>
              </w:rPr>
              <w:t>5.2.5</w:t>
            </w:r>
            <w:r>
              <w:rPr>
                <w:rFonts w:hint="eastAsia"/>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exact"/>
        </w:trPr>
        <w:tc>
          <w:tcPr>
            <w:tcW w:w="1384" w:type="dxa"/>
            <w:vMerge w:val="continue"/>
          </w:tcPr>
          <w:p>
            <w:pPr>
              <w:widowControl/>
              <w:spacing w:line="360" w:lineRule="auto"/>
              <w:ind w:firstLine="420"/>
              <w:rPr>
                <w:sz w:val="24"/>
              </w:rPr>
            </w:pPr>
          </w:p>
        </w:tc>
        <w:tc>
          <w:tcPr>
            <w:tcW w:w="1843" w:type="dxa"/>
          </w:tcPr>
          <w:p>
            <w:pPr>
              <w:widowControl/>
              <w:spacing w:line="360" w:lineRule="auto"/>
              <w:rPr>
                <w:sz w:val="24"/>
              </w:rPr>
            </w:pPr>
            <w:r>
              <w:rPr>
                <w:rFonts w:hint="eastAsia"/>
                <w:sz w:val="24"/>
              </w:rPr>
              <w:t>DB33/1092-2021</w:t>
            </w:r>
          </w:p>
        </w:tc>
        <w:tc>
          <w:tcPr>
            <w:tcW w:w="6095" w:type="dxa"/>
          </w:tcPr>
          <w:p>
            <w:pPr>
              <w:widowControl/>
              <w:spacing w:line="360" w:lineRule="auto"/>
              <w:ind w:firstLine="420"/>
              <w:rPr>
                <w:sz w:val="24"/>
              </w:rPr>
            </w:pPr>
            <w:r>
              <w:rPr>
                <w:rFonts w:hint="eastAsia"/>
                <w:sz w:val="24"/>
              </w:rPr>
              <w:t>7.1.5、</w:t>
            </w:r>
            <w:r>
              <w:rPr>
                <w:sz w:val="24"/>
              </w:rPr>
              <w:t>7</w:t>
            </w:r>
            <w:r>
              <w:rPr>
                <w:rFonts w:hint="eastAsia"/>
                <w:sz w:val="24"/>
              </w:rPr>
              <w:t>.2.1、7.2.3、7.2.8、7.2.9条。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widowControl/>
              <w:spacing w:line="360" w:lineRule="auto"/>
              <w:rPr>
                <w:sz w:val="24"/>
              </w:rPr>
            </w:pPr>
            <w:r>
              <w:rPr>
                <w:rFonts w:hint="eastAsia"/>
                <w:sz w:val="24"/>
              </w:rPr>
              <w:t>依据材料</w:t>
            </w:r>
          </w:p>
        </w:tc>
        <w:tc>
          <w:tcPr>
            <w:tcW w:w="7938" w:type="dxa"/>
            <w:gridSpan w:val="2"/>
          </w:tcPr>
          <w:p>
            <w:pPr>
              <w:widowControl/>
              <w:spacing w:line="360" w:lineRule="auto"/>
              <w:rPr>
                <w:sz w:val="24"/>
              </w:rPr>
            </w:pPr>
            <w:r>
              <w:rPr>
                <w:rFonts w:hint="eastAsia"/>
                <w:sz w:val="24"/>
              </w:rPr>
              <w:t>查阅设计图纸及说明，节能评估报告书。</w:t>
            </w:r>
          </w:p>
          <w:p>
            <w:pPr>
              <w:widowControl/>
              <w:spacing w:line="360" w:lineRule="auto"/>
              <w:rPr>
                <w:sz w:val="24"/>
              </w:rPr>
            </w:pPr>
            <w:r>
              <w:rPr>
                <w:rFonts w:hint="eastAsia"/>
                <w:sz w:val="24"/>
              </w:rPr>
              <w:t>设计说明中对管材管件阀门等的选择应符合下列要求</w:t>
            </w:r>
            <w:r>
              <w:rPr>
                <w:sz w:val="24"/>
              </w:rPr>
              <w:t>:</w:t>
            </w:r>
          </w:p>
          <w:p>
            <w:pPr>
              <w:widowControl/>
              <w:spacing w:line="360" w:lineRule="auto"/>
              <w:rPr>
                <w:sz w:val="24"/>
              </w:rPr>
            </w:pPr>
            <w:r>
              <w:rPr>
                <w:sz w:val="24"/>
              </w:rPr>
              <w:t>1)</w:t>
            </w:r>
            <w:r>
              <w:rPr>
                <w:rFonts w:hint="eastAsia"/>
                <w:sz w:val="24"/>
              </w:rPr>
              <w:t>给水系统中使用的管材、管件</w:t>
            </w:r>
            <w:r>
              <w:rPr>
                <w:sz w:val="24"/>
              </w:rPr>
              <w:t>,</w:t>
            </w:r>
            <w:r>
              <w:rPr>
                <w:rFonts w:hint="eastAsia"/>
                <w:sz w:val="24"/>
              </w:rPr>
              <w:t>必须符合现行产品行业标准的要求。对新型管材和管件应符合企业标准的要求</w:t>
            </w:r>
            <w:r>
              <w:rPr>
                <w:sz w:val="24"/>
              </w:rPr>
              <w:t>,</w:t>
            </w:r>
            <w:r>
              <w:rPr>
                <w:rFonts w:hint="eastAsia"/>
                <w:sz w:val="24"/>
              </w:rPr>
              <w:t>企业标准必须经山有关行政和政府主管部门</w:t>
            </w:r>
            <w:r>
              <w:rPr>
                <w:sz w:val="24"/>
              </w:rPr>
              <w:t>,</w:t>
            </w:r>
            <w:r>
              <w:rPr>
                <w:rFonts w:hint="eastAsia"/>
                <w:sz w:val="24"/>
              </w:rPr>
              <w:t>组织专家评估或鉴定通过</w:t>
            </w:r>
            <w:r>
              <w:rPr>
                <w:sz w:val="24"/>
              </w:rPr>
              <w:t>;</w:t>
            </w:r>
          </w:p>
          <w:p>
            <w:pPr>
              <w:widowControl/>
              <w:spacing w:line="360" w:lineRule="auto"/>
              <w:rPr>
                <w:sz w:val="24"/>
              </w:rPr>
            </w:pPr>
            <w:r>
              <w:rPr>
                <w:sz w:val="24"/>
              </w:rPr>
              <w:t>2)</w:t>
            </w:r>
            <w:r>
              <w:rPr>
                <w:rFonts w:hint="eastAsia"/>
                <w:sz w:val="24"/>
              </w:rPr>
              <w:t>选用性能高的阀门、零泄漏阀门等</w:t>
            </w:r>
            <w:r>
              <w:rPr>
                <w:sz w:val="24"/>
              </w:rPr>
              <w:t>;</w:t>
            </w:r>
          </w:p>
          <w:p>
            <w:pPr>
              <w:widowControl/>
              <w:spacing w:line="360" w:lineRule="auto"/>
              <w:rPr>
                <w:sz w:val="24"/>
              </w:rPr>
            </w:pPr>
            <w:r>
              <w:rPr>
                <w:sz w:val="24"/>
              </w:rPr>
              <w:t>3)</w:t>
            </w:r>
            <w:r>
              <w:rPr>
                <w:rFonts w:hint="eastAsia"/>
                <w:sz w:val="24"/>
              </w:rPr>
              <w:t>合理设计供水压力</w:t>
            </w:r>
            <w:r>
              <w:rPr>
                <w:sz w:val="24"/>
              </w:rPr>
              <w:t>,</w:t>
            </w:r>
            <w:r>
              <w:rPr>
                <w:rFonts w:hint="eastAsia"/>
                <w:sz w:val="24"/>
              </w:rPr>
              <w:t>避免供水压力持续高压或压力骤变</w:t>
            </w:r>
            <w:r>
              <w:rPr>
                <w:sz w:val="24"/>
              </w:rPr>
              <w:t>;</w:t>
            </w:r>
          </w:p>
          <w:p>
            <w:pPr>
              <w:widowControl/>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widowControl/>
              <w:spacing w:line="360" w:lineRule="auto"/>
              <w:rPr>
                <w:sz w:val="24"/>
              </w:rPr>
            </w:pPr>
            <w:r>
              <w:rPr>
                <w:rFonts w:hint="eastAsia"/>
                <w:sz w:val="24"/>
              </w:rPr>
              <w:t>备注</w:t>
            </w:r>
          </w:p>
        </w:tc>
        <w:tc>
          <w:tcPr>
            <w:tcW w:w="7938" w:type="dxa"/>
            <w:gridSpan w:val="2"/>
          </w:tcPr>
          <w:p>
            <w:pPr>
              <w:widowControl/>
              <w:spacing w:line="360" w:lineRule="auto"/>
              <w:rPr>
                <w:sz w:val="24"/>
              </w:rPr>
            </w:pPr>
            <w:r>
              <w:rPr>
                <w:rFonts w:hint="eastAsia"/>
                <w:sz w:val="24"/>
              </w:rPr>
              <w:t>远传水表应根据水量平衡测试的要求分级安装，分级计量水表安装率应达100％。具体要求为下级水表的设置应覆盖上一级水表的所有出流量，不得出现无计量支路。物业管理方应通过远传水表的数据进行管道漏损情况检测，随时了解管道漏损情况，及时查找漏损点并进行整改。</w:t>
            </w:r>
          </w:p>
        </w:tc>
      </w:tr>
    </w:tbl>
    <w:p>
      <w:pPr>
        <w:spacing w:line="360" w:lineRule="auto"/>
        <w:ind w:firstLine="481" w:firstLineChars="200"/>
        <w:jc w:val="left"/>
        <w:rPr>
          <w:rFonts w:cs="宋体" w:asciiTheme="minorEastAsia" w:hAnsiTheme="minorEastAsia" w:eastAsiaTheme="minorEastAsia"/>
          <w:b/>
          <w:bCs/>
          <w:sz w:val="24"/>
        </w:rPr>
      </w:pPr>
    </w:p>
    <w:p>
      <w:pPr>
        <w:spacing w:line="360" w:lineRule="auto"/>
        <w:jc w:val="left"/>
        <w:rPr>
          <w:rFonts w:cs="宋体" w:asciiTheme="minorEastAsia" w:hAnsiTheme="minorEastAsia" w:eastAsiaTheme="minorEastAsia"/>
          <w:b/>
          <w:bCs/>
          <w:sz w:val="24"/>
        </w:rPr>
      </w:pPr>
      <w:r>
        <w:rPr>
          <w:rFonts w:hint="eastAsia" w:cs="宋体" w:asciiTheme="minorEastAsia" w:hAnsiTheme="minorEastAsia" w:eastAsiaTheme="minorEastAsia"/>
          <w:b/>
          <w:bCs/>
          <w:sz w:val="24"/>
        </w:rPr>
        <w:t>三、本项目给水系统</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843"/>
        <w:gridCol w:w="6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widowControl/>
              <w:spacing w:line="360" w:lineRule="auto"/>
              <w:rPr>
                <w:sz w:val="24"/>
              </w:rPr>
            </w:pPr>
            <w:r>
              <w:rPr>
                <w:rFonts w:hint="eastAsia"/>
                <w:sz w:val="24"/>
              </w:rPr>
              <w:t>条文来源</w:t>
            </w:r>
          </w:p>
        </w:tc>
        <w:tc>
          <w:tcPr>
            <w:tcW w:w="1843" w:type="dxa"/>
          </w:tcPr>
          <w:p>
            <w:pPr>
              <w:widowControl/>
              <w:spacing w:line="360" w:lineRule="auto"/>
              <w:rPr>
                <w:sz w:val="24"/>
              </w:rPr>
            </w:pPr>
            <w:r>
              <w:rPr>
                <w:rFonts w:hint="eastAsia"/>
                <w:sz w:val="24"/>
              </w:rPr>
              <w:t>GB/T 50015-201</w:t>
            </w:r>
            <w:r>
              <w:rPr>
                <w:sz w:val="24"/>
              </w:rPr>
              <w:t>9</w:t>
            </w:r>
          </w:p>
        </w:tc>
        <w:tc>
          <w:tcPr>
            <w:tcW w:w="6095" w:type="dxa"/>
          </w:tcPr>
          <w:p>
            <w:pPr>
              <w:widowControl/>
              <w:spacing w:line="360" w:lineRule="auto"/>
              <w:rPr>
                <w:sz w:val="24"/>
              </w:rPr>
            </w:pPr>
            <w:r>
              <w:rPr>
                <w:rFonts w:hint="eastAsia"/>
                <w:sz w:val="24"/>
              </w:rPr>
              <w:t>3.4节、3.13.3条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widowControl/>
              <w:spacing w:line="360" w:lineRule="auto"/>
              <w:rPr>
                <w:sz w:val="24"/>
              </w:rPr>
            </w:pPr>
          </w:p>
        </w:tc>
        <w:tc>
          <w:tcPr>
            <w:tcW w:w="1843" w:type="dxa"/>
          </w:tcPr>
          <w:p>
            <w:pPr>
              <w:widowControl/>
              <w:spacing w:line="360" w:lineRule="auto"/>
              <w:rPr>
                <w:sz w:val="24"/>
              </w:rPr>
            </w:pPr>
            <w:r>
              <w:rPr>
                <w:rFonts w:hint="eastAsia"/>
                <w:sz w:val="24"/>
              </w:rPr>
              <w:t>GB/T 50378-201</w:t>
            </w:r>
            <w:r>
              <w:rPr>
                <w:sz w:val="24"/>
              </w:rPr>
              <w:t>9</w:t>
            </w:r>
          </w:p>
        </w:tc>
        <w:tc>
          <w:tcPr>
            <w:tcW w:w="6095" w:type="dxa"/>
          </w:tcPr>
          <w:p>
            <w:pPr>
              <w:widowControl/>
              <w:spacing w:line="360" w:lineRule="auto"/>
              <w:rPr>
                <w:sz w:val="24"/>
              </w:rPr>
            </w:pPr>
            <w:r>
              <w:rPr>
                <w:sz w:val="24"/>
              </w:rPr>
              <w:t>7.1.7</w:t>
            </w:r>
            <w:r>
              <w:rPr>
                <w:rFonts w:hint="eastAsia"/>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widowControl/>
              <w:spacing w:line="360" w:lineRule="auto"/>
              <w:rPr>
                <w:sz w:val="24"/>
              </w:rPr>
            </w:pPr>
          </w:p>
        </w:tc>
        <w:tc>
          <w:tcPr>
            <w:tcW w:w="1843" w:type="dxa"/>
          </w:tcPr>
          <w:p>
            <w:pPr>
              <w:widowControl/>
              <w:spacing w:line="360" w:lineRule="auto"/>
              <w:rPr>
                <w:sz w:val="24"/>
              </w:rPr>
            </w:pPr>
            <w:r>
              <w:rPr>
                <w:rFonts w:hint="eastAsia"/>
                <w:sz w:val="24"/>
              </w:rPr>
              <w:t>DB33/1092-2021</w:t>
            </w:r>
          </w:p>
        </w:tc>
        <w:tc>
          <w:tcPr>
            <w:tcW w:w="6095" w:type="dxa"/>
          </w:tcPr>
          <w:p>
            <w:pPr>
              <w:widowControl/>
              <w:spacing w:line="360" w:lineRule="auto"/>
              <w:rPr>
                <w:sz w:val="24"/>
              </w:rPr>
            </w:pPr>
            <w:r>
              <w:rPr>
                <w:rFonts w:hint="eastAsia"/>
                <w:sz w:val="24"/>
              </w:rPr>
              <w:t>7.2.</w:t>
            </w:r>
            <w:r>
              <w:rPr>
                <w:sz w:val="24"/>
              </w:rPr>
              <w:t>3</w:t>
            </w:r>
            <w:r>
              <w:rPr>
                <w:rFonts w:hint="eastAsia"/>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widowControl/>
              <w:spacing w:line="360" w:lineRule="auto"/>
              <w:rPr>
                <w:sz w:val="24"/>
              </w:rPr>
            </w:pPr>
          </w:p>
        </w:tc>
        <w:tc>
          <w:tcPr>
            <w:tcW w:w="1843" w:type="dxa"/>
          </w:tcPr>
          <w:p>
            <w:pPr>
              <w:widowControl/>
              <w:spacing w:line="360" w:lineRule="auto"/>
              <w:rPr>
                <w:sz w:val="24"/>
              </w:rPr>
            </w:pPr>
            <w:r>
              <w:rPr>
                <w:rFonts w:hint="eastAsia"/>
                <w:sz w:val="24"/>
              </w:rPr>
              <w:t>DB33/1015-2021</w:t>
            </w:r>
          </w:p>
        </w:tc>
        <w:tc>
          <w:tcPr>
            <w:tcW w:w="6095" w:type="dxa"/>
          </w:tcPr>
          <w:p>
            <w:pPr>
              <w:widowControl/>
              <w:spacing w:line="360" w:lineRule="auto"/>
              <w:rPr>
                <w:sz w:val="24"/>
              </w:rPr>
            </w:pPr>
            <w:r>
              <w:rPr>
                <w:rFonts w:hint="eastAsia"/>
                <w:sz w:val="24"/>
              </w:rPr>
              <w:t>7.2.1、7.2.3、7.2.4、7.2.5条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widowControl/>
              <w:spacing w:line="360" w:lineRule="auto"/>
              <w:rPr>
                <w:sz w:val="24"/>
              </w:rPr>
            </w:pPr>
            <w:r>
              <w:rPr>
                <w:rFonts w:hint="eastAsia"/>
                <w:sz w:val="24"/>
              </w:rPr>
              <w:t>依据材料</w:t>
            </w:r>
          </w:p>
        </w:tc>
        <w:tc>
          <w:tcPr>
            <w:tcW w:w="7938" w:type="dxa"/>
            <w:gridSpan w:val="2"/>
          </w:tcPr>
          <w:p>
            <w:pPr>
              <w:widowControl/>
              <w:spacing w:line="360" w:lineRule="auto"/>
              <w:rPr>
                <w:sz w:val="24"/>
              </w:rPr>
            </w:pPr>
            <w:r>
              <w:rPr>
                <w:rFonts w:hint="eastAsia"/>
                <w:sz w:val="24"/>
              </w:rPr>
              <w:t>查阅设计图纸及说明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widowControl/>
              <w:spacing w:line="360" w:lineRule="auto"/>
              <w:rPr>
                <w:sz w:val="24"/>
              </w:rPr>
            </w:pPr>
            <w:r>
              <w:rPr>
                <w:rFonts w:hint="eastAsia"/>
                <w:sz w:val="24"/>
              </w:rPr>
              <w:t>备注</w:t>
            </w:r>
          </w:p>
        </w:tc>
        <w:tc>
          <w:tcPr>
            <w:tcW w:w="7938" w:type="dxa"/>
            <w:gridSpan w:val="2"/>
          </w:tcPr>
          <w:p>
            <w:pPr>
              <w:widowControl/>
              <w:spacing w:line="360" w:lineRule="auto"/>
              <w:rPr>
                <w:sz w:val="24"/>
              </w:rPr>
            </w:pPr>
          </w:p>
        </w:tc>
      </w:tr>
    </w:tbl>
    <w:p>
      <w:pPr>
        <w:spacing w:line="360" w:lineRule="auto"/>
        <w:ind w:firstLine="480" w:firstLineChars="200"/>
        <w:rPr>
          <w:rFonts w:asciiTheme="minorEastAsia" w:hAnsiTheme="minorEastAsia" w:eastAsiaTheme="minorEastAsia"/>
          <w:sz w:val="24"/>
          <w:lang w:val="en-GB"/>
        </w:rPr>
      </w:pPr>
    </w:p>
    <w:p>
      <w:pPr>
        <w:spacing w:line="360" w:lineRule="auto"/>
        <w:jc w:val="left"/>
        <w:rPr>
          <w:rFonts w:cs="宋体" w:asciiTheme="minorEastAsia" w:hAnsiTheme="minorEastAsia" w:eastAsiaTheme="minorEastAsia"/>
          <w:b/>
          <w:bCs/>
          <w:sz w:val="24"/>
        </w:rPr>
      </w:pPr>
      <w:r>
        <w:rPr>
          <w:rFonts w:hint="eastAsia" w:cs="宋体" w:asciiTheme="minorEastAsia" w:hAnsiTheme="minorEastAsia" w:eastAsiaTheme="minorEastAsia"/>
          <w:b/>
          <w:bCs/>
          <w:sz w:val="24"/>
        </w:rPr>
        <w:t>四、节水与水资源利用</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1985"/>
        <w:gridCol w:w="5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widowControl/>
              <w:spacing w:line="360" w:lineRule="auto"/>
              <w:rPr>
                <w:sz w:val="24"/>
              </w:rPr>
            </w:pPr>
            <w:r>
              <w:rPr>
                <w:rFonts w:hint="eastAsia"/>
                <w:sz w:val="24"/>
              </w:rPr>
              <w:t>条文来源</w:t>
            </w:r>
          </w:p>
        </w:tc>
        <w:tc>
          <w:tcPr>
            <w:tcW w:w="1985" w:type="dxa"/>
          </w:tcPr>
          <w:p>
            <w:pPr>
              <w:widowControl/>
              <w:spacing w:line="360" w:lineRule="auto"/>
              <w:rPr>
                <w:sz w:val="24"/>
              </w:rPr>
            </w:pPr>
            <w:r>
              <w:rPr>
                <w:rFonts w:hint="eastAsia"/>
                <w:sz w:val="24"/>
              </w:rPr>
              <w:t>GB/T 50378-20</w:t>
            </w:r>
            <w:r>
              <w:rPr>
                <w:sz w:val="24"/>
              </w:rPr>
              <w:t>19</w:t>
            </w:r>
          </w:p>
        </w:tc>
        <w:tc>
          <w:tcPr>
            <w:tcW w:w="5953" w:type="dxa"/>
          </w:tcPr>
          <w:p>
            <w:pPr>
              <w:widowControl/>
              <w:spacing w:line="360" w:lineRule="auto"/>
              <w:rPr>
                <w:sz w:val="24"/>
              </w:rPr>
            </w:pPr>
            <w:r>
              <w:rPr>
                <w:rFonts w:hint="eastAsia"/>
                <w:sz w:val="24"/>
              </w:rPr>
              <w:t>6</w:t>
            </w:r>
            <w:r>
              <w:rPr>
                <w:sz w:val="24"/>
              </w:rPr>
              <w:t>.2.8</w:t>
            </w:r>
            <w:r>
              <w:rPr>
                <w:rFonts w:hint="eastAsia"/>
                <w:sz w:val="24"/>
              </w:rPr>
              <w:t>、</w:t>
            </w:r>
            <w:r>
              <w:rPr>
                <w:sz w:val="24"/>
              </w:rPr>
              <w:t>6.2.11</w:t>
            </w:r>
            <w:r>
              <w:rPr>
                <w:rFonts w:hint="eastAsia"/>
                <w:sz w:val="24"/>
              </w:rPr>
              <w:t>、</w:t>
            </w:r>
            <w:r>
              <w:rPr>
                <w:sz w:val="24"/>
              </w:rPr>
              <w:t>7.2.10</w:t>
            </w:r>
            <w:r>
              <w:rPr>
                <w:rFonts w:hint="eastAsia"/>
                <w:sz w:val="24"/>
              </w:rPr>
              <w:t>、7</w:t>
            </w:r>
            <w:r>
              <w:rPr>
                <w:sz w:val="24"/>
              </w:rPr>
              <w:t>.2.11</w:t>
            </w:r>
            <w:r>
              <w:rPr>
                <w:rFonts w:hint="eastAsia"/>
                <w:sz w:val="24"/>
              </w:rPr>
              <w:t>、7.2.12、7.2.13条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widowControl/>
              <w:spacing w:line="360" w:lineRule="auto"/>
              <w:rPr>
                <w:sz w:val="24"/>
              </w:rPr>
            </w:pPr>
          </w:p>
        </w:tc>
        <w:tc>
          <w:tcPr>
            <w:tcW w:w="1985" w:type="dxa"/>
          </w:tcPr>
          <w:p>
            <w:pPr>
              <w:widowControl/>
              <w:spacing w:line="360" w:lineRule="auto"/>
              <w:rPr>
                <w:sz w:val="24"/>
              </w:rPr>
            </w:pPr>
            <w:r>
              <w:rPr>
                <w:rFonts w:hint="eastAsia"/>
                <w:sz w:val="24"/>
              </w:rPr>
              <w:t>GB</w:t>
            </w:r>
            <w:r>
              <w:rPr>
                <w:sz w:val="24"/>
              </w:rPr>
              <w:t>50015-2019</w:t>
            </w:r>
          </w:p>
        </w:tc>
        <w:tc>
          <w:tcPr>
            <w:tcW w:w="5953" w:type="dxa"/>
          </w:tcPr>
          <w:p>
            <w:pPr>
              <w:widowControl/>
              <w:spacing w:line="360" w:lineRule="auto"/>
              <w:rPr>
                <w:sz w:val="24"/>
              </w:rPr>
            </w:pPr>
            <w:r>
              <w:rPr>
                <w:rFonts w:hint="eastAsia"/>
                <w:sz w:val="24"/>
              </w:rPr>
              <w:t>3</w:t>
            </w:r>
            <w:r>
              <w:rPr>
                <w:sz w:val="24"/>
              </w:rPr>
              <w:t>.4</w:t>
            </w:r>
            <w:r>
              <w:rPr>
                <w:rFonts w:hint="eastAsia"/>
                <w:sz w:val="24"/>
              </w:rPr>
              <w:t>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exact"/>
        </w:trPr>
        <w:tc>
          <w:tcPr>
            <w:tcW w:w="1384" w:type="dxa"/>
            <w:vMerge w:val="continue"/>
          </w:tcPr>
          <w:p>
            <w:pPr>
              <w:widowControl/>
              <w:spacing w:line="360" w:lineRule="auto"/>
              <w:rPr>
                <w:sz w:val="24"/>
              </w:rPr>
            </w:pPr>
          </w:p>
        </w:tc>
        <w:tc>
          <w:tcPr>
            <w:tcW w:w="1985" w:type="dxa"/>
          </w:tcPr>
          <w:p>
            <w:pPr>
              <w:widowControl/>
              <w:spacing w:line="360" w:lineRule="auto"/>
              <w:rPr>
                <w:sz w:val="24"/>
              </w:rPr>
            </w:pPr>
            <w:r>
              <w:rPr>
                <w:rFonts w:hint="eastAsia"/>
                <w:sz w:val="24"/>
              </w:rPr>
              <w:t>DB33/1092-2021</w:t>
            </w:r>
          </w:p>
        </w:tc>
        <w:tc>
          <w:tcPr>
            <w:tcW w:w="5953" w:type="dxa"/>
          </w:tcPr>
          <w:p>
            <w:pPr>
              <w:widowControl/>
              <w:spacing w:line="360" w:lineRule="auto"/>
              <w:rPr>
                <w:sz w:val="24"/>
              </w:rPr>
            </w:pPr>
            <w:r>
              <w:rPr>
                <w:rFonts w:hint="eastAsia"/>
                <w:sz w:val="24"/>
              </w:rPr>
              <w:t>7.2.3、7.2.9、7.2.10、7.</w:t>
            </w:r>
            <w:r>
              <w:rPr>
                <w:sz w:val="24"/>
              </w:rPr>
              <w:t>2.11</w:t>
            </w:r>
            <w:r>
              <w:rPr>
                <w:rFonts w:hint="eastAsia"/>
                <w:sz w:val="24"/>
              </w:rPr>
              <w:t>、7</w:t>
            </w:r>
            <w:r>
              <w:rPr>
                <w:sz w:val="24"/>
              </w:rPr>
              <w:t>.2.12</w:t>
            </w:r>
            <w:r>
              <w:rPr>
                <w:rFonts w:hint="eastAsia"/>
                <w:sz w:val="24"/>
              </w:rPr>
              <w:t>、7</w:t>
            </w:r>
            <w:r>
              <w:rPr>
                <w:sz w:val="24"/>
              </w:rPr>
              <w:t>.3.1</w:t>
            </w:r>
            <w:r>
              <w:rPr>
                <w:rFonts w:hint="eastAsia"/>
                <w:sz w:val="24"/>
              </w:rPr>
              <w:t>、7</w:t>
            </w:r>
            <w:r>
              <w:rPr>
                <w:sz w:val="24"/>
              </w:rPr>
              <w:t>.3.2</w:t>
            </w:r>
            <w:r>
              <w:rPr>
                <w:rFonts w:hint="eastAsia"/>
                <w:sz w:val="24"/>
              </w:rPr>
              <w:t>、7.3.9、7.3.10、7</w:t>
            </w:r>
            <w:r>
              <w:rPr>
                <w:sz w:val="24"/>
              </w:rPr>
              <w:t>.</w:t>
            </w:r>
            <w:r>
              <w:rPr>
                <w:rFonts w:hint="eastAsia"/>
                <w:sz w:val="24"/>
              </w:rPr>
              <w:t>3</w:t>
            </w:r>
            <w:r>
              <w:rPr>
                <w:sz w:val="24"/>
              </w:rPr>
              <w:t>.1</w:t>
            </w:r>
            <w:r>
              <w:rPr>
                <w:rFonts w:hint="eastAsia"/>
                <w:sz w:val="24"/>
              </w:rPr>
              <w:t>1</w:t>
            </w:r>
            <w:r>
              <w:rPr>
                <w:sz w:val="24"/>
              </w:rPr>
              <w:t>.</w:t>
            </w:r>
            <w:r>
              <w:rPr>
                <w:rFonts w:hint="eastAsia"/>
                <w:sz w:val="24"/>
              </w:rPr>
              <w:t>、7.4.1、7</w:t>
            </w:r>
            <w:r>
              <w:rPr>
                <w:sz w:val="24"/>
              </w:rPr>
              <w:t>.4.2</w:t>
            </w:r>
            <w:r>
              <w:rPr>
                <w:rFonts w:hint="eastAsia"/>
                <w:sz w:val="24"/>
              </w:rPr>
              <w:t>、7.4.3、7</w:t>
            </w:r>
            <w:r>
              <w:rPr>
                <w:sz w:val="24"/>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widowControl/>
              <w:spacing w:line="360" w:lineRule="auto"/>
              <w:rPr>
                <w:sz w:val="24"/>
              </w:rPr>
            </w:pPr>
            <w:r>
              <w:rPr>
                <w:rFonts w:hint="eastAsia"/>
                <w:sz w:val="24"/>
              </w:rPr>
              <w:t>依据材料</w:t>
            </w:r>
          </w:p>
        </w:tc>
        <w:tc>
          <w:tcPr>
            <w:tcW w:w="7938" w:type="dxa"/>
            <w:gridSpan w:val="2"/>
          </w:tcPr>
          <w:p>
            <w:pPr>
              <w:widowControl/>
              <w:spacing w:line="360" w:lineRule="auto"/>
              <w:rPr>
                <w:sz w:val="24"/>
              </w:rPr>
            </w:pPr>
            <w:r>
              <w:rPr>
                <w:rFonts w:hint="eastAsia"/>
                <w:sz w:val="24"/>
              </w:rPr>
              <w:t>查阅设计图纸及说明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widowControl/>
              <w:spacing w:line="360" w:lineRule="auto"/>
              <w:rPr>
                <w:sz w:val="24"/>
              </w:rPr>
            </w:pPr>
            <w:r>
              <w:rPr>
                <w:rFonts w:hint="eastAsia"/>
                <w:sz w:val="24"/>
              </w:rPr>
              <w:t>备注</w:t>
            </w:r>
          </w:p>
        </w:tc>
        <w:tc>
          <w:tcPr>
            <w:tcW w:w="7938" w:type="dxa"/>
            <w:gridSpan w:val="2"/>
          </w:tcPr>
          <w:p>
            <w:pPr>
              <w:widowControl/>
              <w:spacing w:line="360" w:lineRule="auto"/>
              <w:rPr>
                <w:sz w:val="24"/>
              </w:rPr>
            </w:pPr>
            <w:r>
              <w:rPr>
                <w:rFonts w:hint="eastAsia"/>
                <w:sz w:val="24"/>
              </w:rPr>
              <w:t>按使用用途，对商业餐饮、公共卫生间、商户用水、绿化、空调系统、游泳池、景观等用水分别设置用水计量装置，统计用水量，如果本项目不涉及以上某些功能，涉及的功能已设计量装置，应填是。设计说明应明确计量要求</w:t>
            </w:r>
            <w:r>
              <w:rPr>
                <w:sz w:val="24"/>
              </w:rPr>
              <w:t>,</w:t>
            </w:r>
            <w:r>
              <w:rPr>
                <w:rFonts w:hint="eastAsia"/>
                <w:sz w:val="24"/>
              </w:rPr>
              <w:t>施工图中表示水表设置位置</w:t>
            </w:r>
            <w:r>
              <w:rPr>
                <w:sz w:val="24"/>
              </w:rPr>
              <w:t>,</w:t>
            </w:r>
            <w:r>
              <w:rPr>
                <w:rFonts w:hint="eastAsia"/>
                <w:sz w:val="24"/>
              </w:rPr>
              <w:t>分级计量水表安装率达</w:t>
            </w:r>
            <w:r>
              <w:rPr>
                <w:sz w:val="24"/>
              </w:rPr>
              <w:t>100%。</w:t>
            </w:r>
            <w:r>
              <w:rPr>
                <w:rFonts w:hint="eastAsia"/>
                <w:sz w:val="24"/>
              </w:rPr>
              <w:t>具体要求为下级水表的设置应覆盖上一级水表的所有出流量</w:t>
            </w:r>
            <w:r>
              <w:rPr>
                <w:sz w:val="24"/>
              </w:rPr>
              <w:t>,</w:t>
            </w:r>
            <w:r>
              <w:rPr>
                <w:rFonts w:hint="eastAsia"/>
                <w:sz w:val="24"/>
              </w:rPr>
              <w:t>不得出现无计量支路。设计说明中应明确绿化灌溉采用的灌水方式</w:t>
            </w:r>
            <w:r>
              <w:rPr>
                <w:sz w:val="24"/>
              </w:rPr>
              <w:t>,</w:t>
            </w:r>
            <w:r>
              <w:rPr>
                <w:rFonts w:hint="eastAsia"/>
                <w:sz w:val="24"/>
              </w:rPr>
              <w:t>及是否采用土壤湿度感应器或雨天关闭装置等措施。</w:t>
            </w:r>
          </w:p>
        </w:tc>
      </w:tr>
    </w:tbl>
    <w:p>
      <w:pPr>
        <w:spacing w:line="360" w:lineRule="auto"/>
        <w:jc w:val="left"/>
        <w:rPr>
          <w:rFonts w:asciiTheme="minorEastAsia" w:hAnsiTheme="minorEastAsia" w:eastAsiaTheme="minorEastAsia"/>
          <w:sz w:val="24"/>
        </w:rPr>
      </w:pPr>
    </w:p>
    <w:p>
      <w:pPr>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五、合理使用非传统水源</w:t>
      </w:r>
    </w:p>
    <w:tbl>
      <w:tblPr>
        <w:tblStyle w:val="45"/>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53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widowControl/>
              <w:spacing w:line="360" w:lineRule="auto"/>
              <w:rPr>
                <w:sz w:val="24"/>
              </w:rPr>
            </w:pPr>
            <w:r>
              <w:rPr>
                <w:rFonts w:hint="eastAsia"/>
                <w:sz w:val="24"/>
              </w:rPr>
              <w:t>条文来源</w:t>
            </w:r>
          </w:p>
        </w:tc>
        <w:tc>
          <w:tcPr>
            <w:tcW w:w="2268" w:type="dxa"/>
          </w:tcPr>
          <w:p>
            <w:pPr>
              <w:widowControl/>
              <w:spacing w:line="360" w:lineRule="auto"/>
              <w:rPr>
                <w:sz w:val="24"/>
              </w:rPr>
            </w:pPr>
            <w:r>
              <w:rPr>
                <w:rFonts w:hint="eastAsia"/>
                <w:sz w:val="24"/>
              </w:rPr>
              <w:t>GB/T 50378-201</w:t>
            </w:r>
            <w:r>
              <w:rPr>
                <w:sz w:val="24"/>
              </w:rPr>
              <w:t>9</w:t>
            </w:r>
          </w:p>
        </w:tc>
        <w:tc>
          <w:tcPr>
            <w:tcW w:w="5387" w:type="dxa"/>
          </w:tcPr>
          <w:p>
            <w:pPr>
              <w:widowControl/>
              <w:spacing w:line="360" w:lineRule="auto"/>
              <w:rPr>
                <w:sz w:val="24"/>
              </w:rPr>
            </w:pPr>
            <w:r>
              <w:rPr>
                <w:sz w:val="24"/>
              </w:rPr>
              <w:t>7.1.</w:t>
            </w:r>
            <w:r>
              <w:rPr>
                <w:rFonts w:hint="eastAsia"/>
                <w:sz w:val="24"/>
              </w:rPr>
              <w:t>7、</w:t>
            </w:r>
            <w:r>
              <w:rPr>
                <w:sz w:val="24"/>
              </w:rPr>
              <w:t>7.2.13</w:t>
            </w:r>
            <w:r>
              <w:rPr>
                <w:rFonts w:hint="eastAsia"/>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widowControl/>
              <w:spacing w:line="360" w:lineRule="auto"/>
              <w:rPr>
                <w:sz w:val="24"/>
              </w:rPr>
            </w:pPr>
          </w:p>
        </w:tc>
        <w:tc>
          <w:tcPr>
            <w:tcW w:w="2268" w:type="dxa"/>
          </w:tcPr>
          <w:p>
            <w:pPr>
              <w:widowControl/>
              <w:spacing w:line="360" w:lineRule="auto"/>
              <w:rPr>
                <w:sz w:val="24"/>
              </w:rPr>
            </w:pPr>
            <w:r>
              <w:rPr>
                <w:rFonts w:hint="eastAsia"/>
                <w:sz w:val="24"/>
              </w:rPr>
              <w:t>GB50336-20</w:t>
            </w:r>
            <w:r>
              <w:rPr>
                <w:sz w:val="24"/>
              </w:rPr>
              <w:t>18</w:t>
            </w:r>
          </w:p>
        </w:tc>
        <w:tc>
          <w:tcPr>
            <w:tcW w:w="5387" w:type="dxa"/>
          </w:tcPr>
          <w:p>
            <w:pPr>
              <w:widowControl/>
              <w:spacing w:line="360" w:lineRule="auto"/>
              <w:rPr>
                <w:sz w:val="24"/>
              </w:rPr>
            </w:pPr>
            <w:r>
              <w:rPr>
                <w:rFonts w:hint="eastAsia"/>
                <w:sz w:val="24"/>
              </w:rPr>
              <w:t>5.4.7条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384" w:type="dxa"/>
            <w:vMerge w:val="continue"/>
          </w:tcPr>
          <w:p>
            <w:pPr>
              <w:widowControl/>
              <w:spacing w:line="360" w:lineRule="auto"/>
              <w:rPr>
                <w:sz w:val="24"/>
              </w:rPr>
            </w:pPr>
          </w:p>
        </w:tc>
        <w:tc>
          <w:tcPr>
            <w:tcW w:w="2268" w:type="dxa"/>
          </w:tcPr>
          <w:p>
            <w:pPr>
              <w:widowControl/>
              <w:spacing w:line="360" w:lineRule="auto"/>
              <w:rPr>
                <w:sz w:val="24"/>
              </w:rPr>
            </w:pPr>
            <w:r>
              <w:rPr>
                <w:rFonts w:hint="eastAsia"/>
                <w:sz w:val="24"/>
              </w:rPr>
              <w:t>DB33/1092-2021</w:t>
            </w:r>
          </w:p>
        </w:tc>
        <w:tc>
          <w:tcPr>
            <w:tcW w:w="5387" w:type="dxa"/>
          </w:tcPr>
          <w:p>
            <w:pPr>
              <w:widowControl/>
              <w:spacing w:line="360" w:lineRule="auto"/>
              <w:rPr>
                <w:sz w:val="24"/>
              </w:rPr>
            </w:pPr>
            <w:r>
              <w:rPr>
                <w:rFonts w:hint="eastAsia"/>
                <w:sz w:val="24"/>
              </w:rPr>
              <w:t>7.</w:t>
            </w:r>
            <w:r>
              <w:rPr>
                <w:sz w:val="24"/>
              </w:rPr>
              <w:t>1</w:t>
            </w:r>
            <w:r>
              <w:rPr>
                <w:rFonts w:hint="eastAsia"/>
                <w:sz w:val="24"/>
              </w:rPr>
              <w:t>.</w:t>
            </w:r>
            <w:r>
              <w:rPr>
                <w:sz w:val="24"/>
              </w:rPr>
              <w:t>4</w:t>
            </w:r>
            <w:r>
              <w:rPr>
                <w:rFonts w:hint="eastAsia"/>
                <w:sz w:val="24"/>
              </w:rPr>
              <w:t>、7.3.3、7</w:t>
            </w:r>
            <w:r>
              <w:rPr>
                <w:sz w:val="24"/>
              </w:rPr>
              <w:t>.3.4</w:t>
            </w:r>
            <w:r>
              <w:rPr>
                <w:rFonts w:hint="eastAsia"/>
                <w:sz w:val="24"/>
              </w:rPr>
              <w:t>、7.</w:t>
            </w:r>
            <w:r>
              <w:rPr>
                <w:sz w:val="24"/>
              </w:rPr>
              <w:t>3</w:t>
            </w:r>
            <w:r>
              <w:rPr>
                <w:rFonts w:hint="eastAsia"/>
                <w:sz w:val="24"/>
              </w:rPr>
              <w:t>.</w:t>
            </w:r>
            <w:r>
              <w:rPr>
                <w:sz w:val="24"/>
              </w:rPr>
              <w:t>7</w:t>
            </w:r>
            <w:r>
              <w:rPr>
                <w:rFonts w:hint="eastAsia"/>
                <w:sz w:val="24"/>
              </w:rPr>
              <w:t>、7</w:t>
            </w:r>
            <w:r>
              <w:rPr>
                <w:sz w:val="24"/>
              </w:rPr>
              <w:t>.4.3</w:t>
            </w:r>
            <w:r>
              <w:rPr>
                <w:rFonts w:hint="eastAsia"/>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widowControl/>
              <w:spacing w:line="360" w:lineRule="auto"/>
              <w:rPr>
                <w:sz w:val="24"/>
              </w:rPr>
            </w:pPr>
            <w:r>
              <w:rPr>
                <w:rFonts w:hint="eastAsia"/>
                <w:sz w:val="24"/>
              </w:rPr>
              <w:t>依据材料</w:t>
            </w:r>
          </w:p>
        </w:tc>
        <w:tc>
          <w:tcPr>
            <w:tcW w:w="7655" w:type="dxa"/>
            <w:gridSpan w:val="2"/>
          </w:tcPr>
          <w:p>
            <w:pPr>
              <w:widowControl/>
              <w:spacing w:line="360" w:lineRule="auto"/>
              <w:rPr>
                <w:sz w:val="24"/>
              </w:rPr>
            </w:pPr>
            <w:r>
              <w:rPr>
                <w:rFonts w:hint="eastAsia"/>
                <w:sz w:val="24"/>
              </w:rPr>
              <w:t>查阅设计图纸及说明，水系统方案设汁、设计说明均应明确再生水水源应明确非传统水源的来源、用途、水平衡分析、处理流程、供水系统设置、防污染措施等。施工图中应体现非传统水源的来源、用途、水平衡分析、处理流程、供水系统设置、防污染措施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widowControl/>
              <w:spacing w:line="360" w:lineRule="auto"/>
              <w:rPr>
                <w:sz w:val="24"/>
              </w:rPr>
            </w:pPr>
            <w:r>
              <w:rPr>
                <w:rFonts w:hint="eastAsia"/>
                <w:sz w:val="24"/>
              </w:rPr>
              <w:t>备注</w:t>
            </w:r>
          </w:p>
        </w:tc>
        <w:tc>
          <w:tcPr>
            <w:tcW w:w="7655" w:type="dxa"/>
            <w:gridSpan w:val="2"/>
          </w:tcPr>
          <w:p>
            <w:pPr>
              <w:widowControl/>
              <w:spacing w:line="360" w:lineRule="auto"/>
              <w:rPr>
                <w:sz w:val="24"/>
              </w:rPr>
            </w:pPr>
            <w:r>
              <w:rPr>
                <w:rFonts w:hint="eastAsia"/>
                <w:sz w:val="24"/>
              </w:rPr>
              <w:t>本项目设置非传统水源利用设施必须设置用水安全措施。</w:t>
            </w:r>
          </w:p>
        </w:tc>
      </w:tr>
    </w:tbl>
    <w:p>
      <w:pPr>
        <w:spacing w:line="360" w:lineRule="auto"/>
        <w:jc w:val="left"/>
        <w:rPr>
          <w:rFonts w:asciiTheme="minorEastAsia" w:hAnsiTheme="minorEastAsia" w:eastAsiaTheme="minorEastAsia"/>
          <w:sz w:val="24"/>
        </w:rPr>
      </w:pPr>
    </w:p>
    <w:p>
      <w:pPr>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六、低影响开发雨水系统</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835"/>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restart"/>
          </w:tcPr>
          <w:p>
            <w:pPr>
              <w:widowControl/>
              <w:spacing w:line="360" w:lineRule="auto"/>
              <w:rPr>
                <w:sz w:val="24"/>
              </w:rPr>
            </w:pPr>
            <w:r>
              <w:rPr>
                <w:rFonts w:hint="eastAsia"/>
                <w:sz w:val="24"/>
              </w:rPr>
              <w:t>条文来源</w:t>
            </w:r>
          </w:p>
        </w:tc>
        <w:tc>
          <w:tcPr>
            <w:tcW w:w="2835" w:type="dxa"/>
          </w:tcPr>
          <w:p>
            <w:pPr>
              <w:widowControl/>
              <w:spacing w:line="360" w:lineRule="auto"/>
              <w:rPr>
                <w:sz w:val="24"/>
              </w:rPr>
            </w:pPr>
            <w:r>
              <w:rPr>
                <w:rFonts w:hint="eastAsia"/>
                <w:sz w:val="24"/>
              </w:rPr>
              <w:t>GB/T 50378-20</w:t>
            </w:r>
            <w:r>
              <w:rPr>
                <w:sz w:val="24"/>
              </w:rPr>
              <w:t>19</w:t>
            </w:r>
          </w:p>
        </w:tc>
        <w:tc>
          <w:tcPr>
            <w:tcW w:w="5103" w:type="dxa"/>
          </w:tcPr>
          <w:p>
            <w:pPr>
              <w:widowControl/>
              <w:spacing w:line="360" w:lineRule="auto"/>
              <w:rPr>
                <w:sz w:val="24"/>
              </w:rPr>
            </w:pPr>
            <w:r>
              <w:rPr>
                <w:rFonts w:hint="eastAsia"/>
                <w:sz w:val="24"/>
              </w:rPr>
              <w:t>8.1.4、8.2.、</w:t>
            </w:r>
            <w:r>
              <w:rPr>
                <w:sz w:val="24"/>
              </w:rPr>
              <w:t>8.2.5</w:t>
            </w:r>
            <w:r>
              <w:rPr>
                <w:rFonts w:hint="eastAsia"/>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trPr>
        <w:tc>
          <w:tcPr>
            <w:tcW w:w="1384" w:type="dxa"/>
            <w:vMerge w:val="continue"/>
          </w:tcPr>
          <w:p>
            <w:pPr>
              <w:widowControl/>
              <w:spacing w:line="360" w:lineRule="auto"/>
              <w:rPr>
                <w:sz w:val="24"/>
              </w:rPr>
            </w:pPr>
          </w:p>
        </w:tc>
        <w:tc>
          <w:tcPr>
            <w:tcW w:w="2835" w:type="dxa"/>
          </w:tcPr>
          <w:p>
            <w:pPr>
              <w:widowControl/>
              <w:spacing w:line="360" w:lineRule="auto"/>
              <w:rPr>
                <w:sz w:val="24"/>
              </w:rPr>
            </w:pPr>
            <w:r>
              <w:rPr>
                <w:rFonts w:hint="eastAsia"/>
                <w:sz w:val="24"/>
              </w:rPr>
              <w:t>浙江省绿色建筑条例</w:t>
            </w:r>
          </w:p>
        </w:tc>
        <w:tc>
          <w:tcPr>
            <w:tcW w:w="5103" w:type="dxa"/>
          </w:tcPr>
          <w:p>
            <w:pPr>
              <w:widowControl/>
              <w:spacing w:line="360" w:lineRule="auto"/>
              <w:rPr>
                <w:sz w:val="24"/>
              </w:rPr>
            </w:pPr>
            <w:r>
              <w:rPr>
                <w:rFonts w:hint="eastAsia"/>
                <w:sz w:val="24"/>
              </w:rPr>
              <w:t>第29条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widowControl/>
              <w:spacing w:line="360" w:lineRule="auto"/>
              <w:rPr>
                <w:sz w:val="24"/>
              </w:rPr>
            </w:pPr>
          </w:p>
        </w:tc>
        <w:tc>
          <w:tcPr>
            <w:tcW w:w="2835" w:type="dxa"/>
          </w:tcPr>
          <w:p>
            <w:pPr>
              <w:widowControl/>
              <w:spacing w:line="360" w:lineRule="auto"/>
              <w:rPr>
                <w:sz w:val="24"/>
              </w:rPr>
            </w:pPr>
            <w:r>
              <w:rPr>
                <w:rFonts w:hint="eastAsia"/>
                <w:sz w:val="24"/>
              </w:rPr>
              <w:t>DB33/1092-2021</w:t>
            </w:r>
          </w:p>
        </w:tc>
        <w:tc>
          <w:tcPr>
            <w:tcW w:w="5103" w:type="dxa"/>
          </w:tcPr>
          <w:p>
            <w:pPr>
              <w:widowControl/>
              <w:spacing w:line="360" w:lineRule="auto"/>
              <w:rPr>
                <w:sz w:val="24"/>
              </w:rPr>
            </w:pPr>
            <w:r>
              <w:rPr>
                <w:rFonts w:hint="eastAsia"/>
                <w:sz w:val="24"/>
              </w:rPr>
              <w:t>7.2.</w:t>
            </w:r>
            <w:r>
              <w:rPr>
                <w:sz w:val="24"/>
              </w:rPr>
              <w:t>13</w:t>
            </w:r>
            <w:r>
              <w:rPr>
                <w:rFonts w:hint="eastAsia"/>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widowControl/>
              <w:spacing w:line="360" w:lineRule="auto"/>
              <w:rPr>
                <w:sz w:val="24"/>
              </w:rPr>
            </w:pPr>
            <w:r>
              <w:rPr>
                <w:rFonts w:hint="eastAsia"/>
                <w:sz w:val="24"/>
              </w:rPr>
              <w:t>依据材料</w:t>
            </w:r>
          </w:p>
        </w:tc>
        <w:tc>
          <w:tcPr>
            <w:tcW w:w="7938" w:type="dxa"/>
            <w:gridSpan w:val="2"/>
          </w:tcPr>
          <w:p>
            <w:pPr>
              <w:widowControl/>
              <w:spacing w:line="360" w:lineRule="auto"/>
              <w:rPr>
                <w:sz w:val="24"/>
              </w:rPr>
            </w:pPr>
            <w:r>
              <w:rPr>
                <w:rFonts w:hint="eastAsia"/>
                <w:sz w:val="24"/>
              </w:rPr>
              <w:t>查阅雨水控制及利用系统设计计算书及室外给水排水管线综合平面图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widowControl/>
              <w:spacing w:line="360" w:lineRule="auto"/>
              <w:rPr>
                <w:sz w:val="24"/>
              </w:rPr>
            </w:pPr>
            <w:r>
              <w:rPr>
                <w:rFonts w:hint="eastAsia"/>
                <w:sz w:val="24"/>
              </w:rPr>
              <w:t>备注</w:t>
            </w:r>
          </w:p>
        </w:tc>
        <w:tc>
          <w:tcPr>
            <w:tcW w:w="7938" w:type="dxa"/>
            <w:gridSpan w:val="2"/>
          </w:tcPr>
          <w:p>
            <w:pPr>
              <w:widowControl/>
              <w:spacing w:line="360" w:lineRule="auto"/>
              <w:rPr>
                <w:sz w:val="24"/>
              </w:rPr>
            </w:pPr>
            <w:r>
              <w:rPr>
                <w:rFonts w:hint="eastAsia"/>
                <w:sz w:val="24"/>
              </w:rPr>
              <w:t>雨水控制及利用定义为：径流总量、径流峰值、径流污染控制设施的总称，包括雨水入渗（渗透）、收集回用、调蓄排放等。</w:t>
            </w:r>
          </w:p>
          <w:p>
            <w:pPr>
              <w:widowControl/>
              <w:spacing w:line="360" w:lineRule="auto"/>
              <w:rPr>
                <w:sz w:val="24"/>
              </w:rPr>
            </w:pPr>
            <w:r>
              <w:rPr>
                <w:rFonts w:hint="eastAsia"/>
                <w:sz w:val="24"/>
              </w:rPr>
              <w:t>年径流总量控制率定义为：根据多年日降雨量统计分析技术，场地内累计全年得到控制的雨水量占全年总降雨量的百分比。</w:t>
            </w:r>
          </w:p>
          <w:p>
            <w:pPr>
              <w:widowControl/>
              <w:spacing w:line="360" w:lineRule="auto"/>
              <w:rPr>
                <w:sz w:val="24"/>
              </w:rPr>
            </w:pPr>
            <w:r>
              <w:rPr>
                <w:rFonts w:hint="eastAsia"/>
                <w:sz w:val="24"/>
              </w:rPr>
              <w:t>本条意在对场地雨水合理地实施减排控制。雨水设计应协同场地、景观设计，采用屋顶绿化、透水铺装等措施降低地表径流量，同时利用下凹式绿地、浅草沟、雨水花园等加强雨水入渗、积蓄、降低雨水外排量，也可根据项目的用水需求收集雨水进行回用，实现减少场地雨水外排的目标，满足海绵城市的要求。</w:t>
            </w:r>
          </w:p>
          <w:p>
            <w:pPr>
              <w:widowControl/>
              <w:spacing w:line="360" w:lineRule="auto"/>
              <w:rPr>
                <w:sz w:val="24"/>
              </w:rPr>
            </w:pPr>
            <w:r>
              <w:rPr>
                <w:rFonts w:hint="eastAsia"/>
                <w:sz w:val="24"/>
              </w:rPr>
              <w:t>从区域角度看，雨水的过量收集会导致原有水体的萎缩或影响水系统的良性循环。要使硬化地面恢复到自然地貌的环境水平，最佳的雨水控制量应以雨水排放量接近自然地貌为标准。</w:t>
            </w:r>
          </w:p>
          <w:p>
            <w:pPr>
              <w:widowControl/>
              <w:spacing w:line="360" w:lineRule="auto"/>
              <w:rPr>
                <w:sz w:val="24"/>
              </w:rPr>
            </w:pPr>
            <w:r>
              <w:rPr>
                <w:rFonts w:hint="eastAsia"/>
                <w:sz w:val="24"/>
              </w:rPr>
              <w:t>综合径流系数可根据《民用建筑雨水控制与利用设计规程》第3章要求计算，浙江省各地市年径流总量控制率对应的日降雨量可按《民用建筑雨水控制与利用设计规程》附录B取值。</w:t>
            </w:r>
          </w:p>
          <w:p>
            <w:pPr>
              <w:widowControl/>
              <w:spacing w:line="360" w:lineRule="auto"/>
              <w:rPr>
                <w:sz w:val="24"/>
              </w:rPr>
            </w:pPr>
            <w:r>
              <w:rPr>
                <w:rFonts w:hint="eastAsia"/>
                <w:sz w:val="24"/>
              </w:rPr>
              <w:t>低影响开发控制性指标应满足当地海绵城市专项规划实施方案要求。</w:t>
            </w:r>
          </w:p>
          <w:p>
            <w:pPr>
              <w:widowControl/>
              <w:spacing w:line="360" w:lineRule="auto"/>
              <w:rPr>
                <w:sz w:val="24"/>
              </w:rPr>
            </w:pPr>
            <w:r>
              <w:rPr>
                <w:rFonts w:hint="eastAsia"/>
                <w:sz w:val="24"/>
              </w:rPr>
              <w:t>低影响开发的技术措施应与建筑专业保持一致。</w:t>
            </w:r>
          </w:p>
        </w:tc>
      </w:tr>
    </w:tbl>
    <w:p>
      <w:pPr>
        <w:spacing w:line="360" w:lineRule="auto"/>
        <w:jc w:val="left"/>
        <w:rPr>
          <w:rFonts w:asciiTheme="minorEastAsia" w:hAnsiTheme="minorEastAsia" w:eastAsiaTheme="minorEastAsia"/>
          <w:sz w:val="24"/>
        </w:rPr>
      </w:pPr>
    </w:p>
    <w:p>
      <w:pPr>
        <w:spacing w:line="360" w:lineRule="auto"/>
        <w:jc w:val="left"/>
        <w:rPr>
          <w:rFonts w:asciiTheme="minorEastAsia" w:hAnsiTheme="minorEastAsia" w:eastAsiaTheme="minorEastAsia"/>
          <w:b/>
          <w:sz w:val="24"/>
        </w:rPr>
      </w:pPr>
      <w:r>
        <w:rPr>
          <w:rFonts w:hint="eastAsia" w:asciiTheme="minorEastAsia" w:hAnsiTheme="minorEastAsia" w:eastAsiaTheme="minorEastAsia"/>
          <w:b/>
          <w:sz w:val="24"/>
        </w:rPr>
        <w:t>七.热水系统</w:t>
      </w:r>
    </w:p>
    <w:tbl>
      <w:tblPr>
        <w:tblStyle w:val="45"/>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126"/>
        <w:gridCol w:w="5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trPr>
        <w:tc>
          <w:tcPr>
            <w:tcW w:w="1384" w:type="dxa"/>
            <w:vMerge w:val="restart"/>
          </w:tcPr>
          <w:p>
            <w:pPr>
              <w:widowControl/>
              <w:spacing w:line="360" w:lineRule="auto"/>
              <w:rPr>
                <w:sz w:val="24"/>
              </w:rPr>
            </w:pPr>
            <w:r>
              <w:rPr>
                <w:rFonts w:hint="eastAsia"/>
                <w:sz w:val="24"/>
              </w:rPr>
              <w:t>条文来源</w:t>
            </w:r>
          </w:p>
        </w:tc>
        <w:tc>
          <w:tcPr>
            <w:tcW w:w="2126" w:type="dxa"/>
          </w:tcPr>
          <w:p>
            <w:pPr>
              <w:widowControl/>
              <w:spacing w:line="360" w:lineRule="auto"/>
              <w:rPr>
                <w:sz w:val="24"/>
              </w:rPr>
            </w:pPr>
            <w:r>
              <w:rPr>
                <w:rFonts w:hint="eastAsia"/>
                <w:sz w:val="24"/>
              </w:rPr>
              <w:t>DB33/1092-2021</w:t>
            </w:r>
          </w:p>
        </w:tc>
        <w:tc>
          <w:tcPr>
            <w:tcW w:w="5812" w:type="dxa"/>
          </w:tcPr>
          <w:p>
            <w:pPr>
              <w:widowControl/>
              <w:spacing w:line="360" w:lineRule="auto"/>
              <w:rPr>
                <w:sz w:val="24"/>
              </w:rPr>
            </w:pPr>
            <w:r>
              <w:rPr>
                <w:rFonts w:hint="eastAsia"/>
                <w:sz w:val="24"/>
              </w:rPr>
              <w:t>7.1.3、7.2.4、7.2.5、7.2.6条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widowControl/>
              <w:spacing w:line="360" w:lineRule="auto"/>
              <w:rPr>
                <w:sz w:val="24"/>
              </w:rPr>
            </w:pPr>
          </w:p>
        </w:tc>
        <w:tc>
          <w:tcPr>
            <w:tcW w:w="2126" w:type="dxa"/>
          </w:tcPr>
          <w:p>
            <w:pPr>
              <w:widowControl/>
              <w:spacing w:line="360" w:lineRule="auto"/>
              <w:rPr>
                <w:sz w:val="24"/>
              </w:rPr>
            </w:pPr>
            <w:r>
              <w:rPr>
                <w:rFonts w:hint="eastAsia"/>
                <w:sz w:val="24"/>
              </w:rPr>
              <w:t xml:space="preserve"> GB50555-2010</w:t>
            </w:r>
          </w:p>
        </w:tc>
        <w:tc>
          <w:tcPr>
            <w:tcW w:w="5812" w:type="dxa"/>
          </w:tcPr>
          <w:p>
            <w:pPr>
              <w:widowControl/>
              <w:spacing w:line="360" w:lineRule="auto"/>
              <w:rPr>
                <w:sz w:val="24"/>
              </w:rPr>
            </w:pPr>
            <w:r>
              <w:rPr>
                <w:rFonts w:hint="eastAsia"/>
                <w:sz w:val="24"/>
              </w:rPr>
              <w:t>4.2.3条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384" w:type="dxa"/>
            <w:vMerge w:val="continue"/>
          </w:tcPr>
          <w:p>
            <w:pPr>
              <w:widowControl/>
              <w:spacing w:line="360" w:lineRule="auto"/>
              <w:rPr>
                <w:sz w:val="24"/>
              </w:rPr>
            </w:pPr>
          </w:p>
        </w:tc>
        <w:tc>
          <w:tcPr>
            <w:tcW w:w="2126" w:type="dxa"/>
          </w:tcPr>
          <w:p>
            <w:pPr>
              <w:widowControl/>
              <w:spacing w:line="360" w:lineRule="auto"/>
              <w:rPr>
                <w:sz w:val="24"/>
              </w:rPr>
            </w:pPr>
            <w:r>
              <w:rPr>
                <w:rFonts w:hint="eastAsia"/>
                <w:sz w:val="24"/>
              </w:rPr>
              <w:t>DB33/1015-2021</w:t>
            </w:r>
          </w:p>
        </w:tc>
        <w:tc>
          <w:tcPr>
            <w:tcW w:w="5812" w:type="dxa"/>
          </w:tcPr>
          <w:p>
            <w:pPr>
              <w:widowControl/>
              <w:spacing w:line="360" w:lineRule="auto"/>
              <w:rPr>
                <w:sz w:val="24"/>
              </w:rPr>
            </w:pPr>
            <w:r>
              <w:rPr>
                <w:rFonts w:hint="eastAsia"/>
                <w:sz w:val="24"/>
              </w:rPr>
              <w:t>7.3节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widowControl/>
              <w:spacing w:line="360" w:lineRule="auto"/>
              <w:rPr>
                <w:sz w:val="24"/>
              </w:rPr>
            </w:pPr>
            <w:r>
              <w:rPr>
                <w:rFonts w:hint="eastAsia"/>
                <w:sz w:val="24"/>
              </w:rPr>
              <w:t>依据材料</w:t>
            </w:r>
          </w:p>
        </w:tc>
        <w:tc>
          <w:tcPr>
            <w:tcW w:w="7938" w:type="dxa"/>
            <w:gridSpan w:val="2"/>
          </w:tcPr>
          <w:p>
            <w:pPr>
              <w:widowControl/>
              <w:spacing w:line="360" w:lineRule="auto"/>
              <w:rPr>
                <w:sz w:val="24"/>
              </w:rPr>
            </w:pPr>
            <w:r>
              <w:rPr>
                <w:rFonts w:hint="eastAsia"/>
                <w:sz w:val="24"/>
              </w:rPr>
              <w:t>查阅设计图纸及说明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tcPr>
          <w:p>
            <w:pPr>
              <w:widowControl/>
              <w:spacing w:line="360" w:lineRule="auto"/>
              <w:rPr>
                <w:sz w:val="24"/>
              </w:rPr>
            </w:pPr>
            <w:r>
              <w:rPr>
                <w:rFonts w:hint="eastAsia"/>
                <w:sz w:val="24"/>
              </w:rPr>
              <w:t>备注</w:t>
            </w:r>
          </w:p>
        </w:tc>
        <w:tc>
          <w:tcPr>
            <w:tcW w:w="7938" w:type="dxa"/>
            <w:gridSpan w:val="2"/>
          </w:tcPr>
          <w:p>
            <w:pPr>
              <w:widowControl/>
              <w:spacing w:line="360" w:lineRule="auto"/>
              <w:rPr>
                <w:sz w:val="24"/>
              </w:rPr>
            </w:pPr>
          </w:p>
        </w:tc>
      </w:tr>
    </w:tbl>
    <w:p>
      <w:pPr>
        <w:widowControl/>
        <w:jc w:val="left"/>
        <w:rPr>
          <w:rFonts w:hAnsi="宋体"/>
          <w:szCs w:val="21"/>
        </w:rPr>
      </w:pPr>
    </w:p>
    <w:p>
      <w:pPr>
        <w:pStyle w:val="4"/>
        <w:jc w:val="center"/>
      </w:pPr>
      <w:bookmarkStart w:id="50" w:name="_Toc109325919"/>
      <w:bookmarkStart w:id="51" w:name="_Toc113029284"/>
      <w:r>
        <w:rPr>
          <w:rFonts w:hint="eastAsia"/>
        </w:rPr>
        <w:t>3.5 暖通专业填写说明</w:t>
      </w:r>
      <w:bookmarkEnd w:id="50"/>
      <w:bookmarkEnd w:id="51"/>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一、暖通主要设计依据: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 xml:space="preserve">    此项应包括项目进行建筑绿色与节能设计时所遵循的主要设计依据。包括法律法规、政策文件及现行国家与地方的标准、规范；还包括项目已取得的节能审查意见书及其附件：节能评估报告书（表）；</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1.1 由设计人员复核各设计标准的现行版本号。</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1.2 设计人员应按项目选用的相关技术与措施，增补有关标准、规范依据。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1.3 设计人员应根据项目所在地特性，增加相应的相关政府性文件为依据。</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特别说明：当本专篇依据的标准、规范修订或有新标准、新规范实施时，应按新版标准、规范对专篇相关内容进行复核、调整后选用。</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二、暖通</w:t>
      </w:r>
      <w:r>
        <w:rPr>
          <w:rFonts w:ascii="Times New Roman" w:cs="宋体"/>
          <w:color w:val="000000"/>
          <w:kern w:val="0"/>
          <w:sz w:val="24"/>
        </w:rPr>
        <w:t>设计技术措施</w:t>
      </w:r>
      <w:r>
        <w:rPr>
          <w:rFonts w:hint="eastAsia" w:ascii="Times New Roman" w:cs="宋体"/>
          <w:color w:val="000000"/>
          <w:kern w:val="0"/>
          <w:sz w:val="24"/>
        </w:rPr>
        <w:t>：</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◇一般说明</w:t>
      </w:r>
    </w:p>
    <w:p>
      <w:pPr>
        <w:snapToGrid w:val="0"/>
        <w:spacing w:line="360" w:lineRule="auto"/>
        <w:jc w:val="left"/>
        <w:rPr>
          <w:rFonts w:ascii="Times New Roman" w:cs="宋体"/>
          <w:color w:val="000000"/>
          <w:kern w:val="0"/>
          <w:sz w:val="24"/>
        </w:rPr>
      </w:pPr>
      <w:r>
        <w:rPr>
          <w:rFonts w:ascii="Times New Roman" w:cs="宋体"/>
          <w:color w:val="000000"/>
          <w:kern w:val="0"/>
          <w:sz w:val="24"/>
        </w:rPr>
        <w:t>1</w:t>
      </w:r>
      <w:r>
        <w:rPr>
          <w:rFonts w:hint="eastAsia" w:ascii="Times New Roman" w:cs="宋体"/>
          <w:color w:val="000000"/>
          <w:kern w:val="0"/>
          <w:sz w:val="24"/>
        </w:rPr>
        <w:t>、</w:t>
      </w:r>
      <w:r>
        <w:rPr>
          <w:rFonts w:ascii="Times New Roman" w:cs="宋体"/>
          <w:color w:val="000000"/>
          <w:kern w:val="0"/>
          <w:sz w:val="24"/>
        </w:rPr>
        <w:t>为方便设计人员</w:t>
      </w:r>
      <w:r>
        <w:rPr>
          <w:rFonts w:hint="eastAsia" w:ascii="Times New Roman" w:cs="宋体"/>
          <w:color w:val="000000"/>
          <w:kern w:val="0"/>
          <w:sz w:val="24"/>
        </w:rPr>
        <w:t>更准确</w:t>
      </w:r>
      <w:r>
        <w:rPr>
          <w:rFonts w:ascii="Times New Roman" w:cs="宋体"/>
          <w:color w:val="000000"/>
          <w:kern w:val="0"/>
          <w:sz w:val="24"/>
        </w:rPr>
        <w:t>理解</w:t>
      </w:r>
      <w:r>
        <w:rPr>
          <w:rFonts w:hint="eastAsia" w:ascii="Times New Roman" w:cs="宋体"/>
          <w:color w:val="000000"/>
          <w:kern w:val="0"/>
          <w:sz w:val="24"/>
        </w:rPr>
        <w:t>专篇的填写目的与要求，本说明对专篇中列入的每项条款均以表格形式进行了说明。填写说明主要包含三部分内容，分别为：条文来源、依据材料、备注。其中：“条文来源”主要注明条款依据浙江省《绿色建筑设计标准》 DB33/1092-2021（</w:t>
      </w:r>
      <w:r>
        <w:rPr>
          <w:rFonts w:ascii="Times New Roman" w:cs="宋体"/>
          <w:color w:val="000000"/>
          <w:kern w:val="0"/>
          <w:sz w:val="24"/>
        </w:rPr>
        <w:t>以</w:t>
      </w:r>
      <w:r>
        <w:rPr>
          <w:rFonts w:hint="eastAsia" w:ascii="Times New Roman" w:cs="宋体"/>
          <w:color w:val="000000"/>
          <w:kern w:val="0"/>
          <w:sz w:val="24"/>
        </w:rPr>
        <w:t>下</w:t>
      </w:r>
      <w:r>
        <w:rPr>
          <w:rFonts w:ascii="Times New Roman" w:cs="宋体"/>
          <w:color w:val="000000"/>
          <w:kern w:val="0"/>
          <w:sz w:val="24"/>
        </w:rPr>
        <w:t>简称</w:t>
      </w:r>
      <w:r>
        <w:rPr>
          <w:rFonts w:hint="eastAsia" w:ascii="Times New Roman" w:cs="宋体"/>
          <w:color w:val="000000"/>
          <w:kern w:val="0"/>
          <w:sz w:val="24"/>
        </w:rPr>
        <w:t>“DB</w:t>
      </w:r>
      <w:r>
        <w:rPr>
          <w:rFonts w:ascii="Times New Roman" w:cs="宋体"/>
          <w:color w:val="000000"/>
          <w:kern w:val="0"/>
          <w:sz w:val="24"/>
        </w:rPr>
        <w:t xml:space="preserve"> </w:t>
      </w:r>
      <w:r>
        <w:rPr>
          <w:rFonts w:hint="eastAsia" w:ascii="Times New Roman" w:cs="宋体"/>
          <w:color w:val="000000"/>
          <w:kern w:val="0"/>
          <w:sz w:val="24"/>
        </w:rPr>
        <w:t>33/1092-20</w:t>
      </w:r>
      <w:r>
        <w:rPr>
          <w:rFonts w:ascii="Times New Roman" w:cs="宋体"/>
          <w:color w:val="000000"/>
          <w:kern w:val="0"/>
          <w:sz w:val="24"/>
        </w:rPr>
        <w:t>21</w:t>
      </w:r>
      <w:r>
        <w:rPr>
          <w:rFonts w:hint="eastAsia" w:ascii="Times New Roman" w:cs="宋体"/>
          <w:color w:val="000000"/>
          <w:kern w:val="0"/>
          <w:sz w:val="24"/>
        </w:rPr>
        <w:t>”）、国家标准《绿色建筑评价标准》GB/T</w:t>
      </w:r>
      <w:r>
        <w:rPr>
          <w:rFonts w:ascii="Times New Roman" w:cs="宋体"/>
          <w:color w:val="000000"/>
          <w:kern w:val="0"/>
          <w:sz w:val="24"/>
        </w:rPr>
        <w:t xml:space="preserve"> </w:t>
      </w:r>
      <w:r>
        <w:rPr>
          <w:rFonts w:hint="eastAsia" w:ascii="Times New Roman" w:cs="宋体"/>
          <w:color w:val="000000"/>
          <w:kern w:val="0"/>
          <w:sz w:val="24"/>
        </w:rPr>
        <w:t>50378-2019（</w:t>
      </w:r>
      <w:r>
        <w:rPr>
          <w:rFonts w:ascii="Times New Roman" w:cs="宋体"/>
          <w:color w:val="000000"/>
          <w:kern w:val="0"/>
          <w:sz w:val="24"/>
        </w:rPr>
        <w:t>以</w:t>
      </w:r>
      <w:r>
        <w:rPr>
          <w:rFonts w:hint="eastAsia" w:ascii="Times New Roman" w:cs="宋体"/>
          <w:color w:val="000000"/>
          <w:kern w:val="0"/>
          <w:sz w:val="24"/>
        </w:rPr>
        <w:t>下</w:t>
      </w:r>
      <w:r>
        <w:rPr>
          <w:rFonts w:ascii="Times New Roman" w:cs="宋体"/>
          <w:color w:val="000000"/>
          <w:kern w:val="0"/>
          <w:sz w:val="24"/>
        </w:rPr>
        <w:t>简称</w:t>
      </w:r>
      <w:r>
        <w:rPr>
          <w:rFonts w:hint="eastAsia" w:ascii="Times New Roman" w:cs="宋体"/>
          <w:color w:val="000000"/>
          <w:kern w:val="0"/>
          <w:sz w:val="24"/>
        </w:rPr>
        <w:t>“GB/T</w:t>
      </w:r>
      <w:r>
        <w:rPr>
          <w:rFonts w:ascii="Times New Roman" w:cs="宋体"/>
          <w:color w:val="000000"/>
          <w:kern w:val="0"/>
          <w:sz w:val="24"/>
        </w:rPr>
        <w:t xml:space="preserve"> </w:t>
      </w:r>
      <w:r>
        <w:rPr>
          <w:rFonts w:hint="eastAsia" w:ascii="Times New Roman" w:cs="宋体"/>
          <w:color w:val="000000"/>
          <w:kern w:val="0"/>
          <w:sz w:val="24"/>
        </w:rPr>
        <w:t>50378-2019”）的出处与条文编号；“依据材料”是明确</w:t>
      </w:r>
      <w:r>
        <w:rPr>
          <w:rFonts w:ascii="Times New Roman" w:cs="宋体"/>
          <w:color w:val="000000"/>
          <w:kern w:val="0"/>
          <w:sz w:val="24"/>
        </w:rPr>
        <w:t>设计人员</w:t>
      </w:r>
      <w:r>
        <w:rPr>
          <w:rFonts w:hint="eastAsia" w:ascii="Times New Roman" w:cs="宋体"/>
          <w:color w:val="000000"/>
          <w:kern w:val="0"/>
          <w:sz w:val="24"/>
        </w:rPr>
        <w:t>填写各条款时，所</w:t>
      </w:r>
      <w:r>
        <w:rPr>
          <w:rFonts w:ascii="Times New Roman" w:cs="宋体"/>
          <w:color w:val="000000"/>
          <w:kern w:val="0"/>
          <w:sz w:val="24"/>
        </w:rPr>
        <w:t>依据</w:t>
      </w:r>
      <w:r>
        <w:rPr>
          <w:rFonts w:hint="eastAsia" w:ascii="Times New Roman" w:cs="宋体"/>
          <w:color w:val="000000"/>
          <w:kern w:val="0"/>
          <w:sz w:val="24"/>
        </w:rPr>
        <w:t>的相应</w:t>
      </w:r>
      <w:r>
        <w:rPr>
          <w:rFonts w:ascii="Times New Roman" w:cs="宋体"/>
          <w:color w:val="000000"/>
          <w:kern w:val="0"/>
          <w:sz w:val="24"/>
        </w:rPr>
        <w:t>基础资料</w:t>
      </w:r>
      <w:r>
        <w:rPr>
          <w:rFonts w:hint="eastAsia" w:ascii="Times New Roman" w:cs="宋体"/>
          <w:color w:val="000000"/>
          <w:kern w:val="0"/>
          <w:sz w:val="24"/>
        </w:rPr>
        <w:t>、设计文件等相关内容；“备注”是对条款填写中需要注意与重点核查的内容进行详细说明，或对相关条文进行解释和补充。</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2、暖通绿色设计主要内容应根据实际工程设计中采取的技术措施，按实增减专篇模板内的相应条款，局部条款不适用时减少相应条款，如果采用专篇模板所列条款之外的技术措施，则将其描述于专篇模板的第10</w:t>
      </w:r>
      <w:r>
        <w:rPr>
          <w:rFonts w:ascii="Times New Roman" w:cs="宋体"/>
          <w:color w:val="000000"/>
          <w:kern w:val="0"/>
          <w:sz w:val="24"/>
        </w:rPr>
        <w:t>.2</w:t>
      </w:r>
      <w:r>
        <w:rPr>
          <w:rFonts w:hint="eastAsia" w:ascii="Times New Roman" w:cs="宋体"/>
          <w:color w:val="000000"/>
          <w:kern w:val="0"/>
          <w:sz w:val="24"/>
        </w:rPr>
        <w:t>条内。专篇的填写必须与实际设计相符。</w:t>
      </w:r>
    </w:p>
    <w:p>
      <w:pPr>
        <w:snapToGrid w:val="0"/>
        <w:spacing w:line="360" w:lineRule="auto"/>
        <w:jc w:val="left"/>
        <w:rPr>
          <w:rFonts w:ascii="Times New Roman" w:cs="宋体"/>
          <w:color w:val="000000"/>
          <w:kern w:val="0"/>
          <w:sz w:val="24"/>
        </w:rPr>
      </w:pP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◇条款说明</w:t>
      </w:r>
    </w:p>
    <w:p>
      <w:pPr>
        <w:spacing w:line="360" w:lineRule="auto"/>
        <w:rPr>
          <w:rFonts w:asciiTheme="minorEastAsia" w:hAnsiTheme="minorEastAsia" w:eastAsiaTheme="minorEastAsia"/>
          <w:b/>
          <w:sz w:val="24"/>
          <w:lang w:val="en-GB"/>
        </w:rPr>
      </w:pPr>
      <w:r>
        <w:rPr>
          <w:rFonts w:hint="eastAsia" w:asciiTheme="minorEastAsia" w:hAnsiTheme="minorEastAsia" w:eastAsiaTheme="minorEastAsia"/>
          <w:b/>
          <w:sz w:val="24"/>
          <w:lang w:val="en-GB"/>
        </w:rPr>
        <w:t>控制项内容：</w:t>
      </w:r>
    </w:p>
    <w:p>
      <w:pPr>
        <w:spacing w:line="360" w:lineRule="auto"/>
        <w:jc w:val="left"/>
        <w:rPr>
          <w:rFonts w:hAnsi="宋体"/>
          <w:sz w:val="24"/>
        </w:rPr>
      </w:pPr>
      <w:r>
        <w:rPr>
          <w:rFonts w:hint="eastAsia" w:hAnsi="宋体"/>
          <w:sz w:val="24"/>
        </w:rPr>
        <w:t>本栏各条均为浙江省《绿色建筑设计标准》DB33/1092-2021的基本要求，是绿色建筑设计的强制性控制内容，必须逐条满足。</w:t>
      </w:r>
    </w:p>
    <w:p>
      <w:pPr>
        <w:spacing w:line="360" w:lineRule="auto"/>
        <w:ind w:firstLine="480" w:firstLineChars="200"/>
        <w:rPr>
          <w:rFonts w:asciiTheme="minorEastAsia" w:hAnsiTheme="minorEastAsia" w:eastAsiaTheme="minorEastAsia"/>
          <w:sz w:val="24"/>
        </w:rPr>
      </w:pPr>
    </w:p>
    <w:p>
      <w:pPr>
        <w:spacing w:line="360" w:lineRule="auto"/>
        <w:rPr>
          <w:rFonts w:asciiTheme="minorEastAsia" w:hAnsiTheme="minorEastAsia" w:eastAsiaTheme="minorEastAsia"/>
          <w:b/>
          <w:sz w:val="24"/>
          <w:lang w:val="en-GB"/>
        </w:rPr>
      </w:pPr>
      <w:r>
        <w:rPr>
          <w:rFonts w:hint="eastAsia" w:asciiTheme="minorEastAsia" w:hAnsiTheme="minorEastAsia" w:eastAsiaTheme="minorEastAsia"/>
          <w:b/>
          <w:sz w:val="24"/>
          <w:lang w:val="en-GB"/>
        </w:rPr>
        <w:t>一般项内容：</w:t>
      </w: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1室外空气计算参数；</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268"/>
        <w:gridCol w:w="2459"/>
        <w:gridCol w:w="3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268"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GB/T 50736-2012</w:t>
            </w:r>
          </w:p>
        </w:tc>
        <w:tc>
          <w:tcPr>
            <w:tcW w:w="2459"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4.1.1</w:t>
            </w:r>
            <w:r>
              <w:rPr>
                <w:rFonts w:hint="eastAsia" w:asciiTheme="minorEastAsia" w:hAnsiTheme="minorEastAsia" w:eastAsiaTheme="minorEastAsia"/>
                <w:kern w:val="0"/>
                <w:sz w:val="24"/>
              </w:rPr>
              <w:t>条</w:t>
            </w:r>
          </w:p>
        </w:tc>
        <w:tc>
          <w:tcPr>
            <w:tcW w:w="3069"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主要城市室外空气计算参数应按现行国家标准《民用建筑供暖通风与空气调节设计规范》GB 50736中“杭州”地区室外空气计算参数填写并与暖通负荷计算书一致。</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asciiTheme="minorEastAsia" w:hAnsiTheme="minorEastAsia" w:eastAsiaTheme="minorEastAsia"/>
          <w:sz w:val="24"/>
        </w:rPr>
        <w:t>2</w:t>
      </w:r>
      <w:r>
        <w:rPr>
          <w:rFonts w:hint="eastAsia" w:asciiTheme="minorEastAsia" w:hAnsiTheme="minorEastAsia" w:eastAsiaTheme="minorEastAsia"/>
          <w:sz w:val="24"/>
        </w:rPr>
        <w:t>空调房间的设计参数；</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2262"/>
        <w:gridCol w:w="2510"/>
        <w:gridCol w:w="3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26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51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5.1.6条</w:t>
            </w:r>
          </w:p>
        </w:tc>
        <w:tc>
          <w:tcPr>
            <w:tcW w:w="302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26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51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7.1.3条</w:t>
            </w:r>
          </w:p>
        </w:tc>
        <w:tc>
          <w:tcPr>
            <w:tcW w:w="302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26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33/1092-2021</w:t>
            </w:r>
          </w:p>
        </w:tc>
        <w:tc>
          <w:tcPr>
            <w:tcW w:w="251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8.1.2条</w:t>
            </w:r>
          </w:p>
        </w:tc>
        <w:tc>
          <w:tcPr>
            <w:tcW w:w="302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供暖空调室内设计参数应符合下列规定：</w:t>
            </w:r>
          </w:p>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1 采用集中供暖空调系统的建筑，房间内的温度、湿度、新风量等设计参数应符合现行国家标准《民用建筑供暖通风与空气调节设计规范》GB 50736 、现行地方标准《公共建筑节能设计标准》DB 33/1036、现行地方标准《居住建筑节能设计标准》DB 33/1015和卫生防疫的相关规定；</w:t>
            </w:r>
          </w:p>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2 房间的设计温度应能根据建筑空间功能分区设置，室内过渡区空间的温度设计标准合理降低。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7796" w:type="dxa"/>
            <w:gridSpan w:val="3"/>
          </w:tcPr>
          <w:p>
            <w:pPr>
              <w:spacing w:line="360" w:lineRule="auto"/>
              <w:outlineLvl w:val="3"/>
              <w:rPr>
                <w:rFonts w:hAnsi="宋体"/>
                <w:kern w:val="0"/>
                <w:sz w:val="24"/>
              </w:rPr>
            </w:pPr>
            <w:r>
              <w:rPr>
                <w:rFonts w:hint="eastAsia" w:hAnsi="宋体"/>
                <w:kern w:val="0"/>
                <w:sz w:val="24"/>
              </w:rPr>
              <w:t>集中供暖系统主要房间的室内计算温度宜采用16℃~22℃；公共建筑主要空间空气调节系统室内计算参数应符合表1~2的规定，其中当房间采用岗位送风方式时，不受该风速限制，以岗位空调计算所需风速为准；公共建筑主要空间的设计新风量，应符合表3~5的规定。</w:t>
            </w:r>
          </w:p>
          <w:p>
            <w:pPr>
              <w:spacing w:line="360" w:lineRule="auto"/>
              <w:outlineLvl w:val="3"/>
              <w:rPr>
                <w:rFonts w:hAnsi="宋体"/>
                <w:kern w:val="0"/>
                <w:sz w:val="24"/>
              </w:rPr>
            </w:pPr>
            <w:r>
              <w:rPr>
                <w:rFonts w:hint="eastAsia" w:hAnsi="宋体"/>
                <w:kern w:val="0"/>
                <w:sz w:val="24"/>
              </w:rPr>
              <w:t>表1   人员长期逗留区域空调室内设计参数</w:t>
            </w:r>
          </w:p>
          <w:tbl>
            <w:tblPr>
              <w:tblStyle w:val="44"/>
              <w:tblW w:w="5000" w:type="pct"/>
              <w:tblInd w:w="0" w:type="dxa"/>
              <w:tblLayout w:type="autofit"/>
              <w:tblCellMar>
                <w:top w:w="0" w:type="dxa"/>
                <w:left w:w="108" w:type="dxa"/>
                <w:bottom w:w="0" w:type="dxa"/>
                <w:right w:w="108" w:type="dxa"/>
              </w:tblCellMar>
            </w:tblPr>
            <w:tblGrid>
              <w:gridCol w:w="1196"/>
              <w:gridCol w:w="1656"/>
              <w:gridCol w:w="1416"/>
              <w:gridCol w:w="1776"/>
              <w:gridCol w:w="1536"/>
            </w:tblGrid>
            <w:tr>
              <w:tblPrEx>
                <w:tblCellMar>
                  <w:top w:w="0" w:type="dxa"/>
                  <w:left w:w="108" w:type="dxa"/>
                  <w:bottom w:w="0" w:type="dxa"/>
                  <w:right w:w="108" w:type="dxa"/>
                </w:tblCellMar>
              </w:tblPrEx>
              <w:trPr>
                <w:trHeight w:val="270" w:hRule="atLeast"/>
              </w:trPr>
              <w:tc>
                <w:tcPr>
                  <w:tcW w:w="110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360" w:lineRule="auto"/>
                    <w:outlineLvl w:val="3"/>
                    <w:rPr>
                      <w:rFonts w:hAnsi="宋体"/>
                      <w:sz w:val="24"/>
                    </w:rPr>
                  </w:pPr>
                  <w:r>
                    <w:rPr>
                      <w:rFonts w:hint="eastAsia" w:hAnsi="宋体"/>
                      <w:sz w:val="24"/>
                    </w:rPr>
                    <w:t>类别</w:t>
                  </w:r>
                </w:p>
              </w:tc>
              <w:tc>
                <w:tcPr>
                  <w:tcW w:w="940"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热舒适度等级</w:t>
                  </w:r>
                </w:p>
              </w:tc>
              <w:tc>
                <w:tcPr>
                  <w:tcW w:w="940"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温度（℃）</w:t>
                  </w:r>
                </w:p>
              </w:tc>
              <w:tc>
                <w:tcPr>
                  <w:tcW w:w="941"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相对湿度（%）</w:t>
                  </w:r>
                </w:p>
              </w:tc>
              <w:tc>
                <w:tcPr>
                  <w:tcW w:w="1075"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风速（m/s）</w:t>
                  </w:r>
                </w:p>
              </w:tc>
            </w:tr>
            <w:tr>
              <w:tblPrEx>
                <w:tblCellMar>
                  <w:top w:w="0" w:type="dxa"/>
                  <w:left w:w="108" w:type="dxa"/>
                  <w:bottom w:w="0" w:type="dxa"/>
                  <w:right w:w="108" w:type="dxa"/>
                </w:tblCellMar>
              </w:tblPrEx>
              <w:trPr>
                <w:trHeight w:val="270" w:hRule="atLeast"/>
              </w:trPr>
              <w:tc>
                <w:tcPr>
                  <w:tcW w:w="1103" w:type="pct"/>
                  <w:vMerge w:val="restart"/>
                  <w:tcBorders>
                    <w:top w:val="nil"/>
                    <w:left w:val="single" w:color="auto" w:sz="4" w:space="0"/>
                    <w:bottom w:val="single" w:color="auto" w:sz="4" w:space="0"/>
                    <w:right w:val="single" w:color="auto" w:sz="4" w:space="0"/>
                  </w:tcBorders>
                  <w:shd w:val="clear" w:color="auto" w:fill="auto"/>
                  <w:noWrap/>
                  <w:vAlign w:val="center"/>
                </w:tcPr>
                <w:p>
                  <w:pPr>
                    <w:spacing w:line="360" w:lineRule="auto"/>
                    <w:outlineLvl w:val="3"/>
                    <w:rPr>
                      <w:rFonts w:hAnsi="宋体"/>
                      <w:sz w:val="24"/>
                    </w:rPr>
                  </w:pPr>
                  <w:r>
                    <w:rPr>
                      <w:rFonts w:hint="eastAsia" w:hAnsi="宋体"/>
                      <w:sz w:val="24"/>
                    </w:rPr>
                    <w:t>供热工况</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22~24</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≥30</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≤0.2</w:t>
                  </w:r>
                </w:p>
              </w:tc>
            </w:tr>
            <w:tr>
              <w:tblPrEx>
                <w:tblCellMar>
                  <w:top w:w="0" w:type="dxa"/>
                  <w:left w:w="108" w:type="dxa"/>
                  <w:bottom w:w="0" w:type="dxa"/>
                  <w:right w:w="108" w:type="dxa"/>
                </w:tblCellMar>
              </w:tblPrEx>
              <w:trPr>
                <w:trHeight w:val="270" w:hRule="atLeast"/>
              </w:trPr>
              <w:tc>
                <w:tcPr>
                  <w:tcW w:w="1103" w:type="pct"/>
                  <w:vMerge w:val="continue"/>
                  <w:tcBorders>
                    <w:top w:val="nil"/>
                    <w:left w:val="single" w:color="auto" w:sz="4" w:space="0"/>
                    <w:bottom w:val="single" w:color="auto" w:sz="4" w:space="0"/>
                    <w:right w:val="single" w:color="auto" w:sz="4" w:space="0"/>
                  </w:tcBorders>
                  <w:vAlign w:val="center"/>
                </w:tcPr>
                <w:p>
                  <w:pPr>
                    <w:spacing w:line="360" w:lineRule="auto"/>
                    <w:outlineLvl w:val="3"/>
                    <w:rPr>
                      <w:rFonts w:hAnsi="宋体"/>
                      <w:sz w:val="24"/>
                    </w:rPr>
                  </w:pP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18~22</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≤0.2</w:t>
                  </w:r>
                </w:p>
              </w:tc>
            </w:tr>
            <w:tr>
              <w:tblPrEx>
                <w:tblCellMar>
                  <w:top w:w="0" w:type="dxa"/>
                  <w:left w:w="108" w:type="dxa"/>
                  <w:bottom w:w="0" w:type="dxa"/>
                  <w:right w:w="108" w:type="dxa"/>
                </w:tblCellMar>
              </w:tblPrEx>
              <w:trPr>
                <w:trHeight w:val="270" w:hRule="atLeast"/>
              </w:trPr>
              <w:tc>
                <w:tcPr>
                  <w:tcW w:w="1103" w:type="pct"/>
                  <w:vMerge w:val="restart"/>
                  <w:tcBorders>
                    <w:top w:val="nil"/>
                    <w:left w:val="single" w:color="auto" w:sz="4" w:space="0"/>
                    <w:bottom w:val="single" w:color="auto" w:sz="4" w:space="0"/>
                    <w:right w:val="single" w:color="auto" w:sz="4" w:space="0"/>
                  </w:tcBorders>
                  <w:shd w:val="clear" w:color="auto" w:fill="auto"/>
                  <w:noWrap/>
                  <w:vAlign w:val="center"/>
                </w:tcPr>
                <w:p>
                  <w:pPr>
                    <w:spacing w:line="360" w:lineRule="auto"/>
                    <w:outlineLvl w:val="3"/>
                    <w:rPr>
                      <w:rFonts w:hAnsi="宋体"/>
                      <w:sz w:val="24"/>
                    </w:rPr>
                  </w:pPr>
                  <w:r>
                    <w:rPr>
                      <w:rFonts w:hint="eastAsia" w:hAnsi="宋体"/>
                      <w:sz w:val="24"/>
                    </w:rPr>
                    <w:t>供冷工况</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24~26</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40~60</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≤0.25</w:t>
                  </w:r>
                </w:p>
              </w:tc>
            </w:tr>
            <w:tr>
              <w:tblPrEx>
                <w:tblCellMar>
                  <w:top w:w="0" w:type="dxa"/>
                  <w:left w:w="108" w:type="dxa"/>
                  <w:bottom w:w="0" w:type="dxa"/>
                  <w:right w:w="108" w:type="dxa"/>
                </w:tblCellMar>
              </w:tblPrEx>
              <w:trPr>
                <w:trHeight w:val="270" w:hRule="atLeast"/>
              </w:trPr>
              <w:tc>
                <w:tcPr>
                  <w:tcW w:w="1103" w:type="pct"/>
                  <w:vMerge w:val="continue"/>
                  <w:tcBorders>
                    <w:top w:val="nil"/>
                    <w:left w:val="single" w:color="auto" w:sz="4" w:space="0"/>
                    <w:bottom w:val="single" w:color="auto" w:sz="4" w:space="0"/>
                    <w:right w:val="single" w:color="auto" w:sz="4" w:space="0"/>
                  </w:tcBorders>
                  <w:vAlign w:val="center"/>
                </w:tcPr>
                <w:p>
                  <w:pPr>
                    <w:spacing w:line="360" w:lineRule="auto"/>
                    <w:outlineLvl w:val="3"/>
                    <w:rPr>
                      <w:rFonts w:hAnsi="宋体"/>
                      <w:sz w:val="24"/>
                    </w:rPr>
                  </w:pP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26~28</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≤70</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≤0.3</w:t>
                  </w:r>
                </w:p>
              </w:tc>
            </w:tr>
          </w:tbl>
          <w:p>
            <w:pPr>
              <w:spacing w:line="360" w:lineRule="auto"/>
              <w:outlineLvl w:val="3"/>
              <w:rPr>
                <w:rFonts w:hAnsi="宋体"/>
                <w:kern w:val="0"/>
                <w:sz w:val="24"/>
              </w:rPr>
            </w:pPr>
            <w:r>
              <w:rPr>
                <w:rFonts w:hint="eastAsia" w:hAnsi="宋体"/>
                <w:kern w:val="0"/>
                <w:sz w:val="24"/>
              </w:rPr>
              <w:t>表2   人员短期逗留区域空调室内设计参数</w:t>
            </w:r>
          </w:p>
          <w:tbl>
            <w:tblPr>
              <w:tblStyle w:val="44"/>
              <w:tblW w:w="5000" w:type="pct"/>
              <w:tblInd w:w="0" w:type="dxa"/>
              <w:tblLayout w:type="autofit"/>
              <w:tblCellMar>
                <w:top w:w="0" w:type="dxa"/>
                <w:left w:w="108" w:type="dxa"/>
                <w:bottom w:w="0" w:type="dxa"/>
                <w:right w:w="108" w:type="dxa"/>
              </w:tblCellMar>
            </w:tblPr>
            <w:tblGrid>
              <w:gridCol w:w="1196"/>
              <w:gridCol w:w="1656"/>
              <w:gridCol w:w="1416"/>
              <w:gridCol w:w="1776"/>
              <w:gridCol w:w="1536"/>
            </w:tblGrid>
            <w:tr>
              <w:tblPrEx>
                <w:tblCellMar>
                  <w:top w:w="0" w:type="dxa"/>
                  <w:left w:w="108" w:type="dxa"/>
                  <w:bottom w:w="0" w:type="dxa"/>
                  <w:right w:w="108" w:type="dxa"/>
                </w:tblCellMar>
              </w:tblPrEx>
              <w:trPr>
                <w:trHeight w:val="20" w:hRule="atLeast"/>
              </w:trPr>
              <w:tc>
                <w:tcPr>
                  <w:tcW w:w="1103" w:type="pct"/>
                  <w:tcBorders>
                    <w:top w:val="single" w:color="auto" w:sz="4" w:space="0"/>
                    <w:left w:val="single" w:color="auto" w:sz="4" w:space="0"/>
                    <w:bottom w:val="single" w:color="auto" w:sz="4" w:space="0"/>
                    <w:right w:val="single" w:color="auto" w:sz="4" w:space="0"/>
                  </w:tcBorders>
                  <w:shd w:val="clear" w:color="auto" w:fill="auto"/>
                  <w:noWrap/>
                  <w:vAlign w:val="center"/>
                </w:tcPr>
                <w:p>
                  <w:pPr>
                    <w:spacing w:line="360" w:lineRule="auto"/>
                    <w:outlineLvl w:val="3"/>
                    <w:rPr>
                      <w:rFonts w:hAnsi="宋体"/>
                      <w:sz w:val="24"/>
                    </w:rPr>
                  </w:pPr>
                  <w:r>
                    <w:rPr>
                      <w:rFonts w:hint="eastAsia" w:hAnsi="宋体"/>
                      <w:sz w:val="24"/>
                    </w:rPr>
                    <w:t>类别</w:t>
                  </w:r>
                </w:p>
              </w:tc>
              <w:tc>
                <w:tcPr>
                  <w:tcW w:w="940"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热舒适度等级</w:t>
                  </w:r>
                </w:p>
              </w:tc>
              <w:tc>
                <w:tcPr>
                  <w:tcW w:w="940"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温度（℃）</w:t>
                  </w:r>
                </w:p>
              </w:tc>
              <w:tc>
                <w:tcPr>
                  <w:tcW w:w="941"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相对湿度（%）</w:t>
                  </w:r>
                </w:p>
              </w:tc>
              <w:tc>
                <w:tcPr>
                  <w:tcW w:w="1075" w:type="pct"/>
                  <w:tcBorders>
                    <w:top w:val="single" w:color="auto" w:sz="4" w:space="0"/>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风速（m/s）</w:t>
                  </w:r>
                </w:p>
              </w:tc>
            </w:tr>
            <w:tr>
              <w:tblPrEx>
                <w:tblCellMar>
                  <w:top w:w="0" w:type="dxa"/>
                  <w:left w:w="108" w:type="dxa"/>
                  <w:bottom w:w="0" w:type="dxa"/>
                  <w:right w:w="108" w:type="dxa"/>
                </w:tblCellMar>
              </w:tblPrEx>
              <w:trPr>
                <w:trHeight w:val="20" w:hRule="atLeast"/>
              </w:trPr>
              <w:tc>
                <w:tcPr>
                  <w:tcW w:w="1103" w:type="pct"/>
                  <w:vMerge w:val="restart"/>
                  <w:tcBorders>
                    <w:top w:val="nil"/>
                    <w:left w:val="single" w:color="auto" w:sz="4" w:space="0"/>
                    <w:bottom w:val="single" w:color="auto" w:sz="4" w:space="0"/>
                    <w:right w:val="single" w:color="auto" w:sz="4" w:space="0"/>
                  </w:tcBorders>
                  <w:shd w:val="clear" w:color="auto" w:fill="auto"/>
                  <w:noWrap/>
                  <w:vAlign w:val="center"/>
                </w:tcPr>
                <w:p>
                  <w:pPr>
                    <w:spacing w:line="360" w:lineRule="auto"/>
                    <w:outlineLvl w:val="3"/>
                    <w:rPr>
                      <w:rFonts w:hAnsi="宋体"/>
                      <w:sz w:val="24"/>
                    </w:rPr>
                  </w:pPr>
                  <w:r>
                    <w:rPr>
                      <w:rFonts w:hint="eastAsia" w:hAnsi="宋体"/>
                      <w:sz w:val="24"/>
                    </w:rPr>
                    <w:t>供热工况</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20~23</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≥30</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≤0.3</w:t>
                  </w:r>
                </w:p>
              </w:tc>
            </w:tr>
            <w:tr>
              <w:tblPrEx>
                <w:tblCellMar>
                  <w:top w:w="0" w:type="dxa"/>
                  <w:left w:w="108" w:type="dxa"/>
                  <w:bottom w:w="0" w:type="dxa"/>
                  <w:right w:w="108" w:type="dxa"/>
                </w:tblCellMar>
              </w:tblPrEx>
              <w:trPr>
                <w:trHeight w:val="20" w:hRule="atLeast"/>
              </w:trPr>
              <w:tc>
                <w:tcPr>
                  <w:tcW w:w="1103" w:type="pct"/>
                  <w:vMerge w:val="continue"/>
                  <w:tcBorders>
                    <w:top w:val="nil"/>
                    <w:left w:val="single" w:color="auto" w:sz="4" w:space="0"/>
                    <w:bottom w:val="single" w:color="auto" w:sz="4" w:space="0"/>
                    <w:right w:val="single" w:color="auto" w:sz="4" w:space="0"/>
                  </w:tcBorders>
                  <w:vAlign w:val="center"/>
                </w:tcPr>
                <w:p>
                  <w:pPr>
                    <w:spacing w:line="360" w:lineRule="auto"/>
                    <w:outlineLvl w:val="3"/>
                    <w:rPr>
                      <w:rFonts w:hAnsi="宋体"/>
                      <w:sz w:val="24"/>
                    </w:rPr>
                  </w:pP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16~21</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≤0.3</w:t>
                  </w:r>
                </w:p>
              </w:tc>
            </w:tr>
            <w:tr>
              <w:trPr>
                <w:trHeight w:val="20" w:hRule="atLeast"/>
              </w:trPr>
              <w:tc>
                <w:tcPr>
                  <w:tcW w:w="1103" w:type="pct"/>
                  <w:vMerge w:val="restart"/>
                  <w:tcBorders>
                    <w:top w:val="nil"/>
                    <w:left w:val="single" w:color="auto" w:sz="4" w:space="0"/>
                    <w:bottom w:val="single" w:color="auto" w:sz="4" w:space="0"/>
                    <w:right w:val="single" w:color="auto" w:sz="4" w:space="0"/>
                  </w:tcBorders>
                  <w:shd w:val="clear" w:color="auto" w:fill="auto"/>
                  <w:noWrap/>
                  <w:vAlign w:val="center"/>
                </w:tcPr>
                <w:p>
                  <w:pPr>
                    <w:spacing w:line="360" w:lineRule="auto"/>
                    <w:outlineLvl w:val="3"/>
                    <w:rPr>
                      <w:rFonts w:hAnsi="宋体"/>
                      <w:sz w:val="24"/>
                    </w:rPr>
                  </w:pPr>
                  <w:r>
                    <w:rPr>
                      <w:rFonts w:hint="eastAsia" w:hAnsi="宋体"/>
                      <w:sz w:val="24"/>
                    </w:rPr>
                    <w:t>供冷工况</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25~28</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40~60</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≤0.5</w:t>
                  </w:r>
                </w:p>
              </w:tc>
            </w:tr>
            <w:tr>
              <w:tblPrEx>
                <w:tblCellMar>
                  <w:top w:w="0" w:type="dxa"/>
                  <w:left w:w="108" w:type="dxa"/>
                  <w:bottom w:w="0" w:type="dxa"/>
                  <w:right w:w="108" w:type="dxa"/>
                </w:tblCellMar>
              </w:tblPrEx>
              <w:trPr>
                <w:trHeight w:val="20" w:hRule="atLeast"/>
              </w:trPr>
              <w:tc>
                <w:tcPr>
                  <w:tcW w:w="1103" w:type="pct"/>
                  <w:vMerge w:val="continue"/>
                  <w:tcBorders>
                    <w:top w:val="nil"/>
                    <w:left w:val="single" w:color="auto" w:sz="4" w:space="0"/>
                    <w:bottom w:val="single" w:color="auto" w:sz="4" w:space="0"/>
                    <w:right w:val="single" w:color="auto" w:sz="4" w:space="0"/>
                  </w:tcBorders>
                  <w:vAlign w:val="center"/>
                </w:tcPr>
                <w:p>
                  <w:pPr>
                    <w:spacing w:line="360" w:lineRule="auto"/>
                    <w:outlineLvl w:val="3"/>
                    <w:rPr>
                      <w:rFonts w:hAnsi="宋体"/>
                      <w:sz w:val="24"/>
                    </w:rPr>
                  </w:pP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II级</w:t>
                  </w:r>
                </w:p>
              </w:tc>
              <w:tc>
                <w:tcPr>
                  <w:tcW w:w="940"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27~30</w:t>
                  </w:r>
                </w:p>
              </w:tc>
              <w:tc>
                <w:tcPr>
                  <w:tcW w:w="941"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≤70</w:t>
                  </w:r>
                </w:p>
              </w:tc>
              <w:tc>
                <w:tcPr>
                  <w:tcW w:w="1075" w:type="pct"/>
                  <w:tcBorders>
                    <w:top w:val="nil"/>
                    <w:left w:val="nil"/>
                    <w:bottom w:val="single" w:color="auto" w:sz="4" w:space="0"/>
                    <w:right w:val="single" w:color="auto" w:sz="4" w:space="0"/>
                  </w:tcBorders>
                  <w:shd w:val="clear" w:color="auto" w:fill="auto"/>
                  <w:noWrap/>
                  <w:vAlign w:val="center"/>
                </w:tcPr>
                <w:p>
                  <w:pPr>
                    <w:spacing w:line="360" w:lineRule="auto"/>
                    <w:jc w:val="center"/>
                    <w:outlineLvl w:val="3"/>
                    <w:rPr>
                      <w:rFonts w:hAnsi="宋体"/>
                      <w:sz w:val="24"/>
                    </w:rPr>
                  </w:pPr>
                  <w:r>
                    <w:rPr>
                      <w:rFonts w:hint="eastAsia" w:hAnsi="宋体"/>
                      <w:sz w:val="24"/>
                    </w:rPr>
                    <w:t>≤0.5</w:t>
                  </w:r>
                </w:p>
              </w:tc>
            </w:tr>
          </w:tbl>
          <w:p>
            <w:pPr>
              <w:spacing w:line="360" w:lineRule="auto"/>
              <w:outlineLvl w:val="3"/>
              <w:rPr>
                <w:rFonts w:hAnsi="宋体"/>
                <w:kern w:val="0"/>
                <w:sz w:val="24"/>
              </w:rPr>
            </w:pPr>
            <w:r>
              <w:rPr>
                <w:rFonts w:hint="eastAsia" w:hAnsi="宋体"/>
                <w:kern w:val="0"/>
                <w:sz w:val="24"/>
              </w:rPr>
              <w:t>表3  公共建筑主要房间每人所需最小新风量【m</w:t>
            </w:r>
            <w:r>
              <w:rPr>
                <w:rFonts w:hint="eastAsia" w:hAnsi="宋体"/>
                <w:kern w:val="0"/>
                <w:sz w:val="24"/>
                <w:vertAlign w:val="superscript"/>
              </w:rPr>
              <w:t>3</w:t>
            </w:r>
            <w:r>
              <w:rPr>
                <w:rFonts w:hint="eastAsia" w:hAnsi="宋体"/>
                <w:kern w:val="0"/>
                <w:sz w:val="24"/>
              </w:rPr>
              <w:t>/（h·人）】</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05"/>
              <w:gridCol w:w="3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13" w:type="pct"/>
                  <w:vAlign w:val="center"/>
                </w:tcPr>
                <w:p>
                  <w:pPr>
                    <w:spacing w:line="360" w:lineRule="auto"/>
                    <w:jc w:val="center"/>
                    <w:outlineLvl w:val="3"/>
                    <w:rPr>
                      <w:rFonts w:hAnsi="宋体"/>
                      <w:sz w:val="24"/>
                    </w:rPr>
                  </w:pPr>
                  <w:r>
                    <w:rPr>
                      <w:rFonts w:hint="eastAsia" w:hAnsi="宋体"/>
                      <w:sz w:val="24"/>
                    </w:rPr>
                    <w:t>建筑房间类型</w:t>
                  </w:r>
                </w:p>
              </w:tc>
              <w:tc>
                <w:tcPr>
                  <w:tcW w:w="2487" w:type="pct"/>
                  <w:vAlign w:val="center"/>
                </w:tcPr>
                <w:p>
                  <w:pPr>
                    <w:spacing w:line="360" w:lineRule="auto"/>
                    <w:jc w:val="center"/>
                    <w:outlineLvl w:val="3"/>
                    <w:rPr>
                      <w:rFonts w:hAnsi="宋体"/>
                      <w:sz w:val="24"/>
                    </w:rPr>
                  </w:pPr>
                  <w:r>
                    <w:rPr>
                      <w:rFonts w:hint="eastAsia" w:hAnsi="宋体"/>
                      <w:sz w:val="24"/>
                    </w:rPr>
                    <w:t>新风量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13" w:type="pct"/>
                  <w:vAlign w:val="center"/>
                </w:tcPr>
                <w:p>
                  <w:pPr>
                    <w:spacing w:line="360" w:lineRule="auto"/>
                    <w:jc w:val="center"/>
                    <w:outlineLvl w:val="3"/>
                    <w:rPr>
                      <w:rFonts w:hAnsi="宋体"/>
                      <w:sz w:val="24"/>
                    </w:rPr>
                  </w:pPr>
                  <w:r>
                    <w:rPr>
                      <w:rFonts w:hint="eastAsia" w:hAnsi="宋体"/>
                      <w:sz w:val="24"/>
                    </w:rPr>
                    <w:t>办公室</w:t>
                  </w:r>
                </w:p>
              </w:tc>
              <w:tc>
                <w:tcPr>
                  <w:tcW w:w="2487" w:type="pct"/>
                  <w:vAlign w:val="center"/>
                </w:tcPr>
                <w:p>
                  <w:pPr>
                    <w:spacing w:line="360" w:lineRule="auto"/>
                    <w:jc w:val="center"/>
                    <w:outlineLvl w:val="3"/>
                    <w:rPr>
                      <w:rFonts w:hAnsi="宋体"/>
                      <w:sz w:val="24"/>
                    </w:rPr>
                  </w:pPr>
                  <w:r>
                    <w:rPr>
                      <w:rFonts w:hint="eastAsia" w:hAnsi="宋体"/>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13" w:type="pct"/>
                  <w:vAlign w:val="center"/>
                </w:tcPr>
                <w:p>
                  <w:pPr>
                    <w:spacing w:line="360" w:lineRule="auto"/>
                    <w:jc w:val="center"/>
                    <w:outlineLvl w:val="3"/>
                    <w:rPr>
                      <w:rFonts w:hAnsi="宋体"/>
                      <w:sz w:val="24"/>
                    </w:rPr>
                  </w:pPr>
                  <w:r>
                    <w:rPr>
                      <w:rFonts w:hint="eastAsia" w:hAnsi="宋体"/>
                      <w:sz w:val="24"/>
                    </w:rPr>
                    <w:t>客房</w:t>
                  </w:r>
                </w:p>
              </w:tc>
              <w:tc>
                <w:tcPr>
                  <w:tcW w:w="2487" w:type="pct"/>
                  <w:vAlign w:val="center"/>
                </w:tcPr>
                <w:p>
                  <w:pPr>
                    <w:spacing w:line="360" w:lineRule="auto"/>
                    <w:jc w:val="center"/>
                    <w:outlineLvl w:val="3"/>
                    <w:rPr>
                      <w:rFonts w:hAnsi="宋体"/>
                      <w:sz w:val="24"/>
                    </w:rPr>
                  </w:pPr>
                  <w:r>
                    <w:rPr>
                      <w:rFonts w:hint="eastAsia" w:hAnsi="宋体"/>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513" w:type="pct"/>
                  <w:vAlign w:val="center"/>
                </w:tcPr>
                <w:p>
                  <w:pPr>
                    <w:spacing w:line="360" w:lineRule="auto"/>
                    <w:jc w:val="center"/>
                    <w:outlineLvl w:val="3"/>
                    <w:rPr>
                      <w:rFonts w:hAnsi="宋体"/>
                      <w:sz w:val="24"/>
                    </w:rPr>
                  </w:pPr>
                  <w:r>
                    <w:rPr>
                      <w:rFonts w:hint="eastAsia" w:hAnsi="宋体"/>
                      <w:sz w:val="24"/>
                    </w:rPr>
                    <w:t>大堂、四季厅</w:t>
                  </w:r>
                </w:p>
              </w:tc>
              <w:tc>
                <w:tcPr>
                  <w:tcW w:w="2487" w:type="pct"/>
                  <w:vAlign w:val="center"/>
                </w:tcPr>
                <w:p>
                  <w:pPr>
                    <w:spacing w:line="360" w:lineRule="auto"/>
                    <w:jc w:val="center"/>
                    <w:outlineLvl w:val="3"/>
                    <w:rPr>
                      <w:rFonts w:hAnsi="宋体"/>
                      <w:sz w:val="24"/>
                    </w:rPr>
                  </w:pPr>
                  <w:r>
                    <w:rPr>
                      <w:rFonts w:hint="eastAsia" w:hAnsi="宋体"/>
                      <w:sz w:val="24"/>
                    </w:rPr>
                    <w:t>10</w:t>
                  </w:r>
                </w:p>
              </w:tc>
            </w:tr>
          </w:tbl>
          <w:p>
            <w:pPr>
              <w:spacing w:line="360" w:lineRule="auto"/>
              <w:outlineLvl w:val="3"/>
              <w:rPr>
                <w:rFonts w:hAnsi="宋体"/>
                <w:kern w:val="0"/>
                <w:sz w:val="24"/>
              </w:rPr>
            </w:pPr>
            <w:r>
              <w:rPr>
                <w:rFonts w:hint="eastAsia" w:hAnsi="宋体"/>
                <w:kern w:val="0"/>
                <w:sz w:val="24"/>
              </w:rPr>
              <w:t>表4  医院建筑设计最小换气次数</w:t>
            </w:r>
          </w:p>
          <w:tbl>
            <w:tblPr>
              <w:tblStyle w:val="4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03"/>
              <w:gridCol w:w="37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12" w:type="pct"/>
                  <w:vAlign w:val="center"/>
                </w:tcPr>
                <w:p>
                  <w:pPr>
                    <w:spacing w:line="360" w:lineRule="auto"/>
                    <w:jc w:val="center"/>
                    <w:outlineLvl w:val="3"/>
                    <w:rPr>
                      <w:rFonts w:hAnsi="宋体"/>
                      <w:sz w:val="24"/>
                    </w:rPr>
                  </w:pPr>
                  <w:r>
                    <w:rPr>
                      <w:rFonts w:hint="eastAsia" w:hAnsi="宋体"/>
                      <w:sz w:val="24"/>
                    </w:rPr>
                    <w:t>功能房间</w:t>
                  </w:r>
                </w:p>
              </w:tc>
              <w:tc>
                <w:tcPr>
                  <w:tcW w:w="2488" w:type="pct"/>
                  <w:vAlign w:val="center"/>
                </w:tcPr>
                <w:p>
                  <w:pPr>
                    <w:spacing w:line="360" w:lineRule="auto"/>
                    <w:jc w:val="center"/>
                    <w:outlineLvl w:val="3"/>
                    <w:rPr>
                      <w:rFonts w:hAnsi="宋体"/>
                      <w:sz w:val="24"/>
                    </w:rPr>
                  </w:pPr>
                  <w:r>
                    <w:rPr>
                      <w:rFonts w:hint="eastAsia" w:hAnsi="宋体"/>
                      <w:sz w:val="24"/>
                    </w:rPr>
                    <w:t>每小时换气次数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12" w:type="pct"/>
                  <w:vAlign w:val="center"/>
                </w:tcPr>
                <w:p>
                  <w:pPr>
                    <w:spacing w:line="360" w:lineRule="auto"/>
                    <w:jc w:val="center"/>
                    <w:outlineLvl w:val="3"/>
                    <w:rPr>
                      <w:rFonts w:hAnsi="宋体"/>
                      <w:sz w:val="24"/>
                    </w:rPr>
                  </w:pPr>
                  <w:r>
                    <w:rPr>
                      <w:rFonts w:hint="eastAsia" w:hAnsi="宋体"/>
                      <w:sz w:val="24"/>
                    </w:rPr>
                    <w:t>门诊室</w:t>
                  </w:r>
                </w:p>
              </w:tc>
              <w:tc>
                <w:tcPr>
                  <w:tcW w:w="2488" w:type="pct"/>
                  <w:vAlign w:val="center"/>
                </w:tcPr>
                <w:p>
                  <w:pPr>
                    <w:spacing w:line="360" w:lineRule="auto"/>
                    <w:jc w:val="center"/>
                    <w:outlineLvl w:val="3"/>
                    <w:rPr>
                      <w:rFonts w:hAnsi="宋体"/>
                      <w:sz w:val="24"/>
                    </w:rPr>
                  </w:pPr>
                  <w:r>
                    <w:rPr>
                      <w:rFonts w:hint="eastAsia" w:hAnsi="宋体"/>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12" w:type="pct"/>
                  <w:vAlign w:val="center"/>
                </w:tcPr>
                <w:p>
                  <w:pPr>
                    <w:spacing w:line="360" w:lineRule="auto"/>
                    <w:jc w:val="center"/>
                    <w:outlineLvl w:val="3"/>
                    <w:rPr>
                      <w:rFonts w:hAnsi="宋体"/>
                      <w:sz w:val="24"/>
                    </w:rPr>
                  </w:pPr>
                  <w:r>
                    <w:rPr>
                      <w:rFonts w:hint="eastAsia" w:hAnsi="宋体"/>
                      <w:sz w:val="24"/>
                    </w:rPr>
                    <w:t>急诊室</w:t>
                  </w:r>
                </w:p>
              </w:tc>
              <w:tc>
                <w:tcPr>
                  <w:tcW w:w="2488" w:type="pct"/>
                  <w:vAlign w:val="center"/>
                </w:tcPr>
                <w:p>
                  <w:pPr>
                    <w:spacing w:line="360" w:lineRule="auto"/>
                    <w:jc w:val="center"/>
                    <w:outlineLvl w:val="3"/>
                    <w:rPr>
                      <w:rFonts w:hAnsi="宋体"/>
                      <w:sz w:val="24"/>
                    </w:rPr>
                  </w:pPr>
                  <w:r>
                    <w:rPr>
                      <w:rFonts w:hint="eastAsia" w:hAnsi="宋体"/>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12" w:type="pct"/>
                  <w:vAlign w:val="center"/>
                </w:tcPr>
                <w:p>
                  <w:pPr>
                    <w:spacing w:line="360" w:lineRule="auto"/>
                    <w:jc w:val="center"/>
                    <w:outlineLvl w:val="3"/>
                    <w:rPr>
                      <w:rFonts w:hAnsi="宋体"/>
                      <w:sz w:val="24"/>
                    </w:rPr>
                  </w:pPr>
                  <w:r>
                    <w:rPr>
                      <w:rFonts w:hint="eastAsia" w:hAnsi="宋体"/>
                      <w:sz w:val="24"/>
                    </w:rPr>
                    <w:t>配药室</w:t>
                  </w:r>
                </w:p>
              </w:tc>
              <w:tc>
                <w:tcPr>
                  <w:tcW w:w="2488" w:type="pct"/>
                  <w:vAlign w:val="center"/>
                </w:tcPr>
                <w:p>
                  <w:pPr>
                    <w:spacing w:line="360" w:lineRule="auto"/>
                    <w:jc w:val="center"/>
                    <w:outlineLvl w:val="3"/>
                    <w:rPr>
                      <w:rFonts w:hAnsi="宋体"/>
                      <w:sz w:val="24"/>
                    </w:rPr>
                  </w:pPr>
                  <w:r>
                    <w:rPr>
                      <w:rFonts w:hint="eastAsia" w:hAnsi="宋体"/>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12" w:type="pct"/>
                  <w:vAlign w:val="center"/>
                </w:tcPr>
                <w:p>
                  <w:pPr>
                    <w:spacing w:line="360" w:lineRule="auto"/>
                    <w:jc w:val="center"/>
                    <w:outlineLvl w:val="3"/>
                    <w:rPr>
                      <w:rFonts w:hAnsi="宋体"/>
                      <w:sz w:val="24"/>
                    </w:rPr>
                  </w:pPr>
                  <w:r>
                    <w:rPr>
                      <w:rFonts w:hint="eastAsia" w:hAnsi="宋体"/>
                      <w:sz w:val="24"/>
                    </w:rPr>
                    <w:t>放射室</w:t>
                  </w:r>
                </w:p>
              </w:tc>
              <w:tc>
                <w:tcPr>
                  <w:tcW w:w="2488" w:type="pct"/>
                  <w:vAlign w:val="center"/>
                </w:tcPr>
                <w:p>
                  <w:pPr>
                    <w:spacing w:line="360" w:lineRule="auto"/>
                    <w:jc w:val="center"/>
                    <w:outlineLvl w:val="3"/>
                    <w:rPr>
                      <w:rFonts w:hAnsi="宋体"/>
                      <w:sz w:val="24"/>
                    </w:rPr>
                  </w:pPr>
                  <w:r>
                    <w:rPr>
                      <w:rFonts w:hint="eastAsia" w:hAnsi="宋体"/>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512" w:type="pct"/>
                  <w:vAlign w:val="center"/>
                </w:tcPr>
                <w:p>
                  <w:pPr>
                    <w:spacing w:line="360" w:lineRule="auto"/>
                    <w:jc w:val="center"/>
                    <w:outlineLvl w:val="3"/>
                    <w:rPr>
                      <w:rFonts w:hAnsi="宋体"/>
                      <w:sz w:val="24"/>
                    </w:rPr>
                  </w:pPr>
                  <w:r>
                    <w:rPr>
                      <w:rFonts w:hint="eastAsia" w:hAnsi="宋体"/>
                      <w:sz w:val="24"/>
                    </w:rPr>
                    <w:t>病房</w:t>
                  </w:r>
                </w:p>
              </w:tc>
              <w:tc>
                <w:tcPr>
                  <w:tcW w:w="2488" w:type="pct"/>
                  <w:vAlign w:val="center"/>
                </w:tcPr>
                <w:p>
                  <w:pPr>
                    <w:spacing w:line="360" w:lineRule="auto"/>
                    <w:jc w:val="center"/>
                    <w:outlineLvl w:val="3"/>
                    <w:rPr>
                      <w:rFonts w:hAnsi="宋体"/>
                      <w:sz w:val="24"/>
                    </w:rPr>
                  </w:pPr>
                  <w:r>
                    <w:rPr>
                      <w:rFonts w:hint="eastAsia" w:hAnsi="宋体"/>
                      <w:sz w:val="24"/>
                    </w:rPr>
                    <w:t>2</w:t>
                  </w:r>
                </w:p>
              </w:tc>
            </w:tr>
          </w:tbl>
          <w:p>
            <w:pPr>
              <w:spacing w:line="360" w:lineRule="auto"/>
              <w:outlineLvl w:val="3"/>
              <w:rPr>
                <w:rFonts w:hAnsi="宋体"/>
                <w:kern w:val="0"/>
                <w:sz w:val="24"/>
              </w:rPr>
            </w:pPr>
            <w:r>
              <w:rPr>
                <w:rFonts w:hint="eastAsia" w:hAnsi="宋体"/>
                <w:kern w:val="0"/>
                <w:sz w:val="24"/>
              </w:rPr>
              <w:t>表5  高密度人群建筑每人所需最小新风量【m3/(h·人)】</w:t>
            </w:r>
          </w:p>
          <w:tbl>
            <w:tblPr>
              <w:tblStyle w:val="4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32"/>
              <w:gridCol w:w="1316"/>
              <w:gridCol w:w="1974"/>
              <w:gridCol w:w="12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Merge w:val="restart"/>
                  <w:vAlign w:val="center"/>
                </w:tcPr>
                <w:p>
                  <w:pPr>
                    <w:spacing w:line="360" w:lineRule="auto"/>
                    <w:outlineLvl w:val="3"/>
                    <w:rPr>
                      <w:rFonts w:hAnsi="宋体"/>
                      <w:sz w:val="24"/>
                    </w:rPr>
                  </w:pPr>
                  <w:r>
                    <w:rPr>
                      <w:rFonts w:hint="eastAsia" w:hAnsi="宋体"/>
                      <w:sz w:val="24"/>
                    </w:rPr>
                    <w:t>建筑类型</w:t>
                  </w:r>
                </w:p>
              </w:tc>
              <w:tc>
                <w:tcPr>
                  <w:tcW w:w="2997" w:type="pct"/>
                  <w:gridSpan w:val="3"/>
                  <w:vAlign w:val="center"/>
                </w:tcPr>
                <w:p>
                  <w:pPr>
                    <w:spacing w:line="360" w:lineRule="auto"/>
                    <w:jc w:val="center"/>
                    <w:outlineLvl w:val="3"/>
                    <w:rPr>
                      <w:rFonts w:hAnsi="宋体"/>
                      <w:sz w:val="24"/>
                    </w:rPr>
                  </w:pPr>
                  <w:r>
                    <w:rPr>
                      <w:rFonts w:hint="eastAsia" w:hAnsi="宋体"/>
                      <w:sz w:val="24"/>
                    </w:rPr>
                    <w:t>人员密度P</w:t>
                  </w:r>
                  <w:r>
                    <w:rPr>
                      <w:rFonts w:hint="eastAsia" w:hAnsi="宋体"/>
                      <w:sz w:val="24"/>
                      <w:vertAlign w:val="subscript"/>
                    </w:rPr>
                    <w:t>F</w:t>
                  </w:r>
                  <w:r>
                    <w:rPr>
                      <w:rFonts w:hint="eastAsia" w:hAnsi="宋体"/>
                      <w:sz w:val="24"/>
                    </w:rPr>
                    <w:t>(人/m</w:t>
                  </w:r>
                  <w:r>
                    <w:rPr>
                      <w:rFonts w:hint="eastAsia" w:hAnsi="宋体"/>
                      <w:sz w:val="24"/>
                      <w:vertAlign w:val="superscript"/>
                    </w:rPr>
                    <w:t>2</w:t>
                  </w:r>
                  <w:r>
                    <w:rPr>
                      <w:rFonts w:hint="eastAsia"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Merge w:val="continue"/>
                  <w:vAlign w:val="center"/>
                </w:tcPr>
                <w:p>
                  <w:pPr>
                    <w:spacing w:line="360" w:lineRule="auto"/>
                    <w:outlineLvl w:val="3"/>
                    <w:rPr>
                      <w:rFonts w:hAnsi="宋体"/>
                      <w:sz w:val="24"/>
                    </w:rPr>
                  </w:pPr>
                </w:p>
              </w:tc>
              <w:tc>
                <w:tcPr>
                  <w:tcW w:w="869" w:type="pct"/>
                  <w:vAlign w:val="center"/>
                </w:tcPr>
                <w:p>
                  <w:pPr>
                    <w:spacing w:line="360" w:lineRule="auto"/>
                    <w:jc w:val="center"/>
                    <w:outlineLvl w:val="3"/>
                    <w:rPr>
                      <w:rFonts w:hAnsi="宋体"/>
                      <w:sz w:val="24"/>
                    </w:rPr>
                  </w:pPr>
                  <w:r>
                    <w:rPr>
                      <w:rFonts w:hint="eastAsia" w:hAnsi="宋体"/>
                      <w:sz w:val="24"/>
                    </w:rPr>
                    <w:t>P</w:t>
                  </w:r>
                  <w:r>
                    <w:rPr>
                      <w:rFonts w:hint="eastAsia" w:hAnsi="宋体"/>
                      <w:sz w:val="24"/>
                      <w:vertAlign w:val="subscript"/>
                    </w:rPr>
                    <w:t>F</w:t>
                  </w:r>
                  <w:r>
                    <w:rPr>
                      <w:rFonts w:hint="eastAsia" w:hAnsi="宋体"/>
                      <w:sz w:val="24"/>
                    </w:rPr>
                    <w:t>≤0.4</w:t>
                  </w:r>
                </w:p>
              </w:tc>
              <w:tc>
                <w:tcPr>
                  <w:tcW w:w="1304" w:type="pct"/>
                  <w:vAlign w:val="center"/>
                </w:tcPr>
                <w:p>
                  <w:pPr>
                    <w:spacing w:line="360" w:lineRule="auto"/>
                    <w:jc w:val="center"/>
                    <w:outlineLvl w:val="3"/>
                    <w:rPr>
                      <w:rFonts w:hAnsi="宋体"/>
                      <w:sz w:val="24"/>
                    </w:rPr>
                  </w:pPr>
                  <w:r>
                    <w:rPr>
                      <w:rFonts w:hint="eastAsia" w:hAnsi="宋体"/>
                      <w:sz w:val="24"/>
                    </w:rPr>
                    <w:t>0.4﹤P</w:t>
                  </w:r>
                  <w:r>
                    <w:rPr>
                      <w:rFonts w:hint="eastAsia" w:hAnsi="宋体"/>
                      <w:sz w:val="24"/>
                      <w:vertAlign w:val="subscript"/>
                    </w:rPr>
                    <w:t>F</w:t>
                  </w:r>
                  <w:r>
                    <w:rPr>
                      <w:rFonts w:hint="eastAsia" w:hAnsi="宋体"/>
                      <w:sz w:val="24"/>
                    </w:rPr>
                    <w:t>≤1.0</w:t>
                  </w:r>
                </w:p>
              </w:tc>
              <w:tc>
                <w:tcPr>
                  <w:tcW w:w="824" w:type="pct"/>
                  <w:vAlign w:val="center"/>
                </w:tcPr>
                <w:p>
                  <w:pPr>
                    <w:spacing w:line="360" w:lineRule="auto"/>
                    <w:jc w:val="center"/>
                    <w:outlineLvl w:val="3"/>
                    <w:rPr>
                      <w:rFonts w:hAnsi="宋体"/>
                      <w:sz w:val="24"/>
                    </w:rPr>
                  </w:pPr>
                  <w:r>
                    <w:rPr>
                      <w:rFonts w:hint="eastAsia" w:hAnsi="宋体"/>
                      <w:sz w:val="24"/>
                    </w:rPr>
                    <w:t>P</w:t>
                  </w:r>
                  <w:r>
                    <w:rPr>
                      <w:rFonts w:hint="eastAsia" w:hAnsi="宋体"/>
                      <w:sz w:val="24"/>
                      <w:vertAlign w:val="subscript"/>
                    </w:rPr>
                    <w:t>F</w:t>
                  </w:r>
                  <w:r>
                    <w:rPr>
                      <w:rFonts w:hint="eastAsia" w:hAnsi="宋体"/>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影剧院、音乐厅、大会厅、多功能厅、会议室</w:t>
                  </w:r>
                </w:p>
              </w:tc>
              <w:tc>
                <w:tcPr>
                  <w:tcW w:w="869" w:type="pct"/>
                  <w:vAlign w:val="center"/>
                </w:tcPr>
                <w:p>
                  <w:pPr>
                    <w:spacing w:line="360" w:lineRule="auto"/>
                    <w:jc w:val="center"/>
                    <w:outlineLvl w:val="3"/>
                    <w:rPr>
                      <w:rFonts w:hAnsi="宋体"/>
                      <w:sz w:val="24"/>
                    </w:rPr>
                  </w:pPr>
                  <w:r>
                    <w:rPr>
                      <w:rFonts w:hint="eastAsia" w:hAnsi="宋体"/>
                      <w:sz w:val="24"/>
                    </w:rPr>
                    <w:t>14</w:t>
                  </w:r>
                </w:p>
              </w:tc>
              <w:tc>
                <w:tcPr>
                  <w:tcW w:w="1304" w:type="pct"/>
                  <w:vAlign w:val="center"/>
                </w:tcPr>
                <w:p>
                  <w:pPr>
                    <w:spacing w:line="360" w:lineRule="auto"/>
                    <w:jc w:val="center"/>
                    <w:outlineLvl w:val="3"/>
                    <w:rPr>
                      <w:rFonts w:hAnsi="宋体"/>
                      <w:sz w:val="24"/>
                    </w:rPr>
                  </w:pPr>
                  <w:r>
                    <w:rPr>
                      <w:rFonts w:hint="eastAsia" w:hAnsi="宋体"/>
                      <w:sz w:val="24"/>
                    </w:rPr>
                    <w:t>12</w:t>
                  </w:r>
                </w:p>
              </w:tc>
              <w:tc>
                <w:tcPr>
                  <w:tcW w:w="824" w:type="pct"/>
                  <w:vAlign w:val="center"/>
                </w:tcPr>
                <w:p>
                  <w:pPr>
                    <w:spacing w:line="360" w:lineRule="auto"/>
                    <w:jc w:val="center"/>
                    <w:outlineLvl w:val="3"/>
                    <w:rPr>
                      <w:rFonts w:hAnsi="宋体"/>
                      <w:sz w:val="24"/>
                    </w:rPr>
                  </w:pPr>
                  <w:r>
                    <w:rPr>
                      <w:rFonts w:hint="eastAsia" w:hAnsi="宋体"/>
                      <w:sz w:val="24"/>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商场、超市</w:t>
                  </w:r>
                </w:p>
              </w:tc>
              <w:tc>
                <w:tcPr>
                  <w:tcW w:w="869" w:type="pct"/>
                  <w:vAlign w:val="center"/>
                </w:tcPr>
                <w:p>
                  <w:pPr>
                    <w:spacing w:line="360" w:lineRule="auto"/>
                    <w:jc w:val="center"/>
                    <w:outlineLvl w:val="3"/>
                    <w:rPr>
                      <w:rFonts w:hAnsi="宋体"/>
                      <w:sz w:val="24"/>
                    </w:rPr>
                  </w:pPr>
                  <w:r>
                    <w:rPr>
                      <w:rFonts w:hint="eastAsia" w:hAnsi="宋体"/>
                      <w:sz w:val="24"/>
                    </w:rPr>
                    <w:t>19</w:t>
                  </w:r>
                </w:p>
              </w:tc>
              <w:tc>
                <w:tcPr>
                  <w:tcW w:w="1304" w:type="pct"/>
                  <w:vAlign w:val="center"/>
                </w:tcPr>
                <w:p>
                  <w:pPr>
                    <w:spacing w:line="360" w:lineRule="auto"/>
                    <w:jc w:val="center"/>
                    <w:outlineLvl w:val="3"/>
                    <w:rPr>
                      <w:rFonts w:hAnsi="宋体"/>
                      <w:sz w:val="24"/>
                    </w:rPr>
                  </w:pPr>
                  <w:r>
                    <w:rPr>
                      <w:rFonts w:hint="eastAsia" w:hAnsi="宋体"/>
                      <w:sz w:val="24"/>
                    </w:rPr>
                    <w:t>16</w:t>
                  </w:r>
                </w:p>
              </w:tc>
              <w:tc>
                <w:tcPr>
                  <w:tcW w:w="824" w:type="pct"/>
                  <w:vAlign w:val="center"/>
                </w:tcPr>
                <w:p>
                  <w:pPr>
                    <w:spacing w:line="360" w:lineRule="auto"/>
                    <w:jc w:val="center"/>
                    <w:outlineLvl w:val="3"/>
                    <w:rPr>
                      <w:rFonts w:hAnsi="宋体"/>
                      <w:sz w:val="24"/>
                    </w:rPr>
                  </w:pPr>
                  <w:r>
                    <w:rPr>
                      <w:rFonts w:hint="eastAsia" w:hAnsi="宋体"/>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博物馆、展览厅</w:t>
                  </w:r>
                </w:p>
              </w:tc>
              <w:tc>
                <w:tcPr>
                  <w:tcW w:w="869" w:type="pct"/>
                  <w:vAlign w:val="center"/>
                </w:tcPr>
                <w:p>
                  <w:pPr>
                    <w:spacing w:line="360" w:lineRule="auto"/>
                    <w:jc w:val="center"/>
                    <w:outlineLvl w:val="3"/>
                    <w:rPr>
                      <w:rFonts w:hAnsi="宋体"/>
                      <w:sz w:val="24"/>
                    </w:rPr>
                  </w:pPr>
                  <w:r>
                    <w:rPr>
                      <w:rFonts w:hint="eastAsia" w:hAnsi="宋体"/>
                      <w:sz w:val="24"/>
                    </w:rPr>
                    <w:t>19</w:t>
                  </w:r>
                </w:p>
              </w:tc>
              <w:tc>
                <w:tcPr>
                  <w:tcW w:w="1304" w:type="pct"/>
                  <w:vAlign w:val="center"/>
                </w:tcPr>
                <w:p>
                  <w:pPr>
                    <w:spacing w:line="360" w:lineRule="auto"/>
                    <w:jc w:val="center"/>
                    <w:outlineLvl w:val="3"/>
                    <w:rPr>
                      <w:rFonts w:hAnsi="宋体"/>
                      <w:sz w:val="24"/>
                    </w:rPr>
                  </w:pPr>
                  <w:r>
                    <w:rPr>
                      <w:rFonts w:hint="eastAsia" w:hAnsi="宋体"/>
                      <w:sz w:val="24"/>
                    </w:rPr>
                    <w:t>16</w:t>
                  </w:r>
                </w:p>
              </w:tc>
              <w:tc>
                <w:tcPr>
                  <w:tcW w:w="824" w:type="pct"/>
                  <w:vAlign w:val="center"/>
                </w:tcPr>
                <w:p>
                  <w:pPr>
                    <w:spacing w:line="360" w:lineRule="auto"/>
                    <w:jc w:val="center"/>
                    <w:outlineLvl w:val="3"/>
                    <w:rPr>
                      <w:rFonts w:hAnsi="宋体"/>
                      <w:sz w:val="24"/>
                    </w:rPr>
                  </w:pPr>
                  <w:r>
                    <w:rPr>
                      <w:rFonts w:hint="eastAsia" w:hAnsi="宋体"/>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公共交通等候室</w:t>
                  </w:r>
                </w:p>
              </w:tc>
              <w:tc>
                <w:tcPr>
                  <w:tcW w:w="869" w:type="pct"/>
                  <w:vAlign w:val="center"/>
                </w:tcPr>
                <w:p>
                  <w:pPr>
                    <w:spacing w:line="360" w:lineRule="auto"/>
                    <w:jc w:val="center"/>
                    <w:outlineLvl w:val="3"/>
                    <w:rPr>
                      <w:rFonts w:hAnsi="宋体"/>
                      <w:sz w:val="24"/>
                    </w:rPr>
                  </w:pPr>
                  <w:r>
                    <w:rPr>
                      <w:rFonts w:hint="eastAsia" w:hAnsi="宋体"/>
                      <w:sz w:val="24"/>
                    </w:rPr>
                    <w:t>19</w:t>
                  </w:r>
                </w:p>
              </w:tc>
              <w:tc>
                <w:tcPr>
                  <w:tcW w:w="1304" w:type="pct"/>
                  <w:vAlign w:val="center"/>
                </w:tcPr>
                <w:p>
                  <w:pPr>
                    <w:spacing w:line="360" w:lineRule="auto"/>
                    <w:jc w:val="center"/>
                    <w:outlineLvl w:val="3"/>
                    <w:rPr>
                      <w:rFonts w:hAnsi="宋体"/>
                      <w:sz w:val="24"/>
                    </w:rPr>
                  </w:pPr>
                  <w:r>
                    <w:rPr>
                      <w:rFonts w:hint="eastAsia" w:hAnsi="宋体"/>
                      <w:sz w:val="24"/>
                    </w:rPr>
                    <w:t>16</w:t>
                  </w:r>
                </w:p>
              </w:tc>
              <w:tc>
                <w:tcPr>
                  <w:tcW w:w="824" w:type="pct"/>
                  <w:vAlign w:val="center"/>
                </w:tcPr>
                <w:p>
                  <w:pPr>
                    <w:spacing w:line="360" w:lineRule="auto"/>
                    <w:jc w:val="center"/>
                    <w:outlineLvl w:val="3"/>
                    <w:rPr>
                      <w:rFonts w:hAnsi="宋体"/>
                      <w:sz w:val="24"/>
                    </w:rPr>
                  </w:pPr>
                  <w:r>
                    <w:rPr>
                      <w:rFonts w:hint="eastAsia" w:hAnsi="宋体"/>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歌厅</w:t>
                  </w:r>
                </w:p>
              </w:tc>
              <w:tc>
                <w:tcPr>
                  <w:tcW w:w="869" w:type="pct"/>
                  <w:vAlign w:val="center"/>
                </w:tcPr>
                <w:p>
                  <w:pPr>
                    <w:spacing w:line="360" w:lineRule="auto"/>
                    <w:jc w:val="center"/>
                    <w:outlineLvl w:val="3"/>
                    <w:rPr>
                      <w:rFonts w:hAnsi="宋体"/>
                      <w:sz w:val="24"/>
                    </w:rPr>
                  </w:pPr>
                  <w:r>
                    <w:rPr>
                      <w:rFonts w:hint="eastAsia" w:hAnsi="宋体"/>
                      <w:sz w:val="24"/>
                    </w:rPr>
                    <w:t>23</w:t>
                  </w:r>
                </w:p>
              </w:tc>
              <w:tc>
                <w:tcPr>
                  <w:tcW w:w="1304" w:type="pct"/>
                  <w:vAlign w:val="center"/>
                </w:tcPr>
                <w:p>
                  <w:pPr>
                    <w:spacing w:line="360" w:lineRule="auto"/>
                    <w:jc w:val="center"/>
                    <w:outlineLvl w:val="3"/>
                    <w:rPr>
                      <w:rFonts w:hAnsi="宋体"/>
                      <w:sz w:val="24"/>
                    </w:rPr>
                  </w:pPr>
                  <w:r>
                    <w:rPr>
                      <w:rFonts w:hint="eastAsia" w:hAnsi="宋体"/>
                      <w:sz w:val="24"/>
                    </w:rPr>
                    <w:t>20</w:t>
                  </w:r>
                </w:p>
              </w:tc>
              <w:tc>
                <w:tcPr>
                  <w:tcW w:w="824" w:type="pct"/>
                  <w:vAlign w:val="center"/>
                </w:tcPr>
                <w:p>
                  <w:pPr>
                    <w:spacing w:line="360" w:lineRule="auto"/>
                    <w:jc w:val="center"/>
                    <w:outlineLvl w:val="3"/>
                    <w:rPr>
                      <w:rFonts w:hAnsi="宋体"/>
                      <w:sz w:val="24"/>
                    </w:rPr>
                  </w:pPr>
                  <w:r>
                    <w:rPr>
                      <w:rFonts w:hint="eastAsia" w:hAnsi="宋体"/>
                      <w:sz w:val="24"/>
                    </w:rPr>
                    <w:t>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酒吧、咖啡厅、宴会厅、餐厅</w:t>
                  </w:r>
                </w:p>
              </w:tc>
              <w:tc>
                <w:tcPr>
                  <w:tcW w:w="869" w:type="pct"/>
                  <w:vAlign w:val="center"/>
                </w:tcPr>
                <w:p>
                  <w:pPr>
                    <w:spacing w:line="360" w:lineRule="auto"/>
                    <w:jc w:val="center"/>
                    <w:outlineLvl w:val="3"/>
                    <w:rPr>
                      <w:rFonts w:hAnsi="宋体"/>
                      <w:sz w:val="24"/>
                    </w:rPr>
                  </w:pPr>
                  <w:r>
                    <w:rPr>
                      <w:rFonts w:hint="eastAsia" w:hAnsi="宋体"/>
                      <w:sz w:val="24"/>
                    </w:rPr>
                    <w:t>30</w:t>
                  </w:r>
                </w:p>
              </w:tc>
              <w:tc>
                <w:tcPr>
                  <w:tcW w:w="1304" w:type="pct"/>
                  <w:vAlign w:val="center"/>
                </w:tcPr>
                <w:p>
                  <w:pPr>
                    <w:spacing w:line="360" w:lineRule="auto"/>
                    <w:jc w:val="center"/>
                    <w:outlineLvl w:val="3"/>
                    <w:rPr>
                      <w:rFonts w:hAnsi="宋体"/>
                      <w:sz w:val="24"/>
                    </w:rPr>
                  </w:pPr>
                  <w:r>
                    <w:rPr>
                      <w:rFonts w:hint="eastAsia" w:hAnsi="宋体"/>
                      <w:sz w:val="24"/>
                    </w:rPr>
                    <w:t>25</w:t>
                  </w:r>
                </w:p>
              </w:tc>
              <w:tc>
                <w:tcPr>
                  <w:tcW w:w="824" w:type="pct"/>
                  <w:vAlign w:val="center"/>
                </w:tcPr>
                <w:p>
                  <w:pPr>
                    <w:spacing w:line="360" w:lineRule="auto"/>
                    <w:jc w:val="center"/>
                    <w:outlineLvl w:val="3"/>
                    <w:rPr>
                      <w:rFonts w:hAnsi="宋体"/>
                      <w:sz w:val="24"/>
                    </w:rPr>
                  </w:pPr>
                  <w:r>
                    <w:rPr>
                      <w:rFonts w:hint="eastAsia" w:hAnsi="宋体"/>
                      <w:sz w:val="24"/>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游艺厅、保龄球房</w:t>
                  </w:r>
                </w:p>
              </w:tc>
              <w:tc>
                <w:tcPr>
                  <w:tcW w:w="869" w:type="pct"/>
                  <w:vAlign w:val="center"/>
                </w:tcPr>
                <w:p>
                  <w:pPr>
                    <w:spacing w:line="360" w:lineRule="auto"/>
                    <w:jc w:val="center"/>
                    <w:outlineLvl w:val="3"/>
                    <w:rPr>
                      <w:rFonts w:hAnsi="宋体"/>
                      <w:sz w:val="24"/>
                    </w:rPr>
                  </w:pPr>
                  <w:r>
                    <w:rPr>
                      <w:rFonts w:hint="eastAsia" w:hAnsi="宋体"/>
                      <w:sz w:val="24"/>
                    </w:rPr>
                    <w:t>30</w:t>
                  </w:r>
                </w:p>
              </w:tc>
              <w:tc>
                <w:tcPr>
                  <w:tcW w:w="1304" w:type="pct"/>
                  <w:vAlign w:val="center"/>
                </w:tcPr>
                <w:p>
                  <w:pPr>
                    <w:spacing w:line="360" w:lineRule="auto"/>
                    <w:jc w:val="center"/>
                    <w:outlineLvl w:val="3"/>
                    <w:rPr>
                      <w:rFonts w:hAnsi="宋体"/>
                      <w:sz w:val="24"/>
                    </w:rPr>
                  </w:pPr>
                  <w:r>
                    <w:rPr>
                      <w:rFonts w:hint="eastAsia" w:hAnsi="宋体"/>
                      <w:sz w:val="24"/>
                    </w:rPr>
                    <w:t>25</w:t>
                  </w:r>
                </w:p>
              </w:tc>
              <w:tc>
                <w:tcPr>
                  <w:tcW w:w="824" w:type="pct"/>
                  <w:vAlign w:val="center"/>
                </w:tcPr>
                <w:p>
                  <w:pPr>
                    <w:spacing w:line="360" w:lineRule="auto"/>
                    <w:jc w:val="center"/>
                    <w:outlineLvl w:val="3"/>
                    <w:rPr>
                      <w:rFonts w:hAnsi="宋体"/>
                      <w:sz w:val="24"/>
                    </w:rPr>
                  </w:pPr>
                  <w:r>
                    <w:rPr>
                      <w:rFonts w:hint="eastAsia" w:hAnsi="宋体"/>
                      <w:sz w:val="24"/>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体育馆</w:t>
                  </w:r>
                </w:p>
              </w:tc>
              <w:tc>
                <w:tcPr>
                  <w:tcW w:w="869" w:type="pct"/>
                  <w:vAlign w:val="center"/>
                </w:tcPr>
                <w:p>
                  <w:pPr>
                    <w:spacing w:line="360" w:lineRule="auto"/>
                    <w:jc w:val="center"/>
                    <w:outlineLvl w:val="3"/>
                    <w:rPr>
                      <w:rFonts w:hAnsi="宋体"/>
                      <w:sz w:val="24"/>
                    </w:rPr>
                  </w:pPr>
                  <w:r>
                    <w:rPr>
                      <w:rFonts w:hint="eastAsia" w:hAnsi="宋体"/>
                      <w:sz w:val="24"/>
                    </w:rPr>
                    <w:t>19</w:t>
                  </w:r>
                </w:p>
              </w:tc>
              <w:tc>
                <w:tcPr>
                  <w:tcW w:w="1304" w:type="pct"/>
                  <w:vAlign w:val="center"/>
                </w:tcPr>
                <w:p>
                  <w:pPr>
                    <w:spacing w:line="360" w:lineRule="auto"/>
                    <w:jc w:val="center"/>
                    <w:outlineLvl w:val="3"/>
                    <w:rPr>
                      <w:rFonts w:hAnsi="宋体"/>
                      <w:sz w:val="24"/>
                    </w:rPr>
                  </w:pPr>
                  <w:r>
                    <w:rPr>
                      <w:rFonts w:hint="eastAsia" w:hAnsi="宋体"/>
                      <w:sz w:val="24"/>
                    </w:rPr>
                    <w:t>16</w:t>
                  </w:r>
                </w:p>
              </w:tc>
              <w:tc>
                <w:tcPr>
                  <w:tcW w:w="824" w:type="pct"/>
                  <w:vAlign w:val="center"/>
                </w:tcPr>
                <w:p>
                  <w:pPr>
                    <w:spacing w:line="360" w:lineRule="auto"/>
                    <w:jc w:val="center"/>
                    <w:outlineLvl w:val="3"/>
                    <w:rPr>
                      <w:rFonts w:hAnsi="宋体"/>
                      <w:sz w:val="24"/>
                    </w:rPr>
                  </w:pPr>
                  <w:r>
                    <w:rPr>
                      <w:rFonts w:hint="eastAsia" w:hAnsi="宋体"/>
                      <w:sz w:val="24"/>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健身房</w:t>
                  </w:r>
                </w:p>
              </w:tc>
              <w:tc>
                <w:tcPr>
                  <w:tcW w:w="869" w:type="pct"/>
                  <w:vAlign w:val="center"/>
                </w:tcPr>
                <w:p>
                  <w:pPr>
                    <w:spacing w:line="360" w:lineRule="auto"/>
                    <w:jc w:val="center"/>
                    <w:outlineLvl w:val="3"/>
                    <w:rPr>
                      <w:rFonts w:hAnsi="宋体"/>
                      <w:sz w:val="24"/>
                    </w:rPr>
                  </w:pPr>
                  <w:r>
                    <w:rPr>
                      <w:rFonts w:hint="eastAsia" w:hAnsi="宋体"/>
                      <w:sz w:val="24"/>
                    </w:rPr>
                    <w:t>40</w:t>
                  </w:r>
                </w:p>
              </w:tc>
              <w:tc>
                <w:tcPr>
                  <w:tcW w:w="1304" w:type="pct"/>
                  <w:vAlign w:val="center"/>
                </w:tcPr>
                <w:p>
                  <w:pPr>
                    <w:spacing w:line="360" w:lineRule="auto"/>
                    <w:jc w:val="center"/>
                    <w:outlineLvl w:val="3"/>
                    <w:rPr>
                      <w:rFonts w:hAnsi="宋体"/>
                      <w:sz w:val="24"/>
                    </w:rPr>
                  </w:pPr>
                  <w:r>
                    <w:rPr>
                      <w:rFonts w:hint="eastAsia" w:hAnsi="宋体"/>
                      <w:sz w:val="24"/>
                    </w:rPr>
                    <w:t>38</w:t>
                  </w:r>
                </w:p>
              </w:tc>
              <w:tc>
                <w:tcPr>
                  <w:tcW w:w="824" w:type="pct"/>
                  <w:vAlign w:val="center"/>
                </w:tcPr>
                <w:p>
                  <w:pPr>
                    <w:spacing w:line="360" w:lineRule="auto"/>
                    <w:jc w:val="center"/>
                    <w:outlineLvl w:val="3"/>
                    <w:rPr>
                      <w:rFonts w:hAnsi="宋体"/>
                      <w:sz w:val="24"/>
                    </w:rPr>
                  </w:pPr>
                  <w:r>
                    <w:rPr>
                      <w:rFonts w:hint="eastAsia" w:hAnsi="宋体"/>
                      <w:sz w:val="24"/>
                    </w:rPr>
                    <w:t>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教室</w:t>
                  </w:r>
                </w:p>
              </w:tc>
              <w:tc>
                <w:tcPr>
                  <w:tcW w:w="869" w:type="pct"/>
                  <w:vAlign w:val="center"/>
                </w:tcPr>
                <w:p>
                  <w:pPr>
                    <w:spacing w:line="360" w:lineRule="auto"/>
                    <w:jc w:val="center"/>
                    <w:outlineLvl w:val="3"/>
                    <w:rPr>
                      <w:rFonts w:hAnsi="宋体"/>
                      <w:sz w:val="24"/>
                    </w:rPr>
                  </w:pPr>
                  <w:r>
                    <w:rPr>
                      <w:rFonts w:hint="eastAsia" w:hAnsi="宋体"/>
                      <w:sz w:val="24"/>
                    </w:rPr>
                    <w:t>28</w:t>
                  </w:r>
                </w:p>
              </w:tc>
              <w:tc>
                <w:tcPr>
                  <w:tcW w:w="1304" w:type="pct"/>
                  <w:vAlign w:val="center"/>
                </w:tcPr>
                <w:p>
                  <w:pPr>
                    <w:spacing w:line="360" w:lineRule="auto"/>
                    <w:jc w:val="center"/>
                    <w:outlineLvl w:val="3"/>
                    <w:rPr>
                      <w:rFonts w:hAnsi="宋体"/>
                      <w:sz w:val="24"/>
                    </w:rPr>
                  </w:pPr>
                  <w:r>
                    <w:rPr>
                      <w:rFonts w:hint="eastAsia" w:hAnsi="宋体"/>
                      <w:sz w:val="24"/>
                    </w:rPr>
                    <w:t>24</w:t>
                  </w:r>
                </w:p>
              </w:tc>
              <w:tc>
                <w:tcPr>
                  <w:tcW w:w="824" w:type="pct"/>
                  <w:vAlign w:val="center"/>
                </w:tcPr>
                <w:p>
                  <w:pPr>
                    <w:spacing w:line="360" w:lineRule="auto"/>
                    <w:jc w:val="center"/>
                    <w:outlineLvl w:val="3"/>
                    <w:rPr>
                      <w:rFonts w:hAnsi="宋体"/>
                      <w:sz w:val="24"/>
                    </w:rPr>
                  </w:pPr>
                  <w:r>
                    <w:rPr>
                      <w:rFonts w:hint="eastAsia" w:hAnsi="宋体"/>
                      <w:sz w:val="24"/>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图书馆</w:t>
                  </w:r>
                </w:p>
              </w:tc>
              <w:tc>
                <w:tcPr>
                  <w:tcW w:w="869" w:type="pct"/>
                  <w:vAlign w:val="center"/>
                </w:tcPr>
                <w:p>
                  <w:pPr>
                    <w:spacing w:line="360" w:lineRule="auto"/>
                    <w:jc w:val="center"/>
                    <w:outlineLvl w:val="3"/>
                    <w:rPr>
                      <w:rFonts w:hAnsi="宋体"/>
                      <w:sz w:val="24"/>
                    </w:rPr>
                  </w:pPr>
                  <w:r>
                    <w:rPr>
                      <w:rFonts w:hint="eastAsia" w:hAnsi="宋体"/>
                      <w:sz w:val="24"/>
                    </w:rPr>
                    <w:t>20</w:t>
                  </w:r>
                </w:p>
              </w:tc>
              <w:tc>
                <w:tcPr>
                  <w:tcW w:w="1304" w:type="pct"/>
                  <w:vAlign w:val="center"/>
                </w:tcPr>
                <w:p>
                  <w:pPr>
                    <w:spacing w:line="360" w:lineRule="auto"/>
                    <w:jc w:val="center"/>
                    <w:outlineLvl w:val="3"/>
                    <w:rPr>
                      <w:rFonts w:hAnsi="宋体"/>
                      <w:sz w:val="24"/>
                    </w:rPr>
                  </w:pPr>
                  <w:r>
                    <w:rPr>
                      <w:rFonts w:hint="eastAsia" w:hAnsi="宋体"/>
                      <w:sz w:val="24"/>
                    </w:rPr>
                    <w:t>17</w:t>
                  </w:r>
                </w:p>
              </w:tc>
              <w:tc>
                <w:tcPr>
                  <w:tcW w:w="824" w:type="pct"/>
                  <w:vAlign w:val="center"/>
                </w:tcPr>
                <w:p>
                  <w:pPr>
                    <w:spacing w:line="360" w:lineRule="auto"/>
                    <w:jc w:val="center"/>
                    <w:outlineLvl w:val="3"/>
                    <w:rPr>
                      <w:rFonts w:hAnsi="宋体"/>
                      <w:sz w:val="24"/>
                    </w:rPr>
                  </w:pPr>
                  <w:r>
                    <w:rPr>
                      <w:rFonts w:hint="eastAsia" w:hAnsi="宋体"/>
                      <w:sz w:val="24"/>
                    </w:rPr>
                    <w:t>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003" w:type="pct"/>
                  <w:vAlign w:val="center"/>
                </w:tcPr>
                <w:p>
                  <w:pPr>
                    <w:spacing w:line="360" w:lineRule="auto"/>
                    <w:outlineLvl w:val="3"/>
                    <w:rPr>
                      <w:rFonts w:hAnsi="宋体"/>
                      <w:sz w:val="24"/>
                    </w:rPr>
                  </w:pPr>
                  <w:r>
                    <w:rPr>
                      <w:rFonts w:hint="eastAsia" w:hAnsi="宋体"/>
                      <w:sz w:val="24"/>
                    </w:rPr>
                    <w:t>幼儿园</w:t>
                  </w:r>
                </w:p>
              </w:tc>
              <w:tc>
                <w:tcPr>
                  <w:tcW w:w="869" w:type="pct"/>
                  <w:vAlign w:val="center"/>
                </w:tcPr>
                <w:p>
                  <w:pPr>
                    <w:spacing w:line="360" w:lineRule="auto"/>
                    <w:jc w:val="center"/>
                    <w:outlineLvl w:val="3"/>
                    <w:rPr>
                      <w:rFonts w:hAnsi="宋体"/>
                      <w:sz w:val="24"/>
                    </w:rPr>
                  </w:pPr>
                  <w:r>
                    <w:rPr>
                      <w:rFonts w:hint="eastAsia" w:hAnsi="宋体"/>
                      <w:sz w:val="24"/>
                    </w:rPr>
                    <w:t>30</w:t>
                  </w:r>
                </w:p>
              </w:tc>
              <w:tc>
                <w:tcPr>
                  <w:tcW w:w="1304" w:type="pct"/>
                  <w:vAlign w:val="center"/>
                </w:tcPr>
                <w:p>
                  <w:pPr>
                    <w:spacing w:line="360" w:lineRule="auto"/>
                    <w:jc w:val="center"/>
                    <w:outlineLvl w:val="3"/>
                    <w:rPr>
                      <w:rFonts w:hAnsi="宋体"/>
                      <w:sz w:val="24"/>
                    </w:rPr>
                  </w:pPr>
                  <w:r>
                    <w:rPr>
                      <w:rFonts w:hint="eastAsia" w:hAnsi="宋体"/>
                      <w:sz w:val="24"/>
                    </w:rPr>
                    <w:t>25</w:t>
                  </w:r>
                </w:p>
              </w:tc>
              <w:tc>
                <w:tcPr>
                  <w:tcW w:w="824" w:type="pct"/>
                  <w:vAlign w:val="center"/>
                </w:tcPr>
                <w:p>
                  <w:pPr>
                    <w:spacing w:line="360" w:lineRule="auto"/>
                    <w:jc w:val="center"/>
                    <w:outlineLvl w:val="3"/>
                    <w:rPr>
                      <w:rFonts w:hAnsi="宋体"/>
                      <w:sz w:val="24"/>
                    </w:rPr>
                  </w:pPr>
                  <w:r>
                    <w:rPr>
                      <w:rFonts w:hint="eastAsia" w:hAnsi="宋体"/>
                      <w:sz w:val="24"/>
                    </w:rPr>
                    <w:t>23</w:t>
                  </w:r>
                </w:p>
              </w:tc>
            </w:tr>
          </w:tbl>
          <w:p>
            <w:pPr>
              <w:spacing w:line="360" w:lineRule="auto"/>
              <w:outlineLvl w:val="3"/>
              <w:rPr>
                <w:rFonts w:asciiTheme="minorEastAsia" w:hAnsiTheme="minorEastAsia" w:eastAsiaTheme="minorEastAsia"/>
                <w:kern w:val="0"/>
                <w:sz w:val="24"/>
              </w:rPr>
            </w:pP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asciiTheme="minorEastAsia" w:hAnsiTheme="minorEastAsia" w:eastAsiaTheme="minorEastAsia"/>
          <w:sz w:val="24"/>
        </w:rPr>
        <w:t>3</w:t>
      </w:r>
      <w:r>
        <w:rPr>
          <w:rFonts w:hint="eastAsia" w:asciiTheme="minorEastAsia" w:hAnsiTheme="minorEastAsia" w:eastAsiaTheme="minorEastAsia"/>
          <w:sz w:val="24"/>
        </w:rPr>
        <w:t>室内通风换气设计参数；</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2410"/>
        <w:gridCol w:w="29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41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41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5.1.2条</w:t>
            </w:r>
          </w:p>
        </w:tc>
        <w:tc>
          <w:tcPr>
            <w:tcW w:w="29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33/1092-2021</w:t>
            </w:r>
          </w:p>
        </w:tc>
        <w:tc>
          <w:tcPr>
            <w:tcW w:w="241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w:t>
            </w:r>
            <w:r>
              <w:rPr>
                <w:rFonts w:asciiTheme="minorEastAsia" w:hAnsiTheme="minorEastAsia" w:eastAsiaTheme="minorEastAsia"/>
                <w:kern w:val="0"/>
                <w:sz w:val="24"/>
              </w:rPr>
              <w:t>7</w:t>
            </w:r>
            <w:r>
              <w:rPr>
                <w:rFonts w:hint="eastAsia" w:asciiTheme="minorEastAsia" w:hAnsiTheme="minorEastAsia" w:eastAsiaTheme="minorEastAsia"/>
                <w:kern w:val="0"/>
                <w:sz w:val="24"/>
              </w:rPr>
              <w:t>条</w:t>
            </w:r>
          </w:p>
        </w:tc>
        <w:tc>
          <w:tcPr>
            <w:tcW w:w="29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气流组织应合理，避免吸烟室、复印室、打印室、垃圾间、清洁间、公共卫生间、地下车库等产生的异味或污染物影响人员活动区域。住宅厨房及卫生间的排气道的设计应符合相关国家标准，并采取防倒灌的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主要房间的空调通风折算通风换气次数的判断可参考现行国家标准《民用建筑供暖通风与空气调节设计规范》GB 50736与《车库建筑设计规范》JGJ 100的要求。</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asciiTheme="minorEastAsia" w:hAnsiTheme="minorEastAsia" w:eastAsiaTheme="minorEastAsia"/>
          <w:sz w:val="24"/>
        </w:rPr>
        <w:t>4</w:t>
      </w:r>
      <w:r>
        <w:rPr>
          <w:rFonts w:hint="eastAsia" w:asciiTheme="minorEastAsia" w:hAnsiTheme="minorEastAsia" w:eastAsiaTheme="minorEastAsia"/>
          <w:sz w:val="24"/>
        </w:rPr>
        <w:t>空调负荷计算；</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2364"/>
        <w:gridCol w:w="3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410"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50736-2012</w:t>
            </w: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w:t>
            </w:r>
            <w:r>
              <w:rPr>
                <w:rFonts w:asciiTheme="minorEastAsia" w:hAnsiTheme="minorEastAsia" w:eastAsiaTheme="minorEastAsia"/>
                <w:kern w:val="0"/>
                <w:sz w:val="24"/>
              </w:rPr>
              <w:t>2.1</w:t>
            </w:r>
            <w:r>
              <w:rPr>
                <w:rFonts w:hint="eastAsia" w:asciiTheme="minorEastAsia" w:hAnsiTheme="minorEastAsia" w:eastAsiaTheme="minorEastAsia"/>
                <w:kern w:val="0"/>
                <w:sz w:val="24"/>
              </w:rPr>
              <w:t>条</w:t>
            </w:r>
          </w:p>
        </w:tc>
        <w:tc>
          <w:tcPr>
            <w:tcW w:w="3022"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7.2.1条</w:t>
            </w:r>
          </w:p>
        </w:tc>
        <w:tc>
          <w:tcPr>
            <w:tcW w:w="3022"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施工图设计阶段必须对每一个供暖空调房间或区域进行热负荷和逐项逐时的冷负荷计算。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填写时应根据不同空调冷热源形式分别填写冷热负荷指标。</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asciiTheme="minorEastAsia" w:hAnsiTheme="minorEastAsia" w:eastAsiaTheme="minorEastAsia"/>
          <w:sz w:val="24"/>
        </w:rPr>
        <w:t>5</w:t>
      </w:r>
      <w:r>
        <w:rPr>
          <w:rFonts w:hint="eastAsia" w:asciiTheme="minorEastAsia" w:hAnsiTheme="minorEastAsia" w:eastAsiaTheme="minorEastAsia"/>
          <w:sz w:val="24"/>
        </w:rPr>
        <w:t>空调冷热源设计；</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410"/>
        <w:gridCol w:w="2364"/>
        <w:gridCol w:w="3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410" w:type="dxa"/>
            <w:vMerge w:val="restart"/>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GB/T 50378-2019</w:t>
            </w: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7.1.2条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7.2.5条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7.2.8条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7.2.9条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8.1.6条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restart"/>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DB 33/1092-2021</w:t>
            </w: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8.1.5条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w:t>
            </w:r>
            <w:r>
              <w:rPr>
                <w:rFonts w:asciiTheme="minorEastAsia" w:hAnsiTheme="minorEastAsia" w:eastAsiaTheme="minorEastAsia"/>
                <w:kern w:val="0"/>
                <w:sz w:val="24"/>
              </w:rPr>
              <w:t>8</w:t>
            </w:r>
            <w:r>
              <w:rPr>
                <w:rFonts w:hint="eastAsia" w:asciiTheme="minorEastAsia" w:hAnsiTheme="minorEastAsia" w:eastAsiaTheme="minorEastAsia"/>
                <w:kern w:val="0"/>
                <w:sz w:val="24"/>
              </w:rPr>
              <w:t>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8.2.2条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w:t>
            </w:r>
            <w:r>
              <w:rPr>
                <w:rFonts w:asciiTheme="minorEastAsia" w:hAnsiTheme="minorEastAsia" w:eastAsiaTheme="minorEastAsia"/>
                <w:kern w:val="0"/>
                <w:sz w:val="24"/>
              </w:rPr>
              <w:t>3</w:t>
            </w:r>
            <w:r>
              <w:rPr>
                <w:rFonts w:hint="eastAsia" w:asciiTheme="minorEastAsia" w:hAnsiTheme="minorEastAsia" w:eastAsiaTheme="minorEastAsia"/>
                <w:kern w:val="0"/>
                <w:sz w:val="24"/>
              </w:rPr>
              <w:t>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8.2.4条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8.2.5条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8.3.1条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8.3.</w:t>
            </w:r>
            <w:r>
              <w:rPr>
                <w:rFonts w:asciiTheme="minorEastAsia" w:hAnsiTheme="minorEastAsia" w:eastAsiaTheme="minorEastAsia"/>
                <w:kern w:val="0"/>
                <w:sz w:val="24"/>
              </w:rPr>
              <w:t>2</w:t>
            </w:r>
            <w:r>
              <w:rPr>
                <w:rFonts w:hint="eastAsia" w:asciiTheme="minorEastAsia" w:hAnsiTheme="minorEastAsia" w:eastAsiaTheme="minorEastAsia"/>
                <w:kern w:val="0"/>
                <w:sz w:val="24"/>
              </w:rPr>
              <w:t>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8.3.</w:t>
            </w:r>
            <w:r>
              <w:rPr>
                <w:rFonts w:asciiTheme="minorEastAsia" w:hAnsiTheme="minorEastAsia" w:eastAsiaTheme="minorEastAsia"/>
                <w:kern w:val="0"/>
                <w:sz w:val="24"/>
              </w:rPr>
              <w:t>3</w:t>
            </w:r>
            <w:r>
              <w:rPr>
                <w:rFonts w:hint="eastAsia" w:asciiTheme="minorEastAsia" w:hAnsiTheme="minorEastAsia" w:eastAsiaTheme="minorEastAsia"/>
                <w:kern w:val="0"/>
                <w:sz w:val="24"/>
              </w:rPr>
              <w:t>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8.3.</w:t>
            </w:r>
            <w:r>
              <w:rPr>
                <w:rFonts w:asciiTheme="minorEastAsia" w:hAnsiTheme="minorEastAsia" w:eastAsiaTheme="minorEastAsia"/>
                <w:kern w:val="0"/>
                <w:sz w:val="24"/>
              </w:rPr>
              <w:t>4</w:t>
            </w:r>
            <w:r>
              <w:rPr>
                <w:rFonts w:hint="eastAsia" w:asciiTheme="minorEastAsia" w:hAnsiTheme="minorEastAsia" w:eastAsiaTheme="minorEastAsia"/>
                <w:kern w:val="0"/>
                <w:sz w:val="24"/>
              </w:rPr>
              <w:t>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8.4.1条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8.4.2条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8.4.</w:t>
            </w:r>
            <w:r>
              <w:rPr>
                <w:rFonts w:asciiTheme="minorEastAsia" w:hAnsiTheme="minorEastAsia" w:eastAsiaTheme="minorEastAsia"/>
                <w:kern w:val="0"/>
                <w:sz w:val="24"/>
              </w:rPr>
              <w:t>3</w:t>
            </w:r>
            <w:r>
              <w:rPr>
                <w:rFonts w:hint="eastAsia" w:asciiTheme="minorEastAsia" w:hAnsiTheme="minorEastAsia" w:eastAsiaTheme="minorEastAsia"/>
                <w:kern w:val="0"/>
                <w:sz w:val="24"/>
              </w:rPr>
              <w:t>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8.4.</w:t>
            </w:r>
            <w:r>
              <w:rPr>
                <w:rFonts w:asciiTheme="minorEastAsia" w:hAnsiTheme="minorEastAsia" w:eastAsiaTheme="minorEastAsia"/>
                <w:kern w:val="0"/>
                <w:sz w:val="24"/>
              </w:rPr>
              <w:t>4</w:t>
            </w:r>
            <w:r>
              <w:rPr>
                <w:rFonts w:hint="eastAsia" w:asciiTheme="minorEastAsia" w:hAnsiTheme="minorEastAsia" w:eastAsiaTheme="minorEastAsia"/>
                <w:kern w:val="0"/>
                <w:sz w:val="24"/>
              </w:rPr>
              <w:t>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8.4.</w:t>
            </w:r>
            <w:r>
              <w:rPr>
                <w:rFonts w:asciiTheme="minorEastAsia" w:hAnsiTheme="minorEastAsia" w:eastAsiaTheme="minorEastAsia"/>
                <w:kern w:val="0"/>
                <w:sz w:val="24"/>
              </w:rPr>
              <w:t>5</w:t>
            </w:r>
            <w:r>
              <w:rPr>
                <w:rFonts w:hint="eastAsia" w:asciiTheme="minorEastAsia" w:hAnsiTheme="minorEastAsia" w:eastAsiaTheme="minorEastAsia"/>
                <w:kern w:val="0"/>
                <w:sz w:val="24"/>
              </w:rPr>
              <w:t>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410" w:type="dxa"/>
            <w:vMerge w:val="continue"/>
          </w:tcPr>
          <w:p>
            <w:pPr>
              <w:spacing w:line="360" w:lineRule="auto"/>
              <w:outlineLvl w:val="3"/>
              <w:rPr>
                <w:rFonts w:asciiTheme="minorEastAsia" w:hAnsiTheme="minorEastAsia" w:eastAsiaTheme="minorEastAsia"/>
                <w:kern w:val="0"/>
                <w:sz w:val="24"/>
              </w:rPr>
            </w:pP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8.4.</w:t>
            </w:r>
            <w:r>
              <w:rPr>
                <w:rFonts w:asciiTheme="minorEastAsia" w:hAnsiTheme="minorEastAsia" w:eastAsiaTheme="minorEastAsia"/>
                <w:kern w:val="0"/>
                <w:sz w:val="24"/>
              </w:rPr>
              <w:t>6</w:t>
            </w:r>
            <w:r>
              <w:rPr>
                <w:rFonts w:hint="eastAsia" w:asciiTheme="minorEastAsia" w:hAnsiTheme="minorEastAsia" w:eastAsiaTheme="minorEastAsia"/>
                <w:kern w:val="0"/>
                <w:sz w:val="24"/>
              </w:rPr>
              <w:t>条</w:t>
            </w:r>
          </w:p>
        </w:tc>
        <w:tc>
          <w:tcPr>
            <w:tcW w:w="302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本条根据浙江省《绿色建筑设计标准》</w:t>
            </w:r>
            <w:r>
              <w:rPr>
                <w:rFonts w:asciiTheme="minorEastAsia" w:hAnsiTheme="minorEastAsia" w:eastAsiaTheme="minorEastAsia"/>
                <w:kern w:val="0"/>
                <w:sz w:val="24"/>
              </w:rPr>
              <w:t>DB 33/1092-2021</w:t>
            </w:r>
            <w:r>
              <w:rPr>
                <w:rFonts w:hint="eastAsia" w:asciiTheme="minorEastAsia" w:hAnsiTheme="minorEastAsia" w:eastAsiaTheme="minorEastAsia"/>
                <w:kern w:val="0"/>
                <w:sz w:val="24"/>
              </w:rPr>
              <w:t>中对冷源与热源的要求填写。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本专篇中列出了设计中常用的空调冷热源系统，包括：</w:t>
            </w:r>
            <w:r>
              <w:rPr>
                <w:rFonts w:asciiTheme="minorEastAsia" w:hAnsiTheme="minorEastAsia" w:eastAsiaTheme="minorEastAsia"/>
                <w:kern w:val="0"/>
                <w:sz w:val="24"/>
              </w:rPr>
              <w:t>对电机驱动的蒸气压缩循环冷水（热泵）机组、多联式空调（热泵）机组、燃油和燃气锅炉</w:t>
            </w:r>
            <w:r>
              <w:rPr>
                <w:rFonts w:hint="eastAsia" w:asciiTheme="minorEastAsia" w:hAnsiTheme="minorEastAsia" w:eastAsiaTheme="minorEastAsia"/>
                <w:kern w:val="0"/>
                <w:sz w:val="24"/>
              </w:rPr>
              <w:t>等。实际填写时应根据设计采用的冷热源系统编制绿色专篇。冷热源绿色专篇应包含浙江省《绿色建筑设计标准》的内容。</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6空调末端设计；</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5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GB/T 50378-2019</w:t>
            </w:r>
          </w:p>
        </w:tc>
        <w:tc>
          <w:tcPr>
            <w:tcW w:w="5244"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33/1092-2021</w:t>
            </w:r>
          </w:p>
        </w:tc>
        <w:tc>
          <w:tcPr>
            <w:tcW w:w="5244"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2"/>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本条根据浙江省《绿色建筑设计标准》DB 33/1092-2021中对空调末端的要求填写。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7796" w:type="dxa"/>
            <w:gridSpan w:val="2"/>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本专篇中列出了设计中常用的空调末端，包括：全空气系统、风机盘管或室内机+新风系统等。实际填写时应根据设计采用的空调末端编制绿色专篇。空调末端绿色专篇应包含浙江省《绿色建筑设计标准》DB 33/1092-2021的内容。</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6.1全空气一次回风送风单风道系统</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676"/>
        <w:gridCol w:w="25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6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5.1.8条</w:t>
            </w:r>
          </w:p>
        </w:tc>
        <w:tc>
          <w:tcPr>
            <w:tcW w:w="2568"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vAlign w:val="center"/>
          </w:tcPr>
          <w:p>
            <w:pPr>
              <w:spacing w:line="360" w:lineRule="auto"/>
              <w:outlineLvl w:val="3"/>
              <w:rPr>
                <w:rFonts w:asciiTheme="minorEastAsia" w:hAnsiTheme="minorEastAsia" w:eastAsiaTheme="minorEastAsia"/>
                <w:kern w:val="0"/>
                <w:sz w:val="24"/>
              </w:rPr>
            </w:pPr>
          </w:p>
        </w:tc>
        <w:tc>
          <w:tcPr>
            <w:tcW w:w="26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7.1.2条</w:t>
            </w:r>
          </w:p>
        </w:tc>
        <w:tc>
          <w:tcPr>
            <w:tcW w:w="2568"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33/1092-2021</w:t>
            </w:r>
          </w:p>
        </w:tc>
        <w:tc>
          <w:tcPr>
            <w:tcW w:w="26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8.1.3条</w:t>
            </w:r>
          </w:p>
        </w:tc>
        <w:tc>
          <w:tcPr>
            <w:tcW w:w="2568"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vAlign w:val="center"/>
          </w:tcPr>
          <w:p>
            <w:pPr>
              <w:spacing w:line="360" w:lineRule="auto"/>
              <w:outlineLvl w:val="3"/>
              <w:rPr>
                <w:rFonts w:asciiTheme="minorEastAsia" w:hAnsiTheme="minorEastAsia" w:eastAsiaTheme="minorEastAsia"/>
                <w:kern w:val="0"/>
                <w:sz w:val="24"/>
              </w:rPr>
            </w:pPr>
          </w:p>
        </w:tc>
        <w:tc>
          <w:tcPr>
            <w:tcW w:w="26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8.1.4条</w:t>
            </w:r>
          </w:p>
        </w:tc>
        <w:tc>
          <w:tcPr>
            <w:tcW w:w="2568"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vAlign w:val="center"/>
          </w:tcPr>
          <w:p>
            <w:pPr>
              <w:spacing w:line="360" w:lineRule="auto"/>
              <w:outlineLvl w:val="3"/>
              <w:rPr>
                <w:rFonts w:asciiTheme="minorEastAsia" w:hAnsiTheme="minorEastAsia" w:eastAsiaTheme="minorEastAsia"/>
                <w:kern w:val="0"/>
                <w:sz w:val="24"/>
              </w:rPr>
            </w:pPr>
          </w:p>
        </w:tc>
        <w:tc>
          <w:tcPr>
            <w:tcW w:w="26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w:t>
            </w:r>
            <w:r>
              <w:rPr>
                <w:rFonts w:asciiTheme="minorEastAsia" w:hAnsiTheme="minorEastAsia" w:eastAsiaTheme="minorEastAsia"/>
                <w:kern w:val="0"/>
                <w:sz w:val="24"/>
              </w:rPr>
              <w:t>4</w:t>
            </w:r>
            <w:r>
              <w:rPr>
                <w:rFonts w:hint="eastAsia" w:asciiTheme="minorEastAsia" w:hAnsiTheme="minorEastAsia" w:eastAsiaTheme="minorEastAsia"/>
                <w:kern w:val="0"/>
                <w:sz w:val="24"/>
              </w:rPr>
              <w:t>条</w:t>
            </w:r>
          </w:p>
        </w:tc>
        <w:tc>
          <w:tcPr>
            <w:tcW w:w="2568"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vAlign w:val="center"/>
          </w:tcPr>
          <w:p>
            <w:pPr>
              <w:spacing w:line="360" w:lineRule="auto"/>
              <w:outlineLvl w:val="3"/>
              <w:rPr>
                <w:rFonts w:asciiTheme="minorEastAsia" w:hAnsiTheme="minorEastAsia" w:eastAsiaTheme="minorEastAsia"/>
                <w:kern w:val="0"/>
                <w:sz w:val="24"/>
              </w:rPr>
            </w:pPr>
          </w:p>
        </w:tc>
        <w:tc>
          <w:tcPr>
            <w:tcW w:w="26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w:t>
            </w:r>
            <w:r>
              <w:rPr>
                <w:rFonts w:asciiTheme="minorEastAsia" w:hAnsiTheme="minorEastAsia" w:eastAsiaTheme="minorEastAsia"/>
                <w:kern w:val="0"/>
                <w:sz w:val="24"/>
              </w:rPr>
              <w:t>5</w:t>
            </w:r>
            <w:r>
              <w:rPr>
                <w:rFonts w:hint="eastAsia" w:asciiTheme="minorEastAsia" w:hAnsiTheme="minorEastAsia" w:eastAsiaTheme="minorEastAsia"/>
                <w:kern w:val="0"/>
                <w:sz w:val="24"/>
              </w:rPr>
              <w:t>条</w:t>
            </w:r>
          </w:p>
        </w:tc>
        <w:tc>
          <w:tcPr>
            <w:tcW w:w="2568"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vAlign w:val="center"/>
          </w:tcPr>
          <w:p>
            <w:pPr>
              <w:spacing w:line="360" w:lineRule="auto"/>
              <w:outlineLvl w:val="3"/>
              <w:rPr>
                <w:rFonts w:asciiTheme="minorEastAsia" w:hAnsiTheme="minorEastAsia" w:eastAsiaTheme="minorEastAsia"/>
                <w:kern w:val="0"/>
                <w:sz w:val="24"/>
              </w:rPr>
            </w:pPr>
          </w:p>
        </w:tc>
        <w:tc>
          <w:tcPr>
            <w:tcW w:w="267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w:t>
            </w:r>
            <w:r>
              <w:rPr>
                <w:rFonts w:asciiTheme="minorEastAsia" w:hAnsiTheme="minorEastAsia" w:eastAsiaTheme="minorEastAsia"/>
                <w:kern w:val="0"/>
                <w:sz w:val="24"/>
              </w:rPr>
              <w:t>9</w:t>
            </w:r>
            <w:r>
              <w:rPr>
                <w:rFonts w:hint="eastAsia" w:asciiTheme="minorEastAsia" w:hAnsiTheme="minorEastAsia" w:eastAsiaTheme="minorEastAsia"/>
                <w:kern w:val="0"/>
                <w:sz w:val="24"/>
              </w:rPr>
              <w:t>条</w:t>
            </w:r>
          </w:p>
        </w:tc>
        <w:tc>
          <w:tcPr>
            <w:tcW w:w="2568"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供暖、空调区域应根据房间的朝向及内部功能合理划分，并对系统进行分区控制。</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除功能相同、使用时间与运行方式、业态归属一致的房间，各房间应采取可独立调节分室控制的的供暖空调末端装置。</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对设置集中通风空调系统的公共建筑，在人员密度较高、流量集中且随时间变化较大的空间，全空气系统应设置CO2浓度检测装置，并联动控制空调通风系统。</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舒适性空调的全空气系统，应具备最大限度利用室外新风作冷源的条件。新风入口、过滤器等应按最大总新风比不低于70%设计，新风比应可调节以满足增大新风量运行的要求。排风系统的设计和运行应与新风量的变化相适应。</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电机功率不小于3kW的全空气空调系统风机应采用变频调速技术，且应采取相应的水力平衡措施</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6.</w:t>
      </w:r>
      <w:r>
        <w:rPr>
          <w:rFonts w:asciiTheme="minorEastAsia" w:hAnsiTheme="minorEastAsia" w:eastAsiaTheme="minorEastAsia"/>
          <w:sz w:val="24"/>
        </w:rPr>
        <w:t>2</w:t>
      </w:r>
      <w:r>
        <w:rPr>
          <w:rFonts w:hint="eastAsia" w:asciiTheme="minorEastAsia" w:hAnsiTheme="minorEastAsia" w:eastAsiaTheme="minorEastAsia"/>
          <w:sz w:val="24"/>
        </w:rPr>
        <w:t>风机盘管或室内机+新风的空调系统</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693"/>
        <w:gridCol w:w="25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69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5.1.8条</w:t>
            </w:r>
          </w:p>
        </w:tc>
        <w:tc>
          <w:tcPr>
            <w:tcW w:w="255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69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7.1.2条</w:t>
            </w:r>
          </w:p>
        </w:tc>
        <w:tc>
          <w:tcPr>
            <w:tcW w:w="255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DB33/1092-2021</w:t>
            </w:r>
          </w:p>
        </w:tc>
        <w:tc>
          <w:tcPr>
            <w:tcW w:w="269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8.1.3条</w:t>
            </w:r>
          </w:p>
        </w:tc>
        <w:tc>
          <w:tcPr>
            <w:tcW w:w="255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69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8.1.4条</w:t>
            </w:r>
          </w:p>
        </w:tc>
        <w:tc>
          <w:tcPr>
            <w:tcW w:w="255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69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w:t>
            </w:r>
            <w:r>
              <w:rPr>
                <w:rFonts w:asciiTheme="minorEastAsia" w:hAnsiTheme="minorEastAsia" w:eastAsiaTheme="minorEastAsia"/>
                <w:kern w:val="0"/>
                <w:sz w:val="24"/>
              </w:rPr>
              <w:t>4</w:t>
            </w:r>
            <w:r>
              <w:rPr>
                <w:rFonts w:hint="eastAsia" w:asciiTheme="minorEastAsia" w:hAnsiTheme="minorEastAsia" w:eastAsiaTheme="minorEastAsia"/>
                <w:kern w:val="0"/>
                <w:sz w:val="24"/>
              </w:rPr>
              <w:t>条</w:t>
            </w:r>
          </w:p>
        </w:tc>
        <w:tc>
          <w:tcPr>
            <w:tcW w:w="255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69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w:t>
            </w:r>
            <w:r>
              <w:rPr>
                <w:rFonts w:asciiTheme="minorEastAsia" w:hAnsiTheme="minorEastAsia" w:eastAsiaTheme="minorEastAsia"/>
                <w:kern w:val="0"/>
                <w:sz w:val="24"/>
              </w:rPr>
              <w:t>19</w:t>
            </w:r>
            <w:r>
              <w:rPr>
                <w:rFonts w:hint="eastAsia" w:asciiTheme="minorEastAsia" w:hAnsiTheme="minorEastAsia" w:eastAsiaTheme="minorEastAsia"/>
                <w:kern w:val="0"/>
                <w:sz w:val="24"/>
              </w:rPr>
              <w:t>条</w:t>
            </w:r>
          </w:p>
        </w:tc>
        <w:tc>
          <w:tcPr>
            <w:tcW w:w="255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供暖、空调区域应根据房间的朝向及内部功能合理划分，并对系统进行分区控制。</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除功能相同、使用时间与运行方式、业态归属一致的房间，各房间应采取可独立调节分室控制的的供暖空调末端装置。</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对设置集中通风空调系统的公共建筑，在人员密度较高、流量集中且随时间变化较大的空间，单一空间设置独立的新风系统应设置CO2浓度检测装置， 并联动控制空调通风系统。</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设置CO2浓度检测装置的单一空间的独立新风系统及相应排风系统应采用变频调速技术，且应采取相应的水力平衡措施。</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asciiTheme="minorEastAsia" w:hAnsiTheme="minorEastAsia" w:eastAsiaTheme="minorEastAsia"/>
          <w:sz w:val="24"/>
        </w:rPr>
        <w:t>6.3</w:t>
      </w:r>
      <w:r>
        <w:rPr>
          <w:rFonts w:hint="eastAsia" w:asciiTheme="minorEastAsia" w:hAnsiTheme="minorEastAsia" w:eastAsiaTheme="minorEastAsia"/>
          <w:sz w:val="24"/>
        </w:rPr>
        <w:t>排风热回收装置的设计</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486"/>
        <w:gridCol w:w="27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33/1092-2021</w:t>
            </w:r>
          </w:p>
        </w:tc>
        <w:tc>
          <w:tcPr>
            <w:tcW w:w="248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w:t>
            </w:r>
            <w:r>
              <w:rPr>
                <w:rFonts w:asciiTheme="minorEastAsia" w:hAnsiTheme="minorEastAsia" w:eastAsiaTheme="minorEastAsia"/>
                <w:kern w:val="0"/>
                <w:sz w:val="24"/>
              </w:rPr>
              <w:t>8</w:t>
            </w:r>
            <w:r>
              <w:rPr>
                <w:rFonts w:hint="eastAsia" w:asciiTheme="minorEastAsia" w:hAnsiTheme="minorEastAsia" w:eastAsiaTheme="minorEastAsia"/>
                <w:kern w:val="0"/>
                <w:sz w:val="24"/>
              </w:rPr>
              <w:t>条</w:t>
            </w:r>
          </w:p>
        </w:tc>
        <w:tc>
          <w:tcPr>
            <w:tcW w:w="2758"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DB 33/1036-2021</w:t>
            </w:r>
          </w:p>
        </w:tc>
        <w:tc>
          <w:tcPr>
            <w:tcW w:w="2486"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5.3.23条</w:t>
            </w:r>
          </w:p>
        </w:tc>
        <w:tc>
          <w:tcPr>
            <w:tcW w:w="2758"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在公共建筑中，设有集中排风的空调系统经技术经济比较合理时，宜设空气-空气能量回收装置。</w:t>
            </w:r>
            <w:r>
              <w:rPr>
                <w:rFonts w:asciiTheme="minorEastAsia" w:hAnsiTheme="minorEastAsia" w:eastAsiaTheme="minorEastAsia"/>
                <w:kern w:val="0"/>
                <w:sz w:val="24"/>
              </w:rPr>
              <w:t>热回收新风机组</w:t>
            </w:r>
            <w:r>
              <w:rPr>
                <w:rFonts w:hint="eastAsia" w:asciiTheme="minorEastAsia" w:hAnsiTheme="minorEastAsia" w:eastAsiaTheme="minorEastAsia"/>
                <w:kern w:val="0"/>
                <w:sz w:val="24"/>
              </w:rPr>
              <w:t>规定工况</w:t>
            </w:r>
            <w:r>
              <w:rPr>
                <w:rFonts w:asciiTheme="minorEastAsia" w:hAnsiTheme="minorEastAsia" w:eastAsiaTheme="minorEastAsia"/>
                <w:kern w:val="0"/>
                <w:sz w:val="24"/>
              </w:rPr>
              <w:t>热交换效率应满足浙江省</w:t>
            </w:r>
            <w:r>
              <w:rPr>
                <w:rFonts w:hint="eastAsia" w:asciiTheme="minorEastAsia" w:hAnsiTheme="minorEastAsia" w:eastAsiaTheme="minorEastAsia"/>
                <w:kern w:val="0"/>
                <w:sz w:val="24"/>
              </w:rPr>
              <w:t>《公共建筑</w:t>
            </w:r>
            <w:r>
              <w:rPr>
                <w:rFonts w:asciiTheme="minorEastAsia" w:hAnsiTheme="minorEastAsia" w:eastAsiaTheme="minorEastAsia"/>
                <w:kern w:val="0"/>
                <w:sz w:val="24"/>
              </w:rPr>
              <w:t>节能设计标准</w:t>
            </w:r>
            <w:r>
              <w:rPr>
                <w:rFonts w:hint="eastAsia" w:asciiTheme="minorEastAsia" w:hAnsiTheme="minorEastAsia" w:eastAsiaTheme="minorEastAsia"/>
                <w:kern w:val="0"/>
                <w:sz w:val="24"/>
              </w:rPr>
              <w:t>》</w:t>
            </w:r>
            <w:r>
              <w:rPr>
                <w:rFonts w:asciiTheme="minorEastAsia" w:hAnsiTheme="minorEastAsia" w:eastAsiaTheme="minorEastAsia"/>
                <w:kern w:val="0"/>
                <w:sz w:val="24"/>
              </w:rPr>
              <w:t>DB 33/1036-2021</w:t>
            </w:r>
            <w:r>
              <w:rPr>
                <w:rFonts w:hint="eastAsia" w:asciiTheme="minorEastAsia" w:hAnsiTheme="minorEastAsia" w:eastAsiaTheme="minorEastAsia"/>
                <w:kern w:val="0"/>
                <w:sz w:val="24"/>
              </w:rPr>
              <w:t>第5.3.23条</w:t>
            </w:r>
            <w:r>
              <w:rPr>
                <w:rFonts w:asciiTheme="minorEastAsia" w:hAnsiTheme="minorEastAsia" w:eastAsiaTheme="minorEastAsia"/>
                <w:kern w:val="0"/>
                <w:sz w:val="24"/>
              </w:rPr>
              <w:t>的规定。</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asciiTheme="minorEastAsia" w:hAnsiTheme="minorEastAsia" w:eastAsiaTheme="minorEastAsia"/>
          <w:sz w:val="24"/>
        </w:rPr>
        <w:t>6.4</w:t>
      </w:r>
      <w:r>
        <w:rPr>
          <w:rFonts w:hint="eastAsia" w:asciiTheme="minorEastAsia" w:hAnsiTheme="minorEastAsia" w:eastAsiaTheme="minorEastAsia"/>
          <w:sz w:val="24"/>
        </w:rPr>
        <w:t>空气过滤与净化的设计</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459"/>
        <w:gridCol w:w="2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5.2.1条 第2款</w:t>
            </w:r>
          </w:p>
        </w:tc>
        <w:tc>
          <w:tcPr>
            <w:tcW w:w="278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得分项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DB33/1092-2021</w:t>
            </w: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8.3.</w:t>
            </w:r>
            <w:r>
              <w:rPr>
                <w:rFonts w:asciiTheme="minorEastAsia" w:hAnsiTheme="minorEastAsia" w:eastAsiaTheme="minorEastAsia"/>
                <w:kern w:val="0"/>
                <w:sz w:val="24"/>
              </w:rPr>
              <w:t>6</w:t>
            </w:r>
            <w:r>
              <w:rPr>
                <w:rFonts w:hint="eastAsia" w:asciiTheme="minorEastAsia" w:hAnsiTheme="minorEastAsia" w:eastAsiaTheme="minorEastAsia"/>
                <w:kern w:val="0"/>
                <w:sz w:val="24"/>
              </w:rPr>
              <w:t>条</w:t>
            </w:r>
          </w:p>
        </w:tc>
        <w:tc>
          <w:tcPr>
            <w:tcW w:w="278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空调系统的新风和回风应设置净化设施或初效加中效过滤的方式。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此条要求空调新风和回风均设置过滤或净化设施，包括空调箱、风机盘管、VRF室内机所有空调末端。</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asciiTheme="minorEastAsia" w:hAnsiTheme="minorEastAsia" w:eastAsiaTheme="minorEastAsia"/>
          <w:sz w:val="24"/>
        </w:rPr>
        <w:t>6.5</w:t>
      </w:r>
      <w:r>
        <w:rPr>
          <w:rFonts w:hint="eastAsia" w:asciiTheme="minorEastAsia" w:hAnsiTheme="minorEastAsia" w:eastAsiaTheme="minorEastAsia"/>
          <w:sz w:val="24"/>
        </w:rPr>
        <w:t>新风取风口距离</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459"/>
        <w:gridCol w:w="2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8.2.4条 第1款</w:t>
            </w:r>
          </w:p>
        </w:tc>
        <w:tc>
          <w:tcPr>
            <w:tcW w:w="278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得分项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DB33/1092-2021</w:t>
            </w: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w:t>
            </w:r>
            <w:r>
              <w:rPr>
                <w:rFonts w:asciiTheme="minorEastAsia" w:hAnsiTheme="minorEastAsia" w:eastAsiaTheme="minorEastAsia"/>
                <w:kern w:val="0"/>
                <w:sz w:val="24"/>
              </w:rPr>
              <w:t>6</w:t>
            </w:r>
            <w:r>
              <w:rPr>
                <w:rFonts w:hint="eastAsia" w:asciiTheme="minorEastAsia" w:hAnsiTheme="minorEastAsia" w:eastAsiaTheme="minorEastAsia"/>
                <w:kern w:val="0"/>
                <w:sz w:val="24"/>
              </w:rPr>
              <w:t>条</w:t>
            </w:r>
          </w:p>
        </w:tc>
        <w:tc>
          <w:tcPr>
            <w:tcW w:w="278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新风取风口距离室外吸烟区直线距离不应小于8m</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7空调输配系统设计；</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5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GB/T 50378-2019</w:t>
            </w:r>
          </w:p>
        </w:tc>
        <w:tc>
          <w:tcPr>
            <w:tcW w:w="5244"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DB 33/1092-2021</w:t>
            </w:r>
          </w:p>
        </w:tc>
        <w:tc>
          <w:tcPr>
            <w:tcW w:w="5244"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2"/>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本条根据浙江省《绿色建筑设计标准》DB 33/1092-2021中对风与水输配系统的要求填写。</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7.1风输配系统</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513"/>
        <w:gridCol w:w="27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7.2.6条</w:t>
            </w:r>
          </w:p>
        </w:tc>
        <w:tc>
          <w:tcPr>
            <w:tcW w:w="273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vAlign w:val="center"/>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w:t>
            </w:r>
            <w:r>
              <w:rPr>
                <w:rFonts w:asciiTheme="minorEastAsia" w:hAnsiTheme="minorEastAsia" w:eastAsiaTheme="minorEastAsia"/>
                <w:kern w:val="0"/>
                <w:sz w:val="24"/>
              </w:rPr>
              <w:t>7</w:t>
            </w:r>
            <w:r>
              <w:rPr>
                <w:rFonts w:hint="eastAsia" w:asciiTheme="minorEastAsia" w:hAnsiTheme="minorEastAsia" w:eastAsiaTheme="minorEastAsia"/>
                <w:kern w:val="0"/>
                <w:sz w:val="24"/>
              </w:rPr>
              <w:t>条</w:t>
            </w:r>
          </w:p>
        </w:tc>
        <w:tc>
          <w:tcPr>
            <w:tcW w:w="273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DB33/1092-2021</w:t>
            </w: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8.1.5条</w:t>
            </w:r>
          </w:p>
        </w:tc>
        <w:tc>
          <w:tcPr>
            <w:tcW w:w="273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vAlign w:val="center"/>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w:t>
            </w:r>
            <w:r>
              <w:rPr>
                <w:rFonts w:asciiTheme="minorEastAsia" w:hAnsiTheme="minorEastAsia" w:eastAsiaTheme="minorEastAsia"/>
                <w:kern w:val="0"/>
                <w:sz w:val="24"/>
              </w:rPr>
              <w:t>3</w:t>
            </w:r>
            <w:r>
              <w:rPr>
                <w:rFonts w:hint="eastAsia" w:asciiTheme="minorEastAsia" w:hAnsiTheme="minorEastAsia" w:eastAsiaTheme="minorEastAsia"/>
                <w:kern w:val="0"/>
                <w:sz w:val="24"/>
              </w:rPr>
              <w:t>条</w:t>
            </w:r>
          </w:p>
        </w:tc>
        <w:tc>
          <w:tcPr>
            <w:tcW w:w="273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风机能效应满足《通风机能效限定值及能效等级》GB 19761-2020中</w:t>
            </w:r>
            <w:r>
              <w:rPr>
                <w:rFonts w:asciiTheme="minorEastAsia" w:hAnsiTheme="minorEastAsia" w:eastAsiaTheme="minorEastAsia"/>
                <w:kern w:val="0"/>
                <w:sz w:val="24"/>
              </w:rPr>
              <w:t>2</w:t>
            </w:r>
            <w:r>
              <w:rPr>
                <w:rFonts w:hint="eastAsia" w:asciiTheme="minorEastAsia" w:hAnsiTheme="minorEastAsia" w:eastAsiaTheme="minorEastAsia"/>
                <w:kern w:val="0"/>
                <w:sz w:val="24"/>
              </w:rPr>
              <w:t>级能效要求；通风空调系统风机的单位风量耗功率应比现行国家标准《公共建筑节能设计标准》GB 50189的规定低20%。</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2/7.3</w:t>
      </w:r>
      <w:r>
        <w:rPr>
          <w:rFonts w:hint="eastAsia" w:asciiTheme="minorEastAsia" w:hAnsiTheme="minorEastAsia" w:eastAsiaTheme="minorEastAsia"/>
          <w:sz w:val="24"/>
        </w:rPr>
        <w:t>/7.4空调水输配系统</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513"/>
        <w:gridCol w:w="27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w:t>
            </w:r>
            <w:r>
              <w:rPr>
                <w:rFonts w:asciiTheme="minorEastAsia" w:hAnsiTheme="minorEastAsia" w:eastAsiaTheme="minorEastAsia"/>
                <w:kern w:val="0"/>
                <w:sz w:val="24"/>
              </w:rPr>
              <w:t>1</w:t>
            </w:r>
            <w:r>
              <w:rPr>
                <w:rFonts w:hint="eastAsia" w:asciiTheme="minorEastAsia" w:hAnsiTheme="minorEastAsia" w:eastAsiaTheme="minorEastAsia"/>
                <w:kern w:val="0"/>
                <w:sz w:val="24"/>
              </w:rPr>
              <w:t>.</w:t>
            </w:r>
            <w:r>
              <w:rPr>
                <w:rFonts w:asciiTheme="minorEastAsia" w:hAnsiTheme="minorEastAsia" w:eastAsiaTheme="minorEastAsia"/>
                <w:kern w:val="0"/>
                <w:sz w:val="24"/>
              </w:rPr>
              <w:t>2</w:t>
            </w:r>
            <w:r>
              <w:rPr>
                <w:rFonts w:hint="eastAsia" w:asciiTheme="minorEastAsia" w:hAnsiTheme="minorEastAsia" w:eastAsiaTheme="minorEastAsia"/>
                <w:kern w:val="0"/>
                <w:sz w:val="24"/>
              </w:rPr>
              <w:t>条</w:t>
            </w:r>
          </w:p>
        </w:tc>
        <w:tc>
          <w:tcPr>
            <w:tcW w:w="273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7.2.6条</w:t>
            </w:r>
          </w:p>
        </w:tc>
        <w:tc>
          <w:tcPr>
            <w:tcW w:w="273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vAlign w:val="center"/>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7.2.</w:t>
            </w:r>
            <w:r>
              <w:rPr>
                <w:rFonts w:asciiTheme="minorEastAsia" w:hAnsiTheme="minorEastAsia" w:eastAsiaTheme="minorEastAsia"/>
                <w:kern w:val="0"/>
                <w:sz w:val="24"/>
              </w:rPr>
              <w:t>7</w:t>
            </w:r>
            <w:r>
              <w:rPr>
                <w:rFonts w:hint="eastAsia" w:asciiTheme="minorEastAsia" w:hAnsiTheme="minorEastAsia" w:eastAsiaTheme="minorEastAsia"/>
                <w:kern w:val="0"/>
                <w:sz w:val="24"/>
              </w:rPr>
              <w:t>条</w:t>
            </w:r>
          </w:p>
        </w:tc>
        <w:tc>
          <w:tcPr>
            <w:tcW w:w="273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得分项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DB33/1092-2021</w:t>
            </w: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8.1.5条</w:t>
            </w:r>
          </w:p>
        </w:tc>
        <w:tc>
          <w:tcPr>
            <w:tcW w:w="273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w:t>
            </w:r>
            <w:r>
              <w:rPr>
                <w:rFonts w:asciiTheme="minorEastAsia" w:hAnsiTheme="minorEastAsia" w:eastAsiaTheme="minorEastAsia"/>
                <w:kern w:val="0"/>
                <w:sz w:val="24"/>
              </w:rPr>
              <w:t>6</w:t>
            </w:r>
            <w:r>
              <w:rPr>
                <w:rFonts w:hint="eastAsia" w:asciiTheme="minorEastAsia" w:hAnsiTheme="minorEastAsia" w:eastAsiaTheme="minorEastAsia"/>
                <w:kern w:val="0"/>
                <w:sz w:val="24"/>
              </w:rPr>
              <w:t>条</w:t>
            </w:r>
          </w:p>
        </w:tc>
        <w:tc>
          <w:tcPr>
            <w:tcW w:w="273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8.2.7条</w:t>
            </w:r>
          </w:p>
        </w:tc>
        <w:tc>
          <w:tcPr>
            <w:tcW w:w="273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8.2.8条</w:t>
            </w:r>
          </w:p>
        </w:tc>
        <w:tc>
          <w:tcPr>
            <w:tcW w:w="273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8.2.9条</w:t>
            </w:r>
          </w:p>
        </w:tc>
        <w:tc>
          <w:tcPr>
            <w:tcW w:w="273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8.2.10条</w:t>
            </w:r>
          </w:p>
        </w:tc>
        <w:tc>
          <w:tcPr>
            <w:tcW w:w="273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513"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8.3.</w:t>
            </w:r>
            <w:r>
              <w:rPr>
                <w:rFonts w:asciiTheme="minorEastAsia" w:hAnsiTheme="minorEastAsia" w:eastAsiaTheme="minorEastAsia"/>
                <w:kern w:val="0"/>
                <w:sz w:val="24"/>
              </w:rPr>
              <w:t>5</w:t>
            </w:r>
            <w:r>
              <w:rPr>
                <w:rFonts w:hint="eastAsia" w:asciiTheme="minorEastAsia" w:hAnsiTheme="minorEastAsia" w:eastAsiaTheme="minorEastAsia"/>
                <w:kern w:val="0"/>
                <w:sz w:val="24"/>
              </w:rPr>
              <w:t>条</w:t>
            </w:r>
          </w:p>
        </w:tc>
        <w:tc>
          <w:tcPr>
            <w:tcW w:w="2731"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根据浙江省《绿色建筑设计标准》DB 33/1092-2021中对水输配系统的要求填写；</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供暖空调冷、热水水温和供回水温差要求一致且各区域管路压力损失相差不大的中小型工程，应采用变流量一级泵系统；当单台水泵功率大于30kW时，空调冷热水应采用冷热水机组和负荷侧均变流量的一级泵系统，且一级泵应采用变速变流量调节方式，冷热水一级泵变速变流量应确保设备的适应性、控制方案和运行管理可靠。</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供暖空调冷、热水系统作用半径较大、设计水流阻力较高的大型工程，空调冷、热水宜采用变流量二级泵系统。当各环路的设计水温一致且设计水流阻力接近时，二级泵宜集中设置；当各环路的设计水流阻力相差较大或各系统水温或温差要求不同时，宜按区域或系统分别设置二级泵。二级泵应采用变速变流量调节方式。</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采用换热器加热或冷却的二次空调水系统的循环水泵应采用变速变流量调节方式。</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水泵能效满足《清水离心泵能效限定值及节能评价值》GB 19762-2007中节能评价值要求。</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集中供暖系统热水循环泵的耗电输热比、空调冷热水系统循环水泵的耗电输冷（热）比比现行国家标准《民用建筑供暖通风与空气调节设计规范》GB50736规定值低20%。</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电冷源综合制冷性能系数（SCOP）应符合现行国家标准《公共建筑节能设计标准》GB50189的规定。</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7.</w:t>
      </w:r>
      <w:r>
        <w:rPr>
          <w:rFonts w:asciiTheme="minorEastAsia" w:hAnsiTheme="minorEastAsia" w:eastAsiaTheme="minorEastAsia"/>
          <w:sz w:val="24"/>
        </w:rPr>
        <w:t>5</w:t>
      </w:r>
      <w:r>
        <w:rPr>
          <w:rFonts w:hint="eastAsia" w:asciiTheme="minorEastAsia" w:hAnsiTheme="minorEastAsia" w:eastAsiaTheme="minorEastAsia"/>
          <w:sz w:val="24"/>
        </w:rPr>
        <w:t>空调水处理方式</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350"/>
        <w:gridCol w:w="28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35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5.2.3条</w:t>
            </w:r>
          </w:p>
        </w:tc>
        <w:tc>
          <w:tcPr>
            <w:tcW w:w="289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 33/1092-2021</w:t>
            </w:r>
          </w:p>
        </w:tc>
        <w:tc>
          <w:tcPr>
            <w:tcW w:w="235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w:t>
            </w:r>
            <w:r>
              <w:rPr>
                <w:rFonts w:asciiTheme="minorEastAsia" w:hAnsiTheme="minorEastAsia" w:eastAsiaTheme="minorEastAsia"/>
                <w:kern w:val="0"/>
                <w:sz w:val="24"/>
              </w:rPr>
              <w:t>6</w:t>
            </w:r>
            <w:r>
              <w:rPr>
                <w:rFonts w:hint="eastAsia" w:asciiTheme="minorEastAsia" w:hAnsiTheme="minorEastAsia" w:eastAsiaTheme="minorEastAsia"/>
                <w:kern w:val="0"/>
                <w:sz w:val="24"/>
              </w:rPr>
              <w:t>条</w:t>
            </w:r>
          </w:p>
        </w:tc>
        <w:tc>
          <w:tcPr>
            <w:tcW w:w="289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采暖空调系统用水的水质满足国家现行相关标准的要求。</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8保温与</w:t>
      </w:r>
      <w:r>
        <w:rPr>
          <w:rFonts w:asciiTheme="minorEastAsia" w:hAnsiTheme="minorEastAsia" w:eastAsiaTheme="minorEastAsia"/>
          <w:sz w:val="24"/>
        </w:rPr>
        <w:t>隔热</w:t>
      </w:r>
      <w:r>
        <w:rPr>
          <w:rFonts w:hint="eastAsia" w:asciiTheme="minorEastAsia" w:hAnsiTheme="minorEastAsia" w:eastAsiaTheme="minorEastAsia"/>
          <w:sz w:val="24"/>
        </w:rPr>
        <w:t>设计</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5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384" w:type="dxa"/>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50</w:t>
            </w:r>
            <w:r>
              <w:rPr>
                <w:rFonts w:asciiTheme="minorEastAsia" w:hAnsiTheme="minorEastAsia" w:eastAsiaTheme="minorEastAsia"/>
                <w:kern w:val="0"/>
                <w:sz w:val="24"/>
              </w:rPr>
              <w:t>189</w:t>
            </w:r>
            <w:r>
              <w:rPr>
                <w:rFonts w:hint="eastAsia" w:asciiTheme="minorEastAsia" w:hAnsiTheme="minorEastAsia" w:eastAsiaTheme="minorEastAsia"/>
                <w:kern w:val="0"/>
                <w:sz w:val="24"/>
              </w:rPr>
              <w:t>-201</w:t>
            </w:r>
            <w:r>
              <w:rPr>
                <w:rFonts w:asciiTheme="minorEastAsia" w:hAnsiTheme="minorEastAsia" w:eastAsiaTheme="minorEastAsia"/>
                <w:kern w:val="0"/>
                <w:sz w:val="24"/>
              </w:rPr>
              <w:t>5</w:t>
            </w:r>
          </w:p>
        </w:tc>
        <w:tc>
          <w:tcPr>
            <w:tcW w:w="5244"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4</w:t>
            </w:r>
            <w:r>
              <w:rPr>
                <w:rFonts w:hint="eastAsia" w:asciiTheme="minorEastAsia" w:hAnsiTheme="minorEastAsia" w:eastAsiaTheme="minorEastAsia"/>
                <w:kern w:val="0"/>
                <w:sz w:val="24"/>
              </w:rPr>
              <w:t>.</w:t>
            </w:r>
            <w:r>
              <w:rPr>
                <w:rFonts w:asciiTheme="minorEastAsia" w:hAnsiTheme="minorEastAsia" w:eastAsiaTheme="minorEastAsia"/>
                <w:kern w:val="0"/>
                <w:sz w:val="24"/>
              </w:rPr>
              <w:t>3</w:t>
            </w:r>
            <w:r>
              <w:rPr>
                <w:rFonts w:hint="eastAsia" w:asciiTheme="minorEastAsia" w:hAnsiTheme="minorEastAsia" w:eastAsiaTheme="minorEastAsia"/>
                <w:kern w:val="0"/>
                <w:sz w:val="24"/>
              </w:rPr>
              <w:t>.</w:t>
            </w:r>
            <w:r>
              <w:rPr>
                <w:rFonts w:asciiTheme="minorEastAsia" w:hAnsiTheme="minorEastAsia" w:eastAsiaTheme="minorEastAsia"/>
                <w:kern w:val="0"/>
                <w:sz w:val="24"/>
              </w:rPr>
              <w:t>23</w:t>
            </w:r>
            <w:r>
              <w:rPr>
                <w:rFonts w:hint="eastAsia" w:asciiTheme="minorEastAsia" w:hAnsiTheme="minorEastAsia" w:eastAsiaTheme="minorEastAsia"/>
                <w:kern w:val="0"/>
                <w:sz w:val="24"/>
              </w:rPr>
              <w:t>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1384" w:type="dxa"/>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2"/>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设备</w:t>
            </w:r>
            <w:r>
              <w:rPr>
                <w:rFonts w:asciiTheme="minorEastAsia" w:hAnsiTheme="minorEastAsia" w:eastAsiaTheme="minorEastAsia"/>
                <w:kern w:val="0"/>
                <w:sz w:val="24"/>
              </w:rPr>
              <w:t>和管道的保温与隔热设计应满足</w:t>
            </w:r>
            <w:r>
              <w:rPr>
                <w:rFonts w:hint="eastAsia" w:asciiTheme="minorEastAsia" w:hAnsiTheme="minorEastAsia" w:eastAsiaTheme="minorEastAsia"/>
                <w:kern w:val="0"/>
                <w:sz w:val="24"/>
              </w:rPr>
              <w:t>国家标准《公共建筑</w:t>
            </w:r>
            <w:r>
              <w:rPr>
                <w:rFonts w:asciiTheme="minorEastAsia" w:hAnsiTheme="minorEastAsia" w:eastAsiaTheme="minorEastAsia"/>
                <w:kern w:val="0"/>
                <w:sz w:val="24"/>
              </w:rPr>
              <w:t>节能设计标准</w:t>
            </w:r>
            <w:r>
              <w:rPr>
                <w:rFonts w:hint="eastAsia" w:asciiTheme="minorEastAsia" w:hAnsiTheme="minorEastAsia" w:eastAsiaTheme="minorEastAsia"/>
                <w:kern w:val="0"/>
                <w:sz w:val="24"/>
              </w:rPr>
              <w:t>》</w:t>
            </w:r>
            <w:r>
              <w:rPr>
                <w:rFonts w:asciiTheme="minorEastAsia" w:hAnsiTheme="minorEastAsia" w:eastAsiaTheme="minorEastAsia"/>
                <w:kern w:val="0"/>
                <w:sz w:val="24"/>
              </w:rPr>
              <w:t>GB 50189-2015的</w:t>
            </w:r>
            <w:r>
              <w:rPr>
                <w:rFonts w:hint="eastAsia" w:asciiTheme="minorEastAsia" w:hAnsiTheme="minorEastAsia" w:eastAsiaTheme="minorEastAsia"/>
                <w:kern w:val="0"/>
                <w:sz w:val="24"/>
              </w:rPr>
              <w:t>规定</w:t>
            </w:r>
            <w:r>
              <w:rPr>
                <w:rFonts w:asciiTheme="minorEastAsia" w:hAnsiTheme="minorEastAsia" w:eastAsiaTheme="minorEastAsia"/>
                <w:kern w:val="0"/>
                <w:sz w:val="24"/>
              </w:rPr>
              <w:t>。</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9空调系统的控制</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5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GB/T 50378-2019</w:t>
            </w:r>
          </w:p>
        </w:tc>
        <w:tc>
          <w:tcPr>
            <w:tcW w:w="5244"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asciiTheme="minorEastAsia" w:hAnsiTheme="minorEastAsia" w:eastAsiaTheme="minorEastAsia"/>
                <w:kern w:val="0"/>
                <w:sz w:val="24"/>
              </w:rPr>
              <w:t>DB 33/1092-2021</w:t>
            </w:r>
          </w:p>
        </w:tc>
        <w:tc>
          <w:tcPr>
            <w:tcW w:w="5244" w:type="dxa"/>
          </w:tcPr>
          <w:p>
            <w:pPr>
              <w:spacing w:line="360" w:lineRule="auto"/>
              <w:outlineLvl w:val="3"/>
              <w:rPr>
                <w:rFonts w:asciiTheme="minorEastAsia" w:hAnsiTheme="minorEastAsia" w:eastAsiaTheme="minorEastAsia"/>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2"/>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本条根据浙江省《绿色建筑设计标准》DB 33/1092-2021中对空调控制的要求填写。</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1</w:t>
      </w:r>
      <w:r>
        <w:rPr>
          <w:rFonts w:hint="eastAsia" w:asciiTheme="minorEastAsia" w:hAnsiTheme="minorEastAsia" w:eastAsiaTheme="minorEastAsia"/>
          <w:sz w:val="24"/>
        </w:rPr>
        <w:t>空调冷热源中心设置机组群控系统</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459"/>
        <w:gridCol w:w="2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vMerge w:val="restart"/>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 33/1092-2021</w:t>
            </w: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w:t>
            </w:r>
            <w:r>
              <w:rPr>
                <w:rFonts w:asciiTheme="minorEastAsia" w:hAnsiTheme="minorEastAsia" w:eastAsiaTheme="minorEastAsia"/>
                <w:kern w:val="0"/>
                <w:sz w:val="24"/>
              </w:rPr>
              <w:t>21</w:t>
            </w:r>
            <w:r>
              <w:rPr>
                <w:rFonts w:hint="eastAsia" w:asciiTheme="minorEastAsia" w:hAnsiTheme="minorEastAsia" w:eastAsiaTheme="minorEastAsia"/>
                <w:kern w:val="0"/>
                <w:sz w:val="24"/>
              </w:rPr>
              <w:t>条</w:t>
            </w:r>
          </w:p>
        </w:tc>
        <w:tc>
          <w:tcPr>
            <w:tcW w:w="278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w:t>
            </w:r>
            <w:r>
              <w:rPr>
                <w:rFonts w:asciiTheme="minorEastAsia" w:hAnsiTheme="minorEastAsia" w:eastAsiaTheme="minorEastAsia"/>
                <w:kern w:val="0"/>
                <w:sz w:val="24"/>
              </w:rPr>
              <w:t>22</w:t>
            </w:r>
            <w:r>
              <w:rPr>
                <w:rFonts w:hint="eastAsia" w:asciiTheme="minorEastAsia" w:hAnsiTheme="minorEastAsia" w:eastAsiaTheme="minorEastAsia"/>
                <w:kern w:val="0"/>
                <w:sz w:val="24"/>
              </w:rPr>
              <w:t>条</w:t>
            </w:r>
          </w:p>
        </w:tc>
        <w:tc>
          <w:tcPr>
            <w:tcW w:w="278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8.2.</w:t>
            </w:r>
            <w:r>
              <w:rPr>
                <w:rFonts w:asciiTheme="minorEastAsia" w:hAnsiTheme="minorEastAsia" w:eastAsiaTheme="minorEastAsia"/>
                <w:kern w:val="0"/>
                <w:sz w:val="24"/>
              </w:rPr>
              <w:t>24</w:t>
            </w:r>
            <w:r>
              <w:rPr>
                <w:rFonts w:hint="eastAsia" w:asciiTheme="minorEastAsia" w:hAnsiTheme="minorEastAsia" w:eastAsiaTheme="minorEastAsia"/>
                <w:kern w:val="0"/>
                <w:sz w:val="24"/>
              </w:rPr>
              <w:t>条</w:t>
            </w:r>
          </w:p>
        </w:tc>
        <w:tc>
          <w:tcPr>
            <w:tcW w:w="278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w:t>
            </w:r>
            <w:r>
              <w:rPr>
                <w:rFonts w:asciiTheme="minorEastAsia" w:hAnsiTheme="minorEastAsia" w:eastAsiaTheme="minorEastAsia"/>
                <w:kern w:val="0"/>
                <w:sz w:val="24"/>
              </w:rPr>
              <w:t>3</w:t>
            </w:r>
            <w:r>
              <w:rPr>
                <w:rFonts w:hint="eastAsia" w:asciiTheme="minorEastAsia" w:hAnsiTheme="minorEastAsia" w:eastAsiaTheme="minorEastAsia"/>
                <w:kern w:val="0"/>
                <w:sz w:val="24"/>
              </w:rPr>
              <w:t>.</w:t>
            </w:r>
            <w:r>
              <w:rPr>
                <w:rFonts w:asciiTheme="minorEastAsia" w:hAnsiTheme="minorEastAsia" w:eastAsiaTheme="minorEastAsia"/>
                <w:kern w:val="0"/>
                <w:sz w:val="24"/>
              </w:rPr>
              <w:t>7</w:t>
            </w:r>
            <w:r>
              <w:rPr>
                <w:rFonts w:hint="eastAsia" w:asciiTheme="minorEastAsia" w:hAnsiTheme="minorEastAsia" w:eastAsiaTheme="minorEastAsia"/>
                <w:kern w:val="0"/>
                <w:sz w:val="24"/>
              </w:rPr>
              <w:t>条</w:t>
            </w:r>
          </w:p>
        </w:tc>
        <w:tc>
          <w:tcPr>
            <w:tcW w:w="278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vMerge w:val="continue"/>
          </w:tcPr>
          <w:p>
            <w:pPr>
              <w:spacing w:line="360" w:lineRule="auto"/>
              <w:outlineLvl w:val="3"/>
              <w:rPr>
                <w:rFonts w:asciiTheme="minorEastAsia" w:hAnsiTheme="minorEastAsia" w:eastAsiaTheme="minorEastAsia"/>
                <w:kern w:val="0"/>
                <w:sz w:val="24"/>
              </w:rPr>
            </w:pP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w:t>
            </w:r>
            <w:r>
              <w:rPr>
                <w:rFonts w:asciiTheme="minorEastAsia" w:hAnsiTheme="minorEastAsia" w:eastAsiaTheme="minorEastAsia"/>
                <w:kern w:val="0"/>
                <w:sz w:val="24"/>
              </w:rPr>
              <w:t>3</w:t>
            </w:r>
            <w:r>
              <w:rPr>
                <w:rFonts w:hint="eastAsia" w:asciiTheme="minorEastAsia" w:hAnsiTheme="minorEastAsia" w:eastAsiaTheme="minorEastAsia"/>
                <w:kern w:val="0"/>
                <w:sz w:val="24"/>
              </w:rPr>
              <w:t>.</w:t>
            </w:r>
            <w:r>
              <w:rPr>
                <w:rFonts w:asciiTheme="minorEastAsia" w:hAnsiTheme="minorEastAsia" w:eastAsiaTheme="minorEastAsia"/>
                <w:kern w:val="0"/>
                <w:sz w:val="24"/>
              </w:rPr>
              <w:t>8</w:t>
            </w:r>
            <w:r>
              <w:rPr>
                <w:rFonts w:hint="eastAsia" w:asciiTheme="minorEastAsia" w:hAnsiTheme="minorEastAsia" w:eastAsiaTheme="minorEastAsia"/>
                <w:kern w:val="0"/>
                <w:sz w:val="24"/>
              </w:rPr>
              <w:t>条</w:t>
            </w:r>
          </w:p>
        </w:tc>
        <w:tc>
          <w:tcPr>
            <w:tcW w:w="278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设有三台及三台以上机组的空调冷热源中心宜设置机组群控系统；当采用群控方式时，控制系统应能根据负荷变化、系统特性来进行优化运行控制。</w:t>
            </w:r>
          </w:p>
          <w:p>
            <w:pPr>
              <w:spacing w:line="360" w:lineRule="auto"/>
              <w:ind w:firstLine="480" w:firstLineChars="200"/>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空调冷、热源系统的控制应满足下列基本要求：</w:t>
            </w:r>
          </w:p>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1 应能进行冷水机组的台数控制，宜采用冷量优化控制方式；</w:t>
            </w:r>
          </w:p>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2 应能进行冷水（热泵）机组或热交换器、水泵、阀门等设备的顺序启停和连锁控制；</w:t>
            </w:r>
          </w:p>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3 应能对供、回水温度及压差进行控制或监测，二级泵应能进行自动变频调速控制；</w:t>
            </w:r>
          </w:p>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4 应对设备运行状态进行监测及故障报警；</w:t>
            </w:r>
          </w:p>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应能根据末端需求进行水泵台数和转速的控制。</w:t>
            </w:r>
          </w:p>
          <w:p>
            <w:pPr>
              <w:spacing w:line="360" w:lineRule="auto"/>
              <w:outlineLvl w:val="2"/>
              <w:rPr>
                <w:kern w:val="0"/>
                <w:sz w:val="24"/>
              </w:rPr>
            </w:pPr>
            <w:bookmarkStart w:id="52" w:name="_Toc109325284"/>
            <w:bookmarkStart w:id="53" w:name="_Toc113029285"/>
            <w:bookmarkStart w:id="54" w:name="_Toc109325920"/>
            <w:r>
              <w:rPr>
                <w:kern w:val="0"/>
                <w:sz w:val="24"/>
              </w:rPr>
              <w:t>空调风系统应满足下列基本控制要求：</w:t>
            </w:r>
            <w:bookmarkEnd w:id="52"/>
            <w:bookmarkEnd w:id="53"/>
            <w:bookmarkEnd w:id="54"/>
          </w:p>
          <w:p>
            <w:pPr>
              <w:spacing w:line="360" w:lineRule="auto"/>
              <w:rPr>
                <w:kern w:val="0"/>
                <w:sz w:val="24"/>
              </w:rPr>
            </w:pPr>
            <w:r>
              <w:rPr>
                <w:rFonts w:hint="eastAsia"/>
                <w:kern w:val="0"/>
                <w:sz w:val="24"/>
              </w:rPr>
              <w:t>1 应能进行空气温、湿度的监测和控制；</w:t>
            </w:r>
          </w:p>
          <w:p>
            <w:pPr>
              <w:spacing w:line="360" w:lineRule="auto"/>
              <w:rPr>
                <w:kern w:val="0"/>
                <w:sz w:val="24"/>
              </w:rPr>
            </w:pPr>
            <w:r>
              <w:rPr>
                <w:rFonts w:hint="eastAsia"/>
                <w:kern w:val="0"/>
                <w:sz w:val="24"/>
              </w:rPr>
              <w:t>2 应能进行风机、风阀的启停连锁控制；</w:t>
            </w:r>
          </w:p>
          <w:p>
            <w:pPr>
              <w:spacing w:line="360" w:lineRule="auto"/>
              <w:rPr>
                <w:kern w:val="0"/>
                <w:sz w:val="24"/>
              </w:rPr>
            </w:pPr>
            <w:r>
              <w:rPr>
                <w:rFonts w:hint="eastAsia"/>
                <w:kern w:val="0"/>
                <w:sz w:val="24"/>
              </w:rPr>
              <w:t>3 当采用变风量系统时，风机应采用变速控制方式；</w:t>
            </w:r>
          </w:p>
          <w:p>
            <w:pPr>
              <w:spacing w:line="360" w:lineRule="auto"/>
              <w:rPr>
                <w:kern w:val="0"/>
                <w:sz w:val="24"/>
              </w:rPr>
            </w:pPr>
            <w:r>
              <w:rPr>
                <w:rFonts w:hint="eastAsia"/>
                <w:kern w:val="0"/>
                <w:sz w:val="24"/>
              </w:rPr>
              <w:t>4 当利用室外免费冷源来进行变新风运行时，应通过室内外焓值比较，来确定采用全新风运行或者最小新风运行；</w:t>
            </w:r>
          </w:p>
          <w:p>
            <w:pPr>
              <w:spacing w:line="360" w:lineRule="auto"/>
              <w:rPr>
                <w:kern w:val="0"/>
                <w:sz w:val="24"/>
              </w:rPr>
            </w:pPr>
            <w:r>
              <w:rPr>
                <w:rFonts w:hint="eastAsia"/>
                <w:kern w:val="0"/>
                <w:sz w:val="24"/>
              </w:rPr>
              <w:t>5 应能进行设备运行状态的监测及故障报警；</w:t>
            </w:r>
          </w:p>
          <w:p>
            <w:pPr>
              <w:spacing w:line="360" w:lineRule="auto"/>
              <w:rPr>
                <w:kern w:val="0"/>
                <w:sz w:val="24"/>
              </w:rPr>
            </w:pPr>
            <w:r>
              <w:rPr>
                <w:rFonts w:hint="eastAsia"/>
                <w:kern w:val="0"/>
                <w:sz w:val="24"/>
              </w:rPr>
              <w:t>6 应能进行过滤器超压报警或显示。</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2</w:t>
      </w:r>
      <w:r>
        <w:rPr>
          <w:rFonts w:hint="eastAsia" w:asciiTheme="minorEastAsia" w:hAnsiTheme="minorEastAsia" w:eastAsiaTheme="minorEastAsia"/>
          <w:sz w:val="24"/>
        </w:rPr>
        <w:t>多联式空调（热泵）集中</w:t>
      </w:r>
      <w:r>
        <w:rPr>
          <w:rFonts w:asciiTheme="minorEastAsia" w:hAnsiTheme="minorEastAsia" w:eastAsiaTheme="minorEastAsia"/>
          <w:sz w:val="24"/>
        </w:rPr>
        <w:t>控制</w:t>
      </w:r>
      <w:r>
        <w:rPr>
          <w:rFonts w:hint="eastAsia" w:asciiTheme="minorEastAsia" w:hAnsiTheme="minorEastAsia" w:eastAsiaTheme="minorEastAsia"/>
          <w:sz w:val="24"/>
        </w:rPr>
        <w:t>系统</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459"/>
        <w:gridCol w:w="27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 33/1092-2021</w:t>
            </w:r>
          </w:p>
        </w:tc>
        <w:tc>
          <w:tcPr>
            <w:tcW w:w="245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w:t>
            </w:r>
            <w:r>
              <w:rPr>
                <w:rFonts w:asciiTheme="minorEastAsia" w:hAnsiTheme="minorEastAsia" w:eastAsiaTheme="minorEastAsia"/>
                <w:kern w:val="0"/>
                <w:sz w:val="24"/>
              </w:rPr>
              <w:t>4</w:t>
            </w:r>
            <w:r>
              <w:rPr>
                <w:rFonts w:hint="eastAsia" w:asciiTheme="minorEastAsia" w:hAnsiTheme="minorEastAsia" w:eastAsiaTheme="minorEastAsia"/>
                <w:kern w:val="0"/>
                <w:sz w:val="24"/>
              </w:rPr>
              <w:t>.</w:t>
            </w:r>
            <w:r>
              <w:rPr>
                <w:rFonts w:asciiTheme="minorEastAsia" w:hAnsiTheme="minorEastAsia" w:eastAsiaTheme="minorEastAsia"/>
                <w:kern w:val="0"/>
                <w:sz w:val="24"/>
              </w:rPr>
              <w:t>11</w:t>
            </w:r>
            <w:r>
              <w:rPr>
                <w:rFonts w:hint="eastAsia" w:asciiTheme="minorEastAsia" w:hAnsiTheme="minorEastAsia" w:eastAsiaTheme="minorEastAsia"/>
                <w:kern w:val="0"/>
                <w:sz w:val="24"/>
              </w:rPr>
              <w:t>条</w:t>
            </w:r>
          </w:p>
        </w:tc>
        <w:tc>
          <w:tcPr>
            <w:tcW w:w="278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公共建筑中多联式空调（热泵）系统应设置集中控制系统。</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3</w:t>
      </w:r>
      <w:r>
        <w:rPr>
          <w:rFonts w:hint="eastAsia" w:asciiTheme="minorEastAsia" w:hAnsiTheme="minorEastAsia" w:eastAsiaTheme="minorEastAsia"/>
          <w:sz w:val="24"/>
        </w:rPr>
        <w:t>能量计量要求</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242"/>
        <w:gridCol w:w="30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24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7.1.5条</w:t>
            </w:r>
          </w:p>
        </w:tc>
        <w:tc>
          <w:tcPr>
            <w:tcW w:w="300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锅炉房、换热机房和制冷机房的能量计量应符合下列规定：应计量燃料的消耗量；应计量制冷机的耗电量；应计量集中供热系统的供热量；应计量补水量</w:t>
            </w:r>
            <w:r>
              <w:rPr>
                <w:rFonts w:asciiTheme="minorEastAsia" w:hAnsiTheme="minorEastAsia" w:eastAsiaTheme="minorEastAsia"/>
                <w:kern w:val="0"/>
                <w:sz w:val="24"/>
              </w:rPr>
              <w:t>。</w:t>
            </w:r>
          </w:p>
        </w:tc>
      </w:tr>
    </w:tbl>
    <w:p>
      <w:pPr>
        <w:spacing w:line="360" w:lineRule="auto"/>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4</w:t>
      </w:r>
      <w:r>
        <w:rPr>
          <w:rFonts w:hint="eastAsia" w:asciiTheme="minorEastAsia" w:hAnsiTheme="minorEastAsia" w:eastAsiaTheme="minorEastAsia"/>
          <w:sz w:val="24"/>
        </w:rPr>
        <w:t>地下车库CO浓度监测系统</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445"/>
        <w:gridCol w:w="27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44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5.1.9条</w:t>
            </w:r>
          </w:p>
        </w:tc>
        <w:tc>
          <w:tcPr>
            <w:tcW w:w="279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控制项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w:t>
            </w:r>
            <w:r>
              <w:rPr>
                <w:rFonts w:asciiTheme="minorEastAsia" w:hAnsiTheme="minorEastAsia" w:eastAsiaTheme="minorEastAsia"/>
                <w:kern w:val="0"/>
                <w:sz w:val="24"/>
              </w:rPr>
              <w:t xml:space="preserve"> </w:t>
            </w:r>
            <w:r>
              <w:rPr>
                <w:rFonts w:hint="eastAsia" w:asciiTheme="minorEastAsia" w:hAnsiTheme="minorEastAsia" w:eastAsiaTheme="minorEastAsia"/>
                <w:kern w:val="0"/>
                <w:sz w:val="24"/>
              </w:rPr>
              <w:t>33/1092-2021</w:t>
            </w:r>
          </w:p>
        </w:tc>
        <w:tc>
          <w:tcPr>
            <w:tcW w:w="2445"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8.1.</w:t>
            </w:r>
            <w:r>
              <w:rPr>
                <w:rFonts w:asciiTheme="minorEastAsia" w:hAnsiTheme="minorEastAsia" w:eastAsiaTheme="minorEastAsia"/>
                <w:kern w:val="0"/>
                <w:sz w:val="24"/>
              </w:rPr>
              <w:t>9</w:t>
            </w:r>
            <w:r>
              <w:rPr>
                <w:rFonts w:hint="eastAsia" w:asciiTheme="minorEastAsia" w:hAnsiTheme="minorEastAsia" w:eastAsiaTheme="minorEastAsia"/>
                <w:kern w:val="0"/>
                <w:sz w:val="24"/>
              </w:rPr>
              <w:t>条</w:t>
            </w:r>
          </w:p>
        </w:tc>
        <w:tc>
          <w:tcPr>
            <w:tcW w:w="2799"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地下车库应设置与排风设备联动的一氧化碳浓度监测装置。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CO浓度监控系统监测点宜每个防烟分区设置一个及以上，敷设于车库行车通道两侧的结构柱上并远离车库出入口，监测点距离车库地面完成面1.5m。当CO短时间接触浓度（15分钟的时间加权平均浓度）大于20mg/m</w:t>
            </w:r>
            <w:r>
              <w:rPr>
                <w:rFonts w:hint="eastAsia" w:asciiTheme="minorEastAsia" w:hAnsiTheme="minorEastAsia" w:eastAsiaTheme="minorEastAsia"/>
                <w:kern w:val="0"/>
                <w:sz w:val="24"/>
                <w:vertAlign w:val="superscript"/>
              </w:rPr>
              <w:t>3</w:t>
            </w:r>
            <w:r>
              <w:rPr>
                <w:rFonts w:hint="eastAsia" w:asciiTheme="minorEastAsia" w:hAnsiTheme="minorEastAsia" w:eastAsiaTheme="minorEastAsia"/>
                <w:kern w:val="0"/>
                <w:sz w:val="24"/>
              </w:rPr>
              <w:t>时启动该防烟分区排风机及其联动的进风机运行。</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rPr>
      </w:pPr>
      <w:r>
        <w:rPr>
          <w:rFonts w:hint="eastAsia" w:asciiTheme="minorEastAsia" w:hAnsiTheme="minorEastAsia" w:eastAsiaTheme="minorEastAsia"/>
          <w:sz w:val="24"/>
        </w:rPr>
        <w:t>9.</w:t>
      </w:r>
      <w:r>
        <w:rPr>
          <w:rFonts w:asciiTheme="minorEastAsia" w:hAnsiTheme="minorEastAsia" w:eastAsiaTheme="minorEastAsia"/>
          <w:sz w:val="24"/>
        </w:rPr>
        <w:t>5</w:t>
      </w:r>
      <w:r>
        <w:rPr>
          <w:rFonts w:hint="eastAsia" w:asciiTheme="minorEastAsia" w:hAnsiTheme="minorEastAsia" w:eastAsiaTheme="minorEastAsia"/>
          <w:sz w:val="24"/>
        </w:rPr>
        <w:t>室内空气质量监测系统</w:t>
      </w:r>
    </w:p>
    <w:tbl>
      <w:tblPr>
        <w:tblStyle w:val="4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2364"/>
        <w:gridCol w:w="2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restart"/>
            <w:vAlign w:val="center"/>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条文来源</w:t>
            </w: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GB/T 50378-2019</w:t>
            </w: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6.2.7条</w:t>
            </w:r>
          </w:p>
        </w:tc>
        <w:tc>
          <w:tcPr>
            <w:tcW w:w="288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评分项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vMerge w:val="continue"/>
          </w:tcPr>
          <w:p>
            <w:pPr>
              <w:spacing w:line="360" w:lineRule="auto"/>
              <w:outlineLvl w:val="3"/>
              <w:rPr>
                <w:rFonts w:asciiTheme="minorEastAsia" w:hAnsiTheme="minorEastAsia" w:eastAsiaTheme="minorEastAsia"/>
                <w:kern w:val="0"/>
                <w:sz w:val="24"/>
              </w:rPr>
            </w:pPr>
          </w:p>
        </w:tc>
        <w:tc>
          <w:tcPr>
            <w:tcW w:w="2552"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DB33/1092-2021</w:t>
            </w:r>
          </w:p>
        </w:tc>
        <w:tc>
          <w:tcPr>
            <w:tcW w:w="236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8.3.9条</w:t>
            </w:r>
          </w:p>
        </w:tc>
        <w:tc>
          <w:tcPr>
            <w:tcW w:w="2880"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依据材料</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对于人员停留的主要功能房间，应设置包含 CO2、PM2.5及PM10的测量功能的室内空气质量监测系统，并具备定时连续测量、显示、记录和数据传输功能，监测系统对污染物的采样周期不应大于10min。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84" w:type="dxa"/>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备注</w:t>
            </w:r>
          </w:p>
        </w:tc>
        <w:tc>
          <w:tcPr>
            <w:tcW w:w="7796" w:type="dxa"/>
            <w:gridSpan w:val="3"/>
          </w:tcPr>
          <w:p>
            <w:pPr>
              <w:spacing w:line="360" w:lineRule="auto"/>
              <w:outlineLvl w:val="3"/>
              <w:rPr>
                <w:rFonts w:asciiTheme="minorEastAsia" w:hAnsiTheme="minorEastAsia" w:eastAsiaTheme="minorEastAsia"/>
                <w:kern w:val="0"/>
                <w:sz w:val="24"/>
              </w:rPr>
            </w:pPr>
            <w:r>
              <w:rPr>
                <w:rFonts w:hint="eastAsia" w:asciiTheme="minorEastAsia" w:hAnsiTheme="minorEastAsia" w:eastAsiaTheme="minorEastAsia"/>
                <w:kern w:val="0"/>
                <w:sz w:val="24"/>
              </w:rPr>
              <w:t>主要功能房间是指设置热环境调节装置的房间。</w:t>
            </w:r>
          </w:p>
        </w:tc>
      </w:tr>
    </w:tbl>
    <w:p>
      <w:pPr>
        <w:jc w:val="center"/>
        <w:rPr>
          <w:rFonts w:hAnsi="宋体"/>
          <w:b/>
          <w:sz w:val="28"/>
          <w:szCs w:val="28"/>
        </w:rPr>
      </w:pPr>
    </w:p>
    <w:p>
      <w:pPr>
        <w:pStyle w:val="4"/>
        <w:jc w:val="center"/>
      </w:pPr>
      <w:bookmarkStart w:id="55" w:name="_Toc113029286"/>
      <w:bookmarkStart w:id="56" w:name="_Toc109325921"/>
      <w:r>
        <w:rPr>
          <w:rFonts w:hint="eastAsia"/>
        </w:rPr>
        <w:t>3.6 电气及智能化专业填写说明</w:t>
      </w:r>
      <w:bookmarkEnd w:id="55"/>
      <w:bookmarkEnd w:id="56"/>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一、电气及智能化主要设计依据: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 xml:space="preserve">    此项应包括项目进行建筑绿色与节能设计时所遵循的主要设计依据。包括法律法规、政策文件及现行国家与地方的标准、规范；还包括项目已取得的节能审查意见书及其附件：节能评估报告书（表）和专家评审意见；</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1.1 由设计人员复核各设计标准的现行版本号。</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1.2 设计人员应按项目选用的相关技术与措施，增补有关标准、规范依据。</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1.3 设计人员应根据项目所在地特性，增加相应的相关政府性文件为依据。</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特别说明：当本专篇依据的标准、规范修订或有新标准、新规范实施时，应按新版标准、规范对专篇相关内容进行复核、调整后选用。</w:t>
      </w:r>
    </w:p>
    <w:p>
      <w:pPr>
        <w:snapToGrid w:val="0"/>
        <w:spacing w:line="360" w:lineRule="auto"/>
        <w:jc w:val="left"/>
        <w:rPr>
          <w:rFonts w:ascii="Times New Roman" w:cs="宋体"/>
          <w:color w:val="000000"/>
          <w:kern w:val="0"/>
          <w:sz w:val="24"/>
        </w:rPr>
      </w:pP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二、电气</w:t>
      </w:r>
      <w:r>
        <w:rPr>
          <w:rFonts w:ascii="Times New Roman" w:cs="宋体"/>
          <w:color w:val="000000"/>
          <w:kern w:val="0"/>
          <w:sz w:val="24"/>
        </w:rPr>
        <w:t>设计技术措施</w:t>
      </w:r>
      <w:r>
        <w:rPr>
          <w:rFonts w:hint="eastAsia" w:ascii="Times New Roman" w:cs="宋体"/>
          <w:color w:val="000000"/>
          <w:kern w:val="0"/>
          <w:sz w:val="24"/>
        </w:rPr>
        <w:t>：</w:t>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◇一般说明</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为方便设计人员更准确理解专篇的填写目的与要求，本说明对专篇中列入的每项条款均以表格形式进行了说明。填写说明主要包含三部分内容，分别为：条文来源、依据材料、备注。</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“条文来源”主要注明条款的出处、依据：</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浙江省《绿色建筑设计标准》 DB 33/1092-2021（以下简称“DB 33/1092-2021”）</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浙江省《居住建筑节能设计标准》DB 33/1015-2021（以下简称“DB 33/1015-2021”）</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国家标准《绿色建筑评价标准》GB/T 50378-2019（以下简称“GB/T 50378-2019”）</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国家标准《建筑节能与可再生能源利用通用规范》GB 55015-2021（以下简称“GB 55015-2021”）</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国家标准《建筑环境通用规范》GB 55016-2021（以下简称“GB 55016-2021”）。</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“依据材料”是明确设计人员填写各条款时，所依据的相应基础资料、设计文件等相关内容。</w:t>
      </w:r>
    </w:p>
    <w:p>
      <w:pPr>
        <w:snapToGrid w:val="0"/>
        <w:spacing w:line="360" w:lineRule="auto"/>
        <w:ind w:firstLine="480" w:firstLineChars="200"/>
        <w:jc w:val="left"/>
        <w:rPr>
          <w:rFonts w:ascii="Times New Roman" w:cs="宋体"/>
          <w:color w:val="000000"/>
          <w:kern w:val="0"/>
          <w:sz w:val="24"/>
        </w:rPr>
      </w:pPr>
      <w:r>
        <w:rPr>
          <w:rFonts w:hint="eastAsia" w:ascii="Times New Roman" w:cs="宋体"/>
          <w:color w:val="000000"/>
          <w:kern w:val="0"/>
          <w:sz w:val="24"/>
        </w:rPr>
        <w:t>“备注”是对条款填写中需要注意与重点核查的内容进行详细说明，或对相关条文进行解释和补充。</w:t>
      </w:r>
    </w:p>
    <w:p>
      <w:pPr>
        <w:spacing w:line="240" w:lineRule="atLeast"/>
        <w:rPr>
          <w:rFonts w:hAnsi="宋体"/>
          <w:szCs w:val="21"/>
        </w:rPr>
      </w:pPr>
    </w:p>
    <w:p>
      <w:pPr>
        <w:spacing w:line="360" w:lineRule="auto"/>
        <w:ind w:firstLine="480" w:firstLineChars="200"/>
        <w:jc w:val="left"/>
        <w:rPr>
          <w:rFonts w:asciiTheme="minorEastAsia" w:hAnsiTheme="minorEastAsia" w:eastAsiaTheme="minorEastAsia"/>
          <w:sz w:val="24"/>
        </w:rPr>
      </w:pPr>
      <w:r>
        <w:rPr>
          <w:rFonts w:hint="eastAsia" w:asciiTheme="minorEastAsia" w:hAnsiTheme="minorEastAsia" w:eastAsiaTheme="minorEastAsia"/>
          <w:sz w:val="24"/>
        </w:rPr>
        <w:t>◇条款说明</w:t>
      </w:r>
    </w:p>
    <w:p>
      <w:pPr>
        <w:spacing w:line="360" w:lineRule="auto"/>
        <w:ind w:firstLine="481" w:firstLineChars="200"/>
        <w:jc w:val="center"/>
        <w:rPr>
          <w:rFonts w:asciiTheme="minorEastAsia" w:hAnsiTheme="minorEastAsia" w:eastAsiaTheme="minorEastAsia"/>
          <w:b/>
          <w:sz w:val="24"/>
        </w:rPr>
      </w:pPr>
      <w:r>
        <w:rPr>
          <w:rFonts w:hint="eastAsia" w:asciiTheme="minorEastAsia" w:hAnsiTheme="minorEastAsia" w:eastAsiaTheme="minorEastAsia"/>
          <w:b/>
          <w:sz w:val="24"/>
        </w:rPr>
        <w:t>1 电气设计绿色技术措施</w:t>
      </w:r>
    </w:p>
    <w:p>
      <w:pPr>
        <w:spacing w:line="360" w:lineRule="auto"/>
        <w:ind w:firstLine="481" w:firstLineChars="200"/>
        <w:jc w:val="center"/>
        <w:rPr>
          <w:rFonts w:asciiTheme="minorEastAsia" w:hAnsiTheme="minorEastAsia" w:eastAsiaTheme="minorEastAsia"/>
          <w:b/>
          <w:sz w:val="24"/>
        </w:rPr>
      </w:pPr>
    </w:p>
    <w:p>
      <w:pPr>
        <w:pStyle w:val="17"/>
        <w:spacing w:line="360" w:lineRule="auto"/>
        <w:ind w:firstLine="481" w:firstLineChars="200"/>
        <w:rPr>
          <w:rFonts w:hAnsi="宋体" w:cstheme="minorBidi"/>
          <w:sz w:val="24"/>
        </w:rPr>
      </w:pPr>
      <w:r>
        <w:rPr>
          <w:rFonts w:hint="eastAsia" w:hAnsi="宋体"/>
          <w:b/>
          <w:sz w:val="24"/>
        </w:rPr>
        <w:t>控制项内容：</w:t>
      </w:r>
      <w:r>
        <w:rPr>
          <w:rFonts w:hint="eastAsia" w:hAnsi="宋体" w:cstheme="minorBidi"/>
          <w:sz w:val="24"/>
        </w:rPr>
        <w:t>本栏各条均为</w:t>
      </w:r>
      <w:r>
        <w:rPr>
          <w:rFonts w:hint="eastAsia" w:hAnsi="宋体"/>
          <w:sz w:val="24"/>
          <w:lang w:val="en-GB"/>
        </w:rPr>
        <w:t>DB 33/1092-2021</w:t>
      </w:r>
      <w:r>
        <w:rPr>
          <w:rFonts w:hint="eastAsia" w:hAnsi="宋体" w:cstheme="minorBidi"/>
          <w:sz w:val="24"/>
        </w:rPr>
        <w:t>的一般规定，是绿色建筑设计的强制性控制内容，必须逐条满足。在项目实际设计中，若未涉及某一条内容，则不必列写该条。</w:t>
      </w:r>
    </w:p>
    <w:p>
      <w:pPr>
        <w:pStyle w:val="17"/>
        <w:spacing w:line="360" w:lineRule="auto"/>
        <w:rPr>
          <w:rFonts w:hAnsi="宋体" w:cstheme="minorBidi"/>
          <w:sz w:val="24"/>
        </w:rPr>
      </w:pPr>
    </w:p>
    <w:p>
      <w:pPr>
        <w:spacing w:before="109" w:beforeLines="35" w:after="109" w:afterLines="35" w:line="360" w:lineRule="auto"/>
        <w:rPr>
          <w:rFonts w:hAnsi="宋体"/>
          <w:sz w:val="24"/>
          <w:lang w:val="en-GB"/>
        </w:rPr>
      </w:pPr>
      <w:r>
        <w:rPr>
          <w:rFonts w:hint="eastAsia" w:hAnsi="宋体"/>
          <w:sz w:val="24"/>
          <w:lang w:val="en-GB"/>
        </w:rPr>
        <w:t>1、负荷计算采用</w:t>
      </w:r>
      <w:r>
        <w:rPr>
          <w:rFonts w:hint="eastAsia" w:hAnsi="宋体"/>
          <w:sz w:val="24"/>
          <w:u w:val="single"/>
          <w:lang w:val="en-GB"/>
        </w:rPr>
        <w:t xml:space="preserve">       </w:t>
      </w:r>
      <w:r>
        <w:rPr>
          <w:rFonts w:hint="eastAsia" w:hAnsi="宋体"/>
          <w:sz w:val="24"/>
          <w:lang w:val="en-GB"/>
        </w:rPr>
        <w:t>法；负荷的总计算容量为</w:t>
      </w:r>
      <w:r>
        <w:rPr>
          <w:rFonts w:hAnsi="宋体"/>
          <w:sz w:val="24"/>
          <w:u w:val="single"/>
          <w:lang w:val="en-GB"/>
        </w:rPr>
        <w:t xml:space="preserve">        </w:t>
      </w:r>
      <w:r>
        <w:rPr>
          <w:rFonts w:hAnsi="宋体"/>
          <w:sz w:val="24"/>
          <w:lang w:val="en-GB"/>
        </w:rPr>
        <w:t>kW；</w:t>
      </w:r>
    </w:p>
    <w:p>
      <w:pPr>
        <w:spacing w:line="360" w:lineRule="auto"/>
        <w:rPr>
          <w:rFonts w:hAnsi="宋体"/>
          <w:sz w:val="24"/>
          <w:lang w:val="en-GB"/>
        </w:rPr>
      </w:pPr>
      <w:r>
        <w:rPr>
          <w:rFonts w:hint="eastAsia" w:hAnsi="宋体"/>
          <w:sz w:val="24"/>
          <w:lang w:val="en-GB"/>
        </w:rPr>
        <w:t>供电电压等级：</w:t>
      </w:r>
      <w:r>
        <w:rPr>
          <w:rFonts w:hint="eastAsia" w:hAnsi="宋体"/>
          <w:sz w:val="24"/>
          <w:u w:val="single"/>
          <w:lang w:val="en-GB"/>
        </w:rPr>
        <w:t xml:space="preserve">   </w:t>
      </w:r>
      <w:r>
        <w:rPr>
          <w:rFonts w:hAnsi="宋体"/>
          <w:sz w:val="24"/>
          <w:lang w:val="en-GB"/>
        </w:rPr>
        <w:t xml:space="preserve">kV </w:t>
      </w:r>
      <w:r>
        <w:rPr>
          <w:rFonts w:hint="eastAsia" w:hAnsi="宋体"/>
          <w:sz w:val="24"/>
          <w:lang w:val="en-GB"/>
        </w:rPr>
        <w:t>，变压器容量共</w:t>
      </w:r>
      <w:r>
        <w:rPr>
          <w:rFonts w:hint="eastAsia" w:hAnsi="宋体"/>
          <w:sz w:val="24"/>
          <w:u w:val="single"/>
          <w:lang w:val="en-GB"/>
        </w:rPr>
        <w:t xml:space="preserve">    </w:t>
      </w:r>
      <w:r>
        <w:rPr>
          <w:rFonts w:hAnsi="宋体"/>
          <w:sz w:val="24"/>
          <w:u w:val="single"/>
          <w:lang w:val="en-GB"/>
        </w:rPr>
        <w:t xml:space="preserve"> </w:t>
      </w:r>
      <w:r>
        <w:rPr>
          <w:rFonts w:hAnsi="宋体"/>
          <w:sz w:val="24"/>
          <w:lang w:val="en-GB"/>
        </w:rPr>
        <w:t>kVA</w:t>
      </w:r>
      <w:r>
        <w:rPr>
          <w:rFonts w:hint="eastAsia" w:hAnsi="宋体"/>
          <w:sz w:val="24"/>
          <w:lang w:val="en-GB"/>
        </w:rPr>
        <w:t>；</w:t>
      </w:r>
    </w:p>
    <w:p>
      <w:pPr>
        <w:spacing w:line="360" w:lineRule="auto"/>
        <w:rPr>
          <w:rFonts w:hAnsi="宋体"/>
          <w:sz w:val="24"/>
          <w:lang w:val="en-GB"/>
        </w:rPr>
      </w:pPr>
      <w:r>
        <w:rPr>
          <w:rFonts w:hint="eastAsia" w:hAnsi="宋体"/>
          <w:sz w:val="24"/>
          <w:lang w:val="en-GB"/>
        </w:rPr>
        <w:t>变配电所靠近负荷中心，供配电线路的敷设路径设计合理。</w:t>
      </w:r>
    </w:p>
    <w:tbl>
      <w:tblPr>
        <w:tblStyle w:val="44"/>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9"/>
        <w:gridCol w:w="2750"/>
        <w:gridCol w:w="2410"/>
        <w:gridCol w:w="32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Merge w:val="restart"/>
            <w:shd w:val="clear" w:color="auto" w:fill="auto"/>
            <w:vAlign w:val="center"/>
          </w:tcPr>
          <w:p>
            <w:pPr>
              <w:spacing w:line="360" w:lineRule="auto"/>
              <w:jc w:val="center"/>
              <w:rPr>
                <w:rFonts w:hAnsi="宋体"/>
                <w:sz w:val="24"/>
              </w:rPr>
            </w:pPr>
            <w:r>
              <w:rPr>
                <w:rFonts w:hint="eastAsia" w:hAnsi="宋体"/>
                <w:sz w:val="24"/>
              </w:rPr>
              <w:t>条文来源</w:t>
            </w:r>
          </w:p>
        </w:tc>
        <w:tc>
          <w:tcPr>
            <w:tcW w:w="2750" w:type="dxa"/>
            <w:vMerge w:val="restart"/>
            <w:shd w:val="clear" w:color="auto" w:fill="auto"/>
            <w:vAlign w:val="center"/>
          </w:tcPr>
          <w:p>
            <w:pPr>
              <w:spacing w:line="360" w:lineRule="auto"/>
              <w:jc w:val="center"/>
              <w:rPr>
                <w:rFonts w:hAnsi="宋体"/>
                <w:sz w:val="24"/>
              </w:rPr>
            </w:pPr>
            <w:r>
              <w:rPr>
                <w:rFonts w:hint="eastAsia" w:hAnsi="宋体"/>
                <w:sz w:val="24"/>
              </w:rPr>
              <w:t>《建筑工程设计文件编制深度规定》（2016版）</w:t>
            </w:r>
          </w:p>
        </w:tc>
        <w:tc>
          <w:tcPr>
            <w:tcW w:w="2410" w:type="dxa"/>
            <w:vMerge w:val="restart"/>
            <w:shd w:val="clear" w:color="auto" w:fill="auto"/>
          </w:tcPr>
          <w:p>
            <w:pPr>
              <w:spacing w:line="360" w:lineRule="auto"/>
              <w:rPr>
                <w:rFonts w:hAnsi="宋体"/>
                <w:sz w:val="24"/>
              </w:rPr>
            </w:pPr>
            <w:r>
              <w:rPr>
                <w:rFonts w:hint="eastAsia" w:hAnsi="宋体"/>
                <w:sz w:val="24"/>
              </w:rPr>
              <w:t>3.6.5条、</w:t>
            </w:r>
          </w:p>
          <w:p>
            <w:pPr>
              <w:spacing w:line="360" w:lineRule="auto"/>
              <w:rPr>
                <w:rFonts w:hAnsi="宋体"/>
                <w:sz w:val="24"/>
              </w:rPr>
            </w:pPr>
            <w:r>
              <w:rPr>
                <w:rFonts w:hint="eastAsia" w:hAnsi="宋体"/>
                <w:sz w:val="24"/>
              </w:rPr>
              <w:t>4.5.13条</w:t>
            </w:r>
          </w:p>
        </w:tc>
        <w:tc>
          <w:tcPr>
            <w:tcW w:w="3247" w:type="dxa"/>
            <w:shd w:val="clear" w:color="auto" w:fill="auto"/>
          </w:tcPr>
          <w:p>
            <w:pPr>
              <w:autoSpaceDE w:val="0"/>
              <w:autoSpaceDN w:val="0"/>
              <w:adjustRightInd w:val="0"/>
              <w:spacing w:line="360" w:lineRule="auto"/>
              <w:jc w:val="left"/>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Merge w:val="continue"/>
            <w:shd w:val="clear" w:color="auto" w:fill="auto"/>
            <w:vAlign w:val="center"/>
          </w:tcPr>
          <w:p>
            <w:pPr>
              <w:spacing w:line="360" w:lineRule="auto"/>
              <w:jc w:val="center"/>
              <w:rPr>
                <w:rFonts w:hAnsi="宋体"/>
                <w:sz w:val="24"/>
              </w:rPr>
            </w:pPr>
          </w:p>
        </w:tc>
        <w:tc>
          <w:tcPr>
            <w:tcW w:w="2750" w:type="dxa"/>
            <w:vMerge w:val="continue"/>
            <w:shd w:val="clear" w:color="auto" w:fill="auto"/>
            <w:vAlign w:val="center"/>
          </w:tcPr>
          <w:p>
            <w:pPr>
              <w:spacing w:line="360" w:lineRule="auto"/>
              <w:jc w:val="center"/>
              <w:rPr>
                <w:rFonts w:hAnsi="宋体"/>
                <w:sz w:val="24"/>
              </w:rPr>
            </w:pPr>
          </w:p>
        </w:tc>
        <w:tc>
          <w:tcPr>
            <w:tcW w:w="2410" w:type="dxa"/>
            <w:vMerge w:val="continue"/>
            <w:shd w:val="clear" w:color="auto" w:fill="auto"/>
          </w:tcPr>
          <w:p>
            <w:pPr>
              <w:spacing w:line="360" w:lineRule="auto"/>
              <w:rPr>
                <w:rFonts w:hAnsi="宋体"/>
                <w:sz w:val="24"/>
              </w:rPr>
            </w:pPr>
          </w:p>
        </w:tc>
        <w:tc>
          <w:tcPr>
            <w:tcW w:w="3247" w:type="dxa"/>
            <w:shd w:val="clear" w:color="auto" w:fill="auto"/>
          </w:tcPr>
          <w:p>
            <w:pPr>
              <w:autoSpaceDE w:val="0"/>
              <w:autoSpaceDN w:val="0"/>
              <w:adjustRightInd w:val="0"/>
              <w:spacing w:line="360" w:lineRule="auto"/>
              <w:jc w:val="left"/>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vMerge w:val="continue"/>
            <w:shd w:val="clear" w:color="auto" w:fill="auto"/>
            <w:vAlign w:val="center"/>
          </w:tcPr>
          <w:p>
            <w:pPr>
              <w:spacing w:line="360" w:lineRule="auto"/>
              <w:jc w:val="center"/>
              <w:rPr>
                <w:rFonts w:hAnsi="宋体"/>
                <w:sz w:val="24"/>
              </w:rPr>
            </w:pPr>
          </w:p>
        </w:tc>
        <w:tc>
          <w:tcPr>
            <w:tcW w:w="2750" w:type="dxa"/>
            <w:shd w:val="clear" w:color="auto" w:fill="auto"/>
            <w:vAlign w:val="center"/>
          </w:tcPr>
          <w:p>
            <w:pPr>
              <w:spacing w:line="360" w:lineRule="auto"/>
              <w:jc w:val="center"/>
              <w:rPr>
                <w:rFonts w:hAnsi="宋体"/>
                <w:sz w:val="24"/>
              </w:rPr>
            </w:pPr>
            <w:r>
              <w:rPr>
                <w:rFonts w:hint="eastAsia" w:hAnsi="宋体"/>
                <w:sz w:val="24"/>
                <w:lang w:val="en-GB"/>
              </w:rPr>
              <w:t>DB33/1092-2021</w:t>
            </w:r>
          </w:p>
        </w:tc>
        <w:tc>
          <w:tcPr>
            <w:tcW w:w="2410" w:type="dxa"/>
            <w:shd w:val="clear" w:color="auto" w:fill="auto"/>
          </w:tcPr>
          <w:p>
            <w:pPr>
              <w:spacing w:line="360" w:lineRule="auto"/>
              <w:jc w:val="left"/>
              <w:rPr>
                <w:rFonts w:hAnsi="宋体"/>
                <w:sz w:val="24"/>
              </w:rPr>
            </w:pPr>
            <w:r>
              <w:rPr>
                <w:rFonts w:hint="eastAsia" w:hAnsi="宋体"/>
                <w:sz w:val="24"/>
              </w:rPr>
              <w:t>9.1.</w:t>
            </w:r>
            <w:r>
              <w:rPr>
                <w:rFonts w:hAnsi="宋体"/>
                <w:sz w:val="24"/>
              </w:rPr>
              <w:t>1</w:t>
            </w:r>
            <w:r>
              <w:rPr>
                <w:rFonts w:hint="eastAsia" w:hAnsi="宋体"/>
                <w:sz w:val="24"/>
              </w:rPr>
              <w:t>条、9.1.2条</w:t>
            </w:r>
          </w:p>
        </w:tc>
        <w:tc>
          <w:tcPr>
            <w:tcW w:w="3247" w:type="dxa"/>
            <w:shd w:val="clear" w:color="auto" w:fill="auto"/>
          </w:tcPr>
          <w:p>
            <w:pPr>
              <w:spacing w:line="360" w:lineRule="auto"/>
              <w:jc w:val="left"/>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69" w:type="dxa"/>
            <w:shd w:val="clear" w:color="auto" w:fill="auto"/>
            <w:vAlign w:val="center"/>
          </w:tcPr>
          <w:p>
            <w:pPr>
              <w:spacing w:line="360" w:lineRule="auto"/>
              <w:jc w:val="center"/>
              <w:rPr>
                <w:rFonts w:hAnsi="宋体"/>
                <w:sz w:val="24"/>
              </w:rPr>
            </w:pPr>
            <w:r>
              <w:rPr>
                <w:rFonts w:hint="eastAsia" w:hAnsi="宋体"/>
                <w:sz w:val="24"/>
              </w:rPr>
              <w:t>依据材料</w:t>
            </w:r>
          </w:p>
        </w:tc>
        <w:tc>
          <w:tcPr>
            <w:tcW w:w="8407"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设计人员应根据</w:t>
            </w:r>
            <w:r>
              <w:rPr>
                <w:rFonts w:hAnsi="宋体"/>
                <w:sz w:val="24"/>
              </w:rPr>
              <w:t>项目的</w:t>
            </w:r>
            <w:r>
              <w:rPr>
                <w:rFonts w:hint="eastAsia" w:hAnsi="宋体"/>
                <w:sz w:val="24"/>
              </w:rPr>
              <w:t>负荷计算书（表）及采用的计算方法，结合</w:t>
            </w:r>
            <w:r>
              <w:rPr>
                <w:rFonts w:hAnsi="宋体"/>
                <w:sz w:val="24"/>
              </w:rPr>
              <w:t>项目实际，</w:t>
            </w:r>
            <w:r>
              <w:rPr>
                <w:rFonts w:hint="eastAsia" w:hAnsi="宋体"/>
                <w:sz w:val="24"/>
              </w:rPr>
              <w:t>填写</w:t>
            </w:r>
            <w:r>
              <w:rPr>
                <w:rFonts w:hAnsi="宋体"/>
                <w:sz w:val="24"/>
              </w:rPr>
              <w:t>此</w:t>
            </w:r>
            <w:r>
              <w:rPr>
                <w:rFonts w:hint="eastAsia" w:hAnsi="宋体"/>
                <w:sz w:val="24"/>
              </w:rPr>
              <w:t>条</w:t>
            </w:r>
            <w:r>
              <w:rPr>
                <w:rFonts w:hAnsi="宋体"/>
                <w:sz w:val="24"/>
              </w:rPr>
              <w:t>内容</w:t>
            </w:r>
            <w:r>
              <w:rPr>
                <w:rFonts w:hint="eastAsia"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9" w:type="dxa"/>
            <w:shd w:val="clear" w:color="auto" w:fill="auto"/>
            <w:vAlign w:val="center"/>
          </w:tcPr>
          <w:p>
            <w:pPr>
              <w:spacing w:line="360" w:lineRule="auto"/>
              <w:jc w:val="center"/>
              <w:rPr>
                <w:rFonts w:hAnsi="宋体"/>
                <w:sz w:val="24"/>
              </w:rPr>
            </w:pPr>
            <w:r>
              <w:rPr>
                <w:rFonts w:hint="eastAsia" w:hAnsi="宋体"/>
                <w:sz w:val="24"/>
              </w:rPr>
              <w:t>备注</w:t>
            </w:r>
          </w:p>
        </w:tc>
        <w:tc>
          <w:tcPr>
            <w:tcW w:w="8407" w:type="dxa"/>
            <w:gridSpan w:val="3"/>
            <w:shd w:val="clear" w:color="auto" w:fill="auto"/>
          </w:tcPr>
          <w:p>
            <w:pPr>
              <w:autoSpaceDE w:val="0"/>
              <w:autoSpaceDN w:val="0"/>
              <w:adjustRightInd w:val="0"/>
              <w:spacing w:line="360" w:lineRule="auto"/>
              <w:ind w:firstLine="480" w:firstLineChars="200"/>
              <w:jc w:val="left"/>
              <w:rPr>
                <w:rFonts w:hAnsi="宋体"/>
                <w:sz w:val="24"/>
                <w:lang w:val="en-GB"/>
              </w:rPr>
            </w:pPr>
            <w:r>
              <w:rPr>
                <w:rFonts w:hint="eastAsia" w:hAnsi="宋体"/>
                <w:sz w:val="24"/>
              </w:rPr>
              <w:t>合理、准确的计算是绿色设计的基础。施工图设计的负荷计算应采用需要系数法或不小于其准确度的其它方法，并如实填写计算方法、计算结果。项目星级评定时，应提供负荷计算书。</w:t>
            </w:r>
          </w:p>
          <w:p>
            <w:pPr>
              <w:autoSpaceDE w:val="0"/>
              <w:autoSpaceDN w:val="0"/>
              <w:adjustRightInd w:val="0"/>
              <w:spacing w:line="360" w:lineRule="auto"/>
              <w:ind w:firstLine="480" w:firstLineChars="200"/>
              <w:jc w:val="left"/>
              <w:rPr>
                <w:rFonts w:hAnsi="宋体"/>
                <w:sz w:val="24"/>
              </w:rPr>
            </w:pPr>
            <w:r>
              <w:rPr>
                <w:rFonts w:hint="eastAsia" w:hAnsi="宋体"/>
                <w:sz w:val="24"/>
              </w:rPr>
              <w:t>本条为基本要求、基本情况，必须满足或填写。</w:t>
            </w:r>
          </w:p>
        </w:tc>
      </w:tr>
    </w:tbl>
    <w:p>
      <w:pPr>
        <w:spacing w:line="360" w:lineRule="auto"/>
        <w:rPr>
          <w:rFonts w:hAnsi="宋体"/>
          <w:bCs/>
          <w:sz w:val="24"/>
        </w:rPr>
      </w:pPr>
    </w:p>
    <w:p>
      <w:pPr>
        <w:spacing w:line="360" w:lineRule="auto"/>
        <w:ind w:left="360" w:hanging="360" w:hangingChars="150"/>
        <w:rPr>
          <w:rFonts w:hAnsi="宋体"/>
          <w:sz w:val="24"/>
          <w:lang w:val="en-GB"/>
        </w:rPr>
      </w:pPr>
      <w:r>
        <w:rPr>
          <w:rFonts w:hAnsi="宋体"/>
          <w:bCs/>
          <w:sz w:val="24"/>
        </w:rPr>
        <w:t>2</w:t>
      </w:r>
      <w:r>
        <w:rPr>
          <w:rFonts w:hint="eastAsia" w:hAnsi="宋体"/>
          <w:sz w:val="24"/>
          <w:lang w:val="en-GB"/>
        </w:rPr>
        <w:t>、</w:t>
      </w:r>
      <w:r>
        <w:rPr>
          <w:rFonts w:hint="eastAsia" w:asciiTheme="minorEastAsia" w:hAnsiTheme="minorEastAsia" w:eastAsiaTheme="minorEastAsia"/>
          <w:sz w:val="24"/>
          <w:lang w:val="en-GB"/>
        </w:rPr>
        <w:t>用户系统的功率因数、</w:t>
      </w:r>
      <w:r>
        <w:rPr>
          <w:rFonts w:hint="eastAsia" w:hAnsi="宋体"/>
          <w:sz w:val="24"/>
          <w:lang w:val="en-GB"/>
        </w:rPr>
        <w:t>无功补偿满足电力部门的要求；</w:t>
      </w:r>
    </w:p>
    <w:p>
      <w:pPr>
        <w:spacing w:line="360" w:lineRule="auto"/>
        <w:ind w:left="-1" w:leftChars="-1" w:hanging="1"/>
        <w:rPr>
          <w:rFonts w:hAnsi="宋体"/>
          <w:sz w:val="24"/>
          <w:lang w:val="en-GB"/>
        </w:rPr>
      </w:pPr>
      <w:r>
        <w:rPr>
          <w:rFonts w:hint="eastAsia" w:hAnsi="宋体"/>
          <w:sz w:val="24"/>
          <w:lang w:val="en-GB"/>
        </w:rPr>
        <w:t>供配电系统向公共电网注入的谐波电流满足现行国家标准《电能质量 公共电网谐波》GB/T</w:t>
      </w:r>
      <w:r>
        <w:rPr>
          <w:rFonts w:hAnsi="宋体"/>
          <w:sz w:val="24"/>
          <w:lang w:val="en-GB"/>
        </w:rPr>
        <w:t xml:space="preserve"> </w:t>
      </w:r>
      <w:r>
        <w:rPr>
          <w:rFonts w:hint="eastAsia" w:hAnsi="宋体"/>
          <w:sz w:val="24"/>
          <w:lang w:val="en-GB"/>
        </w:rPr>
        <w:t>14549的规定。</w:t>
      </w:r>
    </w:p>
    <w:tbl>
      <w:tblPr>
        <w:tblStyle w:val="44"/>
        <w:tblW w:w="9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3"/>
        <w:gridCol w:w="2299"/>
        <w:gridCol w:w="1701"/>
        <w:gridCol w:w="40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3" w:type="dxa"/>
            <w:shd w:val="clear" w:color="auto" w:fill="auto"/>
            <w:vAlign w:val="center"/>
          </w:tcPr>
          <w:p>
            <w:pPr>
              <w:spacing w:line="360" w:lineRule="auto"/>
              <w:jc w:val="center"/>
              <w:rPr>
                <w:rFonts w:hAnsi="宋体"/>
                <w:sz w:val="24"/>
              </w:rPr>
            </w:pPr>
            <w:r>
              <w:rPr>
                <w:rFonts w:hint="eastAsia" w:hAnsi="宋体"/>
                <w:sz w:val="24"/>
              </w:rPr>
              <w:t>条文来源</w:t>
            </w:r>
          </w:p>
        </w:tc>
        <w:tc>
          <w:tcPr>
            <w:tcW w:w="2299" w:type="dxa"/>
            <w:shd w:val="clear" w:color="auto" w:fill="auto"/>
            <w:vAlign w:val="center"/>
          </w:tcPr>
          <w:p>
            <w:pPr>
              <w:spacing w:line="360" w:lineRule="auto"/>
              <w:jc w:val="center"/>
              <w:rPr>
                <w:rFonts w:hAnsi="宋体"/>
                <w:sz w:val="24"/>
              </w:rPr>
            </w:pPr>
            <w:r>
              <w:rPr>
                <w:rFonts w:hint="eastAsia" w:hAnsi="宋体"/>
                <w:sz w:val="24"/>
                <w:lang w:val="en-GB"/>
              </w:rPr>
              <w:t>DB33/1092-2021</w:t>
            </w:r>
          </w:p>
        </w:tc>
        <w:tc>
          <w:tcPr>
            <w:tcW w:w="1701" w:type="dxa"/>
            <w:shd w:val="clear" w:color="auto" w:fill="auto"/>
            <w:vAlign w:val="center"/>
          </w:tcPr>
          <w:p>
            <w:pPr>
              <w:spacing w:line="360" w:lineRule="auto"/>
              <w:rPr>
                <w:rFonts w:hAnsi="宋体"/>
                <w:sz w:val="24"/>
              </w:rPr>
            </w:pPr>
            <w:r>
              <w:rPr>
                <w:rFonts w:hint="eastAsia" w:hAnsi="宋体"/>
                <w:sz w:val="24"/>
              </w:rPr>
              <w:t>9.1.</w:t>
            </w:r>
            <w:r>
              <w:rPr>
                <w:rFonts w:hAnsi="宋体"/>
                <w:sz w:val="24"/>
              </w:rPr>
              <w:t>3</w:t>
            </w:r>
            <w:r>
              <w:rPr>
                <w:rFonts w:hint="eastAsia" w:hAnsi="宋体"/>
                <w:sz w:val="24"/>
              </w:rPr>
              <w:t>条</w:t>
            </w:r>
          </w:p>
        </w:tc>
        <w:tc>
          <w:tcPr>
            <w:tcW w:w="4054" w:type="dxa"/>
            <w:shd w:val="clear" w:color="auto" w:fill="auto"/>
            <w:vAlign w:val="center"/>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3" w:type="dxa"/>
            <w:shd w:val="clear" w:color="auto" w:fill="auto"/>
            <w:vAlign w:val="center"/>
          </w:tcPr>
          <w:p>
            <w:pPr>
              <w:spacing w:line="360" w:lineRule="auto"/>
              <w:jc w:val="center"/>
              <w:rPr>
                <w:rFonts w:hAnsi="宋体"/>
                <w:sz w:val="24"/>
              </w:rPr>
            </w:pPr>
            <w:r>
              <w:rPr>
                <w:rFonts w:hint="eastAsia" w:hAnsi="宋体"/>
                <w:sz w:val="24"/>
              </w:rPr>
              <w:t>依据材料</w:t>
            </w:r>
          </w:p>
        </w:tc>
        <w:tc>
          <w:tcPr>
            <w:tcW w:w="8054"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设计人员应根据变电所设计施工图、配电箱系统图，结合</w:t>
            </w:r>
            <w:r>
              <w:rPr>
                <w:rFonts w:hAnsi="宋体"/>
                <w:sz w:val="24"/>
              </w:rPr>
              <w:t>项目实际，</w:t>
            </w:r>
            <w:r>
              <w:rPr>
                <w:rFonts w:hint="eastAsia" w:hAnsi="宋体"/>
                <w:sz w:val="24"/>
              </w:rPr>
              <w:t>填写</w:t>
            </w:r>
            <w:r>
              <w:rPr>
                <w:rFonts w:hAnsi="宋体"/>
                <w:sz w:val="24"/>
              </w:rPr>
              <w:t>此</w:t>
            </w:r>
            <w:r>
              <w:rPr>
                <w:rFonts w:hint="eastAsia" w:hAnsi="宋体"/>
                <w:sz w:val="24"/>
              </w:rPr>
              <w:t>条</w:t>
            </w:r>
            <w:r>
              <w:rPr>
                <w:rFonts w:hAnsi="宋体"/>
                <w:sz w:val="24"/>
              </w:rPr>
              <w:t>内容</w:t>
            </w:r>
            <w:r>
              <w:rPr>
                <w:rFonts w:hint="eastAsia"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3" w:type="dxa"/>
            <w:shd w:val="clear" w:color="auto" w:fill="auto"/>
            <w:vAlign w:val="center"/>
          </w:tcPr>
          <w:p>
            <w:pPr>
              <w:autoSpaceDE w:val="0"/>
              <w:autoSpaceDN w:val="0"/>
              <w:adjustRightInd w:val="0"/>
              <w:spacing w:line="360" w:lineRule="auto"/>
              <w:jc w:val="left"/>
              <w:rPr>
                <w:rFonts w:hAnsi="宋体"/>
                <w:sz w:val="24"/>
              </w:rPr>
            </w:pPr>
            <w:r>
              <w:rPr>
                <w:rFonts w:hint="eastAsia" w:hAnsi="宋体"/>
                <w:sz w:val="24"/>
              </w:rPr>
              <w:t>备注</w:t>
            </w:r>
          </w:p>
        </w:tc>
        <w:tc>
          <w:tcPr>
            <w:tcW w:w="8054"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无功补偿是提高功率因数、降低线路电流的重要措施之一。</w:t>
            </w:r>
          </w:p>
          <w:p>
            <w:pPr>
              <w:autoSpaceDE w:val="0"/>
              <w:autoSpaceDN w:val="0"/>
              <w:adjustRightInd w:val="0"/>
              <w:spacing w:line="360" w:lineRule="auto"/>
              <w:ind w:firstLine="480" w:firstLineChars="200"/>
              <w:jc w:val="left"/>
              <w:rPr>
                <w:rFonts w:hAnsi="宋体"/>
                <w:sz w:val="24"/>
              </w:rPr>
            </w:pPr>
            <w:r>
              <w:rPr>
                <w:rFonts w:hAnsi="宋体"/>
                <w:sz w:val="24"/>
              </w:rPr>
              <w:t>高次谐波是电气系统</w:t>
            </w:r>
            <w:r>
              <w:rPr>
                <w:rFonts w:hint="eastAsia" w:hAnsi="宋体"/>
                <w:sz w:val="24"/>
              </w:rPr>
              <w:t>中</w:t>
            </w:r>
            <w:r>
              <w:rPr>
                <w:rFonts w:hAnsi="宋体"/>
                <w:sz w:val="24"/>
              </w:rPr>
              <w:t>的污染，</w:t>
            </w:r>
            <w:r>
              <w:rPr>
                <w:rFonts w:hint="eastAsia" w:hAnsi="宋体"/>
                <w:sz w:val="24"/>
              </w:rPr>
              <w:t>降低电能质量</w:t>
            </w:r>
            <w:r>
              <w:rPr>
                <w:rFonts w:hAnsi="宋体"/>
                <w:sz w:val="24"/>
              </w:rPr>
              <w:t>和损害电气设备，必须防治。</w:t>
            </w:r>
          </w:p>
          <w:p>
            <w:pPr>
              <w:autoSpaceDE w:val="0"/>
              <w:autoSpaceDN w:val="0"/>
              <w:adjustRightInd w:val="0"/>
              <w:spacing w:line="360" w:lineRule="auto"/>
              <w:ind w:firstLine="480" w:firstLineChars="200"/>
              <w:jc w:val="left"/>
              <w:rPr>
                <w:rFonts w:hAnsi="宋体"/>
                <w:sz w:val="24"/>
              </w:rPr>
            </w:pPr>
            <w:r>
              <w:rPr>
                <w:rFonts w:hint="eastAsia" w:hAnsi="宋体"/>
                <w:sz w:val="24"/>
              </w:rPr>
              <w:t>本条为基本要求，必须满足。</w:t>
            </w:r>
          </w:p>
        </w:tc>
      </w:tr>
    </w:tbl>
    <w:p>
      <w:pPr>
        <w:spacing w:line="360" w:lineRule="auto"/>
        <w:rPr>
          <w:rFonts w:hAnsi="宋体"/>
          <w:bCs/>
          <w:sz w:val="24"/>
        </w:rPr>
      </w:pPr>
    </w:p>
    <w:p>
      <w:pPr>
        <w:spacing w:line="360" w:lineRule="auto"/>
        <w:rPr>
          <w:rFonts w:hAnsi="宋体"/>
          <w:sz w:val="24"/>
          <w:lang w:val="en-GB"/>
        </w:rPr>
      </w:pPr>
      <w:r>
        <w:rPr>
          <w:rFonts w:hint="eastAsia" w:hAnsi="宋体"/>
          <w:sz w:val="24"/>
          <w:lang w:val="en-GB"/>
        </w:rPr>
        <w:t>3、</w:t>
      </w:r>
      <w:r>
        <w:rPr>
          <w:rFonts w:hAnsi="宋体"/>
          <w:sz w:val="24"/>
          <w:lang w:val="en-GB"/>
        </w:rPr>
        <w:t>电动汽车充电设施</w:t>
      </w:r>
      <w:r>
        <w:rPr>
          <w:rFonts w:hint="eastAsia" w:hAnsi="宋体"/>
          <w:sz w:val="24"/>
          <w:lang w:val="en-GB"/>
        </w:rPr>
        <w:t>的供配电设计满足浙江省</w:t>
      </w:r>
      <w:r>
        <w:rPr>
          <w:rFonts w:hAnsi="宋体"/>
          <w:sz w:val="24"/>
          <w:lang w:val="en-GB"/>
        </w:rPr>
        <w:t>《</w:t>
      </w:r>
      <w:r>
        <w:rPr>
          <w:rFonts w:hint="eastAsia" w:hAnsi="宋体"/>
          <w:sz w:val="24"/>
          <w:lang w:val="en-GB"/>
        </w:rPr>
        <w:t>民</w:t>
      </w:r>
      <w:r>
        <w:rPr>
          <w:rFonts w:hAnsi="宋体"/>
          <w:sz w:val="24"/>
          <w:lang w:val="en-GB"/>
        </w:rPr>
        <w:t>用建筑电动汽车充电设施配置与设计规范》</w:t>
      </w:r>
      <w:r>
        <w:rPr>
          <w:rFonts w:hint="eastAsia" w:hAnsi="宋体"/>
          <w:sz w:val="24"/>
          <w:lang w:val="en-GB"/>
        </w:rPr>
        <w:t>DB33/1121</w:t>
      </w:r>
      <w:r>
        <w:rPr>
          <w:rFonts w:hAnsi="宋体"/>
          <w:sz w:val="24"/>
          <w:lang w:val="en-GB"/>
        </w:rPr>
        <w:t>的</w:t>
      </w:r>
      <w:r>
        <w:rPr>
          <w:rFonts w:hint="eastAsia" w:hAnsi="宋体"/>
          <w:sz w:val="24"/>
          <w:lang w:val="en-GB"/>
        </w:rPr>
        <w:t>要求。</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9"/>
        <w:gridCol w:w="2834"/>
        <w:gridCol w:w="1702"/>
        <w:gridCol w:w="34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9" w:type="dxa"/>
            <w:vMerge w:val="restart"/>
            <w:shd w:val="clear" w:color="auto" w:fill="auto"/>
            <w:vAlign w:val="center"/>
          </w:tcPr>
          <w:p>
            <w:pPr>
              <w:spacing w:line="360" w:lineRule="auto"/>
              <w:jc w:val="center"/>
              <w:rPr>
                <w:rFonts w:hAnsi="宋体"/>
                <w:sz w:val="24"/>
              </w:rPr>
            </w:pPr>
            <w:r>
              <w:rPr>
                <w:rFonts w:hint="eastAsia" w:hAnsi="宋体"/>
                <w:sz w:val="24"/>
              </w:rPr>
              <w:t>条文来源</w:t>
            </w:r>
          </w:p>
        </w:tc>
        <w:tc>
          <w:tcPr>
            <w:tcW w:w="2834" w:type="dxa"/>
            <w:shd w:val="clear" w:color="auto" w:fill="auto"/>
            <w:vAlign w:val="center"/>
          </w:tcPr>
          <w:p>
            <w:pPr>
              <w:spacing w:line="360" w:lineRule="auto"/>
              <w:jc w:val="center"/>
              <w:rPr>
                <w:rFonts w:hAnsi="宋体"/>
                <w:sz w:val="24"/>
              </w:rPr>
            </w:pPr>
            <w:r>
              <w:rPr>
                <w:rFonts w:hint="eastAsia" w:hAnsi="宋体"/>
                <w:sz w:val="24"/>
              </w:rPr>
              <w:t>《浙江省绿色条例》</w:t>
            </w:r>
          </w:p>
        </w:tc>
        <w:tc>
          <w:tcPr>
            <w:tcW w:w="1702" w:type="dxa"/>
            <w:shd w:val="clear" w:color="auto" w:fill="auto"/>
          </w:tcPr>
          <w:p>
            <w:pPr>
              <w:spacing w:line="360" w:lineRule="auto"/>
              <w:rPr>
                <w:rFonts w:hAnsi="宋体"/>
                <w:sz w:val="24"/>
              </w:rPr>
            </w:pPr>
            <w:r>
              <w:rPr>
                <w:rFonts w:hint="eastAsia" w:hAnsi="宋体"/>
                <w:sz w:val="24"/>
              </w:rPr>
              <w:t>第三十一条</w:t>
            </w:r>
          </w:p>
        </w:tc>
        <w:tc>
          <w:tcPr>
            <w:tcW w:w="3451" w:type="dxa"/>
            <w:shd w:val="clear" w:color="auto" w:fill="auto"/>
          </w:tcPr>
          <w:p>
            <w:pPr>
              <w:autoSpaceDE w:val="0"/>
              <w:autoSpaceDN w:val="0"/>
              <w:adjustRightInd w:val="0"/>
              <w:spacing w:line="360" w:lineRule="auto"/>
              <w:jc w:val="left"/>
              <w:rPr>
                <w:rFonts w:hAnsi="宋体"/>
                <w:sz w:val="24"/>
              </w:rPr>
            </w:pPr>
            <w:r>
              <w:rPr>
                <w:rFonts w:hint="eastAsia" w:hAnsi="宋体"/>
                <w:sz w:val="24"/>
              </w:rPr>
              <w:t>法律、法规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9" w:type="dxa"/>
            <w:vMerge w:val="continue"/>
            <w:shd w:val="clear" w:color="auto" w:fill="auto"/>
            <w:vAlign w:val="center"/>
          </w:tcPr>
          <w:p>
            <w:pPr>
              <w:spacing w:line="360" w:lineRule="auto"/>
              <w:jc w:val="center"/>
              <w:rPr>
                <w:rFonts w:hAnsi="宋体"/>
                <w:sz w:val="24"/>
              </w:rPr>
            </w:pPr>
          </w:p>
        </w:tc>
        <w:tc>
          <w:tcPr>
            <w:tcW w:w="2834" w:type="dxa"/>
            <w:shd w:val="clear" w:color="auto" w:fill="auto"/>
            <w:vAlign w:val="center"/>
          </w:tcPr>
          <w:p>
            <w:pPr>
              <w:spacing w:line="360" w:lineRule="auto"/>
              <w:jc w:val="center"/>
              <w:rPr>
                <w:rFonts w:hAnsi="宋体"/>
                <w:sz w:val="24"/>
              </w:rPr>
            </w:pPr>
            <w:r>
              <w:rPr>
                <w:rFonts w:hint="eastAsia" w:hAnsi="宋体"/>
                <w:sz w:val="24"/>
                <w:lang w:val="en-GB"/>
              </w:rPr>
              <w:t>DB33/1092-2021</w:t>
            </w:r>
          </w:p>
        </w:tc>
        <w:tc>
          <w:tcPr>
            <w:tcW w:w="1702" w:type="dxa"/>
            <w:shd w:val="clear" w:color="auto" w:fill="auto"/>
          </w:tcPr>
          <w:p>
            <w:pPr>
              <w:spacing w:line="360" w:lineRule="auto"/>
              <w:rPr>
                <w:rFonts w:hAnsi="宋体"/>
                <w:sz w:val="24"/>
              </w:rPr>
            </w:pPr>
            <w:r>
              <w:rPr>
                <w:rFonts w:hint="eastAsia" w:hAnsi="宋体"/>
                <w:sz w:val="24"/>
              </w:rPr>
              <w:t>9.1.</w:t>
            </w:r>
            <w:r>
              <w:rPr>
                <w:rFonts w:hAnsi="宋体"/>
                <w:sz w:val="24"/>
              </w:rPr>
              <w:t>4</w:t>
            </w:r>
            <w:r>
              <w:rPr>
                <w:rFonts w:hint="eastAsia" w:hAnsi="宋体"/>
                <w:sz w:val="24"/>
              </w:rPr>
              <w:t>条</w:t>
            </w:r>
          </w:p>
        </w:tc>
        <w:tc>
          <w:tcPr>
            <w:tcW w:w="3451" w:type="dxa"/>
            <w:shd w:val="clear" w:color="auto" w:fill="auto"/>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9" w:type="dxa"/>
            <w:shd w:val="clear" w:color="auto" w:fill="auto"/>
            <w:vAlign w:val="center"/>
          </w:tcPr>
          <w:p>
            <w:pPr>
              <w:spacing w:line="360" w:lineRule="auto"/>
              <w:jc w:val="center"/>
              <w:rPr>
                <w:rFonts w:hAnsi="宋体"/>
                <w:sz w:val="24"/>
              </w:rPr>
            </w:pPr>
            <w:r>
              <w:rPr>
                <w:rFonts w:hint="eastAsia" w:hAnsi="宋体"/>
                <w:sz w:val="24"/>
              </w:rPr>
              <w:t>依据材料</w:t>
            </w:r>
          </w:p>
        </w:tc>
        <w:tc>
          <w:tcPr>
            <w:tcW w:w="7987"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设计人员应根据</w:t>
            </w:r>
            <w:r>
              <w:rPr>
                <w:rFonts w:hAnsi="宋体"/>
                <w:sz w:val="24"/>
              </w:rPr>
              <w:t>项目</w:t>
            </w:r>
            <w:r>
              <w:rPr>
                <w:rFonts w:hint="eastAsia" w:hAnsi="宋体"/>
                <w:sz w:val="24"/>
              </w:rPr>
              <w:t>设计</w:t>
            </w:r>
            <w:r>
              <w:rPr>
                <w:rFonts w:hAnsi="宋体"/>
                <w:sz w:val="24"/>
              </w:rPr>
              <w:t>的</w:t>
            </w:r>
            <w:r>
              <w:rPr>
                <w:rFonts w:hint="eastAsia" w:hAnsi="宋体"/>
                <w:sz w:val="24"/>
              </w:rPr>
              <w:t>负荷计算书（表）、施工图，结合</w:t>
            </w:r>
            <w:r>
              <w:rPr>
                <w:rFonts w:hAnsi="宋体"/>
                <w:sz w:val="24"/>
              </w:rPr>
              <w:t>项目实际，</w:t>
            </w:r>
            <w:r>
              <w:rPr>
                <w:rFonts w:hint="eastAsia" w:hAnsi="宋体"/>
                <w:sz w:val="24"/>
              </w:rPr>
              <w:t>填写</w:t>
            </w:r>
            <w:r>
              <w:rPr>
                <w:rFonts w:hAnsi="宋体"/>
                <w:sz w:val="24"/>
              </w:rPr>
              <w:t>此</w:t>
            </w:r>
            <w:r>
              <w:rPr>
                <w:rFonts w:hint="eastAsia" w:hAnsi="宋体"/>
                <w:sz w:val="24"/>
              </w:rPr>
              <w:t>条</w:t>
            </w:r>
            <w:r>
              <w:rPr>
                <w:rFonts w:hAnsi="宋体"/>
                <w:sz w:val="24"/>
              </w:rPr>
              <w:t>内容</w:t>
            </w:r>
            <w:r>
              <w:rPr>
                <w:rFonts w:hint="eastAsia"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29" w:type="dxa"/>
            <w:shd w:val="clear" w:color="auto" w:fill="auto"/>
            <w:vAlign w:val="center"/>
          </w:tcPr>
          <w:p>
            <w:pPr>
              <w:spacing w:line="360" w:lineRule="auto"/>
              <w:jc w:val="center"/>
              <w:rPr>
                <w:rFonts w:hAnsi="宋体"/>
                <w:sz w:val="24"/>
              </w:rPr>
            </w:pPr>
            <w:r>
              <w:rPr>
                <w:rFonts w:hint="eastAsia" w:hAnsi="宋体"/>
                <w:sz w:val="24"/>
              </w:rPr>
              <w:t>备注</w:t>
            </w:r>
          </w:p>
        </w:tc>
        <w:tc>
          <w:tcPr>
            <w:tcW w:w="7987"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浙江省</w:t>
            </w:r>
            <w:r>
              <w:rPr>
                <w:rFonts w:hAnsi="宋体"/>
                <w:sz w:val="24"/>
              </w:rPr>
              <w:t>《</w:t>
            </w:r>
            <w:r>
              <w:rPr>
                <w:rFonts w:hint="eastAsia" w:hAnsi="宋体"/>
                <w:sz w:val="24"/>
              </w:rPr>
              <w:t>民</w:t>
            </w:r>
            <w:r>
              <w:rPr>
                <w:rFonts w:hAnsi="宋体"/>
                <w:sz w:val="24"/>
              </w:rPr>
              <w:t>用建筑电动汽车充电设施配置与设计规范》</w:t>
            </w:r>
            <w:r>
              <w:rPr>
                <w:rFonts w:hint="eastAsia" w:hAnsi="宋体"/>
                <w:sz w:val="24"/>
              </w:rPr>
              <w:t>DB33/1121对</w:t>
            </w:r>
            <w:r>
              <w:rPr>
                <w:rFonts w:hAnsi="宋体"/>
                <w:sz w:val="24"/>
              </w:rPr>
              <w:t>充电设施</w:t>
            </w:r>
            <w:r>
              <w:rPr>
                <w:rFonts w:hint="eastAsia" w:hAnsi="宋体"/>
                <w:sz w:val="24"/>
              </w:rPr>
              <w:t>供配电系统设计做了具体的要求。</w:t>
            </w:r>
          </w:p>
          <w:p>
            <w:pPr>
              <w:autoSpaceDE w:val="0"/>
              <w:autoSpaceDN w:val="0"/>
              <w:adjustRightInd w:val="0"/>
              <w:spacing w:line="360" w:lineRule="auto"/>
              <w:jc w:val="left"/>
              <w:rPr>
                <w:rFonts w:hAnsi="宋体"/>
                <w:sz w:val="24"/>
              </w:rPr>
            </w:pPr>
            <w:r>
              <w:rPr>
                <w:rFonts w:hint="eastAsia" w:hAnsi="宋体"/>
                <w:sz w:val="24"/>
              </w:rPr>
              <w:t>本条为基本要求，必须满足。</w:t>
            </w:r>
          </w:p>
        </w:tc>
      </w:tr>
    </w:tbl>
    <w:p>
      <w:pPr>
        <w:spacing w:line="360" w:lineRule="auto"/>
        <w:rPr>
          <w:rFonts w:hAnsi="宋体"/>
          <w:bCs/>
          <w:sz w:val="24"/>
        </w:rPr>
      </w:pPr>
    </w:p>
    <w:p>
      <w:pPr>
        <w:spacing w:line="360" w:lineRule="auto"/>
        <w:ind w:left="-1" w:leftChars="-1" w:hanging="1"/>
        <w:rPr>
          <w:rFonts w:hAnsi="宋体"/>
          <w:sz w:val="24"/>
          <w:lang w:val="en-GB"/>
        </w:rPr>
      </w:pPr>
      <w:r>
        <w:rPr>
          <w:rFonts w:hint="eastAsia" w:hAnsi="宋体"/>
          <w:sz w:val="24"/>
          <w:lang w:val="en-GB"/>
        </w:rPr>
        <w:t>4、照明设计满足《建筑照明设计标准》</w:t>
      </w:r>
      <w:r>
        <w:rPr>
          <w:rFonts w:hAnsi="宋体"/>
          <w:sz w:val="24"/>
          <w:lang w:val="en-GB"/>
        </w:rPr>
        <w:t>GB50034规定的照度标准、均匀度、眩光值、显色指数；</w:t>
      </w:r>
    </w:p>
    <w:p>
      <w:pPr>
        <w:spacing w:line="360" w:lineRule="auto"/>
        <w:ind w:left="-2" w:leftChars="-1" w:firstLine="480" w:firstLineChars="200"/>
        <w:rPr>
          <w:rFonts w:hAnsi="宋体"/>
          <w:sz w:val="24"/>
          <w:lang w:val="en-GB"/>
        </w:rPr>
      </w:pPr>
      <w:r>
        <w:rPr>
          <w:rFonts w:hint="eastAsia" w:hAnsi="宋体"/>
          <w:sz w:val="24"/>
          <w:lang w:val="en-GB"/>
        </w:rPr>
        <w:t>各场所的照明功率密度值满足《建筑节能与可再生能源利用通用规范》GB 55015的规定及《建筑照明设计标准》GB 50034规定的现行值；</w:t>
      </w:r>
    </w:p>
    <w:p>
      <w:pPr>
        <w:spacing w:line="360" w:lineRule="auto"/>
        <w:ind w:left="-2" w:leftChars="-1" w:firstLine="480" w:firstLineChars="200"/>
        <w:rPr>
          <w:rFonts w:hAnsi="宋体"/>
          <w:sz w:val="24"/>
          <w:lang w:val="en-GB"/>
        </w:rPr>
      </w:pPr>
      <w:r>
        <w:rPr>
          <w:rFonts w:hint="eastAsia" w:hAnsi="宋体"/>
          <w:sz w:val="24"/>
          <w:lang w:val="en-GB"/>
        </w:rPr>
        <w:t>室内、外照明主要控制方式说明：</w:t>
      </w:r>
    </w:p>
    <w:p>
      <w:pPr>
        <w:spacing w:line="360" w:lineRule="auto"/>
        <w:ind w:left="-2" w:leftChars="-1" w:firstLine="480" w:firstLineChars="200"/>
        <w:rPr>
          <w:rFonts w:hAnsi="宋体"/>
          <w:sz w:val="24"/>
          <w:lang w:val="en-GB"/>
        </w:rPr>
      </w:pPr>
      <w:r>
        <w:rPr>
          <w:rFonts w:hint="eastAsia" w:hAnsi="宋体"/>
          <w:sz w:val="24"/>
          <w:lang w:val="en-GB"/>
        </w:rPr>
        <w:t>人员长期停留的场所采用光生物安全性为“无危险类（RG0）”的照明产品；</w:t>
      </w:r>
    </w:p>
    <w:p>
      <w:pPr>
        <w:tabs>
          <w:tab w:val="left" w:pos="426"/>
        </w:tabs>
        <w:spacing w:line="360" w:lineRule="auto"/>
        <w:ind w:firstLine="480" w:firstLineChars="200"/>
        <w:rPr>
          <w:rFonts w:hAnsi="宋体"/>
          <w:sz w:val="24"/>
          <w:lang w:val="en-GB"/>
        </w:rPr>
      </w:pPr>
      <w:r>
        <w:rPr>
          <w:rFonts w:hint="eastAsia" w:hAnsi="宋体"/>
          <w:sz w:val="24"/>
          <w:lang w:val="en-GB"/>
        </w:rPr>
        <w:t>各场所选用光源和灯具的闪变指数（PstLM）不大于1； 儿童及青少年长时间学习或活动的场所选用光源和灯具的频闪效应可视度（SVM）不大于1.0。</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6"/>
        <w:gridCol w:w="2362"/>
        <w:gridCol w:w="2692"/>
        <w:gridCol w:w="2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shd w:val="clear" w:color="auto" w:fill="auto"/>
            <w:vAlign w:val="center"/>
          </w:tcPr>
          <w:p>
            <w:pPr>
              <w:spacing w:line="360" w:lineRule="auto"/>
              <w:jc w:val="center"/>
              <w:rPr>
                <w:rFonts w:hAnsi="宋体"/>
                <w:sz w:val="24"/>
              </w:rPr>
            </w:pPr>
            <w:r>
              <w:rPr>
                <w:rFonts w:hint="eastAsia" w:hAnsi="宋体"/>
                <w:sz w:val="24"/>
              </w:rPr>
              <w:t>条文来源</w:t>
            </w:r>
          </w:p>
        </w:tc>
        <w:tc>
          <w:tcPr>
            <w:tcW w:w="2362" w:type="dxa"/>
            <w:shd w:val="clear" w:color="auto" w:fill="auto"/>
            <w:vAlign w:val="center"/>
          </w:tcPr>
          <w:p>
            <w:pPr>
              <w:spacing w:line="360" w:lineRule="auto"/>
              <w:jc w:val="center"/>
              <w:rPr>
                <w:rFonts w:hAnsi="宋体"/>
                <w:sz w:val="24"/>
                <w:lang w:val="en-GB"/>
              </w:rPr>
            </w:pPr>
            <w:r>
              <w:rPr>
                <w:rFonts w:hint="eastAsia" w:hAnsi="宋体"/>
                <w:sz w:val="24"/>
                <w:lang w:val="en-GB"/>
              </w:rPr>
              <w:t>DB33/1092-2021</w:t>
            </w:r>
          </w:p>
          <w:p>
            <w:pPr>
              <w:spacing w:line="360" w:lineRule="auto"/>
              <w:jc w:val="center"/>
              <w:rPr>
                <w:rFonts w:hAnsi="宋体"/>
                <w:sz w:val="24"/>
              </w:rPr>
            </w:pPr>
            <w:r>
              <w:rPr>
                <w:rFonts w:hAnsi="宋体"/>
                <w:sz w:val="24"/>
              </w:rPr>
              <w:t>GB 55015-2021</w:t>
            </w:r>
          </w:p>
          <w:p>
            <w:pPr>
              <w:spacing w:line="360" w:lineRule="auto"/>
              <w:jc w:val="center"/>
              <w:rPr>
                <w:rFonts w:hAnsi="宋体"/>
                <w:sz w:val="24"/>
              </w:rPr>
            </w:pPr>
            <w:r>
              <w:rPr>
                <w:rFonts w:hAnsi="宋体"/>
                <w:sz w:val="24"/>
              </w:rPr>
              <w:t>GB 55016-2021</w:t>
            </w:r>
          </w:p>
        </w:tc>
        <w:tc>
          <w:tcPr>
            <w:tcW w:w="2692" w:type="dxa"/>
            <w:shd w:val="clear" w:color="auto" w:fill="auto"/>
            <w:vAlign w:val="center"/>
          </w:tcPr>
          <w:p>
            <w:pPr>
              <w:spacing w:line="360" w:lineRule="auto"/>
              <w:rPr>
                <w:rFonts w:hAnsi="宋体"/>
                <w:sz w:val="24"/>
              </w:rPr>
            </w:pPr>
            <w:r>
              <w:rPr>
                <w:rFonts w:hint="eastAsia" w:hAnsi="宋体"/>
                <w:sz w:val="24"/>
              </w:rPr>
              <w:t>9.1.</w:t>
            </w:r>
            <w:r>
              <w:rPr>
                <w:rFonts w:hAnsi="宋体"/>
                <w:sz w:val="24"/>
              </w:rPr>
              <w:t>5</w:t>
            </w:r>
            <w:r>
              <w:rPr>
                <w:rFonts w:hint="eastAsia" w:hAnsi="宋体"/>
                <w:sz w:val="24"/>
              </w:rPr>
              <w:t>条</w:t>
            </w:r>
          </w:p>
          <w:p>
            <w:pPr>
              <w:spacing w:line="360" w:lineRule="auto"/>
              <w:rPr>
                <w:rFonts w:hAnsi="宋体"/>
                <w:sz w:val="24"/>
              </w:rPr>
            </w:pPr>
            <w:r>
              <w:rPr>
                <w:rFonts w:hint="eastAsia" w:hAnsi="宋体"/>
                <w:sz w:val="24"/>
              </w:rPr>
              <w:t>3.3.7条</w:t>
            </w:r>
          </w:p>
          <w:p>
            <w:pPr>
              <w:spacing w:line="360" w:lineRule="auto"/>
              <w:rPr>
                <w:rFonts w:hAnsi="宋体"/>
                <w:sz w:val="24"/>
              </w:rPr>
            </w:pPr>
            <w:r>
              <w:rPr>
                <w:rFonts w:hint="eastAsia" w:hAnsi="宋体"/>
                <w:sz w:val="24"/>
              </w:rPr>
              <w:t>3.3.6条、3.3.7条</w:t>
            </w:r>
          </w:p>
        </w:tc>
        <w:tc>
          <w:tcPr>
            <w:tcW w:w="2746" w:type="dxa"/>
            <w:shd w:val="clear" w:color="auto" w:fill="auto"/>
            <w:vAlign w:val="center"/>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shd w:val="clear" w:color="auto" w:fill="auto"/>
            <w:vAlign w:val="center"/>
          </w:tcPr>
          <w:p>
            <w:pPr>
              <w:spacing w:line="360" w:lineRule="auto"/>
              <w:jc w:val="center"/>
              <w:rPr>
                <w:rFonts w:hAnsi="宋体"/>
                <w:sz w:val="24"/>
              </w:rPr>
            </w:pPr>
            <w:r>
              <w:rPr>
                <w:rFonts w:hint="eastAsia" w:hAnsi="宋体"/>
                <w:sz w:val="24"/>
              </w:rPr>
              <w:t>依据材料</w:t>
            </w:r>
          </w:p>
        </w:tc>
        <w:tc>
          <w:tcPr>
            <w:tcW w:w="7800" w:type="dxa"/>
            <w:gridSpan w:val="3"/>
            <w:shd w:val="clear" w:color="auto" w:fill="auto"/>
          </w:tcPr>
          <w:p>
            <w:pPr>
              <w:tabs>
                <w:tab w:val="left" w:pos="426"/>
              </w:tabs>
              <w:spacing w:line="360" w:lineRule="auto"/>
              <w:ind w:firstLine="408" w:firstLineChars="170"/>
              <w:outlineLvl w:val="3"/>
              <w:rPr>
                <w:rFonts w:hAnsi="宋体"/>
                <w:sz w:val="24"/>
              </w:rPr>
            </w:pPr>
            <w:r>
              <w:rPr>
                <w:rFonts w:hint="eastAsia" w:hAnsi="宋体"/>
                <w:sz w:val="24"/>
              </w:rPr>
              <w:t>设计人员应根据照明计算书、照明设计施工图，结合</w:t>
            </w:r>
            <w:r>
              <w:rPr>
                <w:rFonts w:hAnsi="宋体"/>
                <w:sz w:val="24"/>
              </w:rPr>
              <w:t>项目实际，</w:t>
            </w:r>
            <w:r>
              <w:rPr>
                <w:rFonts w:hint="eastAsia" w:hAnsi="宋体"/>
                <w:sz w:val="24"/>
              </w:rPr>
              <w:t>填写</w:t>
            </w:r>
            <w:r>
              <w:rPr>
                <w:rFonts w:hAnsi="宋体"/>
                <w:sz w:val="24"/>
              </w:rPr>
              <w:t>此</w:t>
            </w:r>
            <w:r>
              <w:rPr>
                <w:rFonts w:hint="eastAsia" w:hAnsi="宋体"/>
                <w:sz w:val="24"/>
              </w:rPr>
              <w:t>条</w:t>
            </w:r>
            <w:r>
              <w:rPr>
                <w:rFonts w:hAnsi="宋体"/>
                <w:sz w:val="24"/>
              </w:rPr>
              <w:t>内容</w:t>
            </w:r>
            <w:r>
              <w:rPr>
                <w:rFonts w:hint="eastAsia" w:hAnsi="宋体"/>
                <w:sz w:val="24"/>
              </w:rPr>
              <w:t>。</w:t>
            </w:r>
          </w:p>
          <w:p>
            <w:pPr>
              <w:tabs>
                <w:tab w:val="left" w:pos="426"/>
              </w:tabs>
              <w:spacing w:line="360" w:lineRule="auto"/>
              <w:ind w:firstLine="408" w:firstLineChars="170"/>
              <w:outlineLvl w:val="3"/>
              <w:rPr>
                <w:rFonts w:hAnsi="宋体"/>
                <w:sz w:val="24"/>
              </w:rPr>
            </w:pPr>
            <w:r>
              <w:rPr>
                <w:rFonts w:hint="eastAsia" w:hAnsi="宋体"/>
                <w:sz w:val="24"/>
              </w:rPr>
              <w:t>本条为控制项，属于基本要求，必须满足。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shd w:val="clear" w:color="auto" w:fill="auto"/>
            <w:vAlign w:val="center"/>
          </w:tcPr>
          <w:p>
            <w:pPr>
              <w:autoSpaceDE w:val="0"/>
              <w:autoSpaceDN w:val="0"/>
              <w:adjustRightInd w:val="0"/>
              <w:spacing w:line="360" w:lineRule="auto"/>
              <w:jc w:val="left"/>
              <w:rPr>
                <w:rFonts w:hAnsi="宋体"/>
                <w:sz w:val="24"/>
              </w:rPr>
            </w:pPr>
            <w:r>
              <w:rPr>
                <w:rFonts w:hint="eastAsia" w:hAnsi="宋体"/>
                <w:sz w:val="24"/>
              </w:rPr>
              <w:t>备注</w:t>
            </w:r>
          </w:p>
        </w:tc>
        <w:tc>
          <w:tcPr>
            <w:tcW w:w="7800"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节能的前提是不降低照明标准、照明质量。良好的照明有利于提高工作、学习效率，也有利于身心健康。</w:t>
            </w:r>
          </w:p>
          <w:p>
            <w:pPr>
              <w:autoSpaceDE w:val="0"/>
              <w:autoSpaceDN w:val="0"/>
              <w:adjustRightInd w:val="0"/>
              <w:spacing w:line="360" w:lineRule="auto"/>
              <w:ind w:firstLine="480" w:firstLineChars="200"/>
              <w:jc w:val="left"/>
              <w:rPr>
                <w:rFonts w:hAnsi="宋体"/>
                <w:sz w:val="24"/>
              </w:rPr>
            </w:pPr>
            <w:r>
              <w:rPr>
                <w:rFonts w:hint="eastAsia" w:hAnsi="宋体"/>
                <w:sz w:val="24"/>
              </w:rPr>
              <w:t>关于照明功率密度值（LPD）的要求：要求所有区域满足现行值，这是基本要求。</w:t>
            </w:r>
          </w:p>
          <w:p>
            <w:pPr>
              <w:autoSpaceDE w:val="0"/>
              <w:autoSpaceDN w:val="0"/>
              <w:adjustRightInd w:val="0"/>
              <w:spacing w:line="360" w:lineRule="auto"/>
              <w:ind w:firstLine="480" w:firstLineChars="200"/>
              <w:jc w:val="left"/>
              <w:rPr>
                <w:rFonts w:hAnsi="宋体"/>
                <w:sz w:val="24"/>
              </w:rPr>
            </w:pPr>
            <w:r>
              <w:rPr>
                <w:rFonts w:hAnsi="宋体"/>
                <w:sz w:val="24"/>
              </w:rPr>
              <w:t>施工图设计</w:t>
            </w:r>
            <w:r>
              <w:rPr>
                <w:rFonts w:hint="eastAsia" w:hAnsi="宋体"/>
                <w:sz w:val="24"/>
              </w:rPr>
              <w:t>的</w:t>
            </w:r>
            <w:r>
              <w:rPr>
                <w:rFonts w:hAnsi="宋体"/>
                <w:sz w:val="24"/>
              </w:rPr>
              <w:t>照度计算方法有利用系数法、点照度法等等，应按工程特点选择，</w:t>
            </w:r>
            <w:r>
              <w:rPr>
                <w:rFonts w:hint="eastAsia" w:hAnsi="宋体"/>
                <w:sz w:val="24"/>
              </w:rPr>
              <w:t>要求高或复杂的场所也可借助计算机软件计算</w:t>
            </w:r>
            <w:r>
              <w:rPr>
                <w:rFonts w:hAnsi="宋体"/>
                <w:sz w:val="24"/>
              </w:rPr>
              <w:t>。</w:t>
            </w:r>
            <w:r>
              <w:rPr>
                <w:rFonts w:hint="eastAsia" w:hAnsi="宋体"/>
                <w:sz w:val="24"/>
              </w:rPr>
              <w:t>项目星级评定时，应提供照明计算书。</w:t>
            </w:r>
          </w:p>
          <w:p>
            <w:pPr>
              <w:autoSpaceDE w:val="0"/>
              <w:autoSpaceDN w:val="0"/>
              <w:adjustRightInd w:val="0"/>
              <w:spacing w:line="360" w:lineRule="auto"/>
              <w:ind w:firstLine="480" w:firstLineChars="200"/>
              <w:jc w:val="left"/>
              <w:rPr>
                <w:rFonts w:hAnsi="宋体"/>
                <w:sz w:val="24"/>
              </w:rPr>
            </w:pPr>
            <w:r>
              <w:rPr>
                <w:rFonts w:hAnsi="宋体"/>
                <w:sz w:val="24"/>
              </w:rPr>
              <w:t>照明控制</w:t>
            </w:r>
            <w:r>
              <w:rPr>
                <w:rFonts w:hint="eastAsia" w:hAnsi="宋体"/>
                <w:sz w:val="24"/>
              </w:rPr>
              <w:t>方式多种多样</w:t>
            </w:r>
            <w:r>
              <w:rPr>
                <w:rFonts w:hAnsi="宋体"/>
                <w:sz w:val="24"/>
              </w:rPr>
              <w:t>，</w:t>
            </w:r>
            <w:r>
              <w:rPr>
                <w:rFonts w:hint="eastAsia" w:hAnsi="宋体"/>
                <w:sz w:val="24"/>
              </w:rPr>
              <w:t>如分区、分组、定时、感应等等，各有各的适用场合，</w:t>
            </w:r>
            <w:r>
              <w:rPr>
                <w:rFonts w:hAnsi="宋体"/>
                <w:sz w:val="24"/>
              </w:rPr>
              <w:t>应根据具体情况选择恰当</w:t>
            </w:r>
            <w:r>
              <w:rPr>
                <w:rFonts w:hint="eastAsia" w:hAnsi="宋体"/>
                <w:sz w:val="24"/>
              </w:rPr>
              <w:t>的</w:t>
            </w:r>
            <w:r>
              <w:rPr>
                <w:rFonts w:hAnsi="宋体"/>
                <w:sz w:val="24"/>
              </w:rPr>
              <w:t>控制方式。</w:t>
            </w:r>
          </w:p>
          <w:p>
            <w:pPr>
              <w:autoSpaceDE w:val="0"/>
              <w:autoSpaceDN w:val="0"/>
              <w:adjustRightInd w:val="0"/>
              <w:spacing w:line="360" w:lineRule="auto"/>
              <w:ind w:firstLine="480" w:firstLineChars="200"/>
              <w:jc w:val="left"/>
              <w:rPr>
                <w:rFonts w:hAnsi="宋体"/>
                <w:sz w:val="24"/>
              </w:rPr>
            </w:pPr>
            <w:r>
              <w:rPr>
                <w:rFonts w:hAnsi="宋体"/>
                <w:sz w:val="24"/>
              </w:rPr>
              <w:t>为保障健康，人员长期停留场所的照明应选</w:t>
            </w:r>
            <w:r>
              <w:rPr>
                <w:rFonts w:hint="eastAsia" w:hAnsi="宋体"/>
                <w:sz w:val="24"/>
              </w:rPr>
              <w:t>择安全组别为无危险类的产品。</w:t>
            </w:r>
          </w:p>
          <w:p>
            <w:pPr>
              <w:autoSpaceDE w:val="0"/>
              <w:autoSpaceDN w:val="0"/>
              <w:adjustRightInd w:val="0"/>
              <w:spacing w:line="360" w:lineRule="auto"/>
              <w:ind w:firstLine="480" w:firstLineChars="200"/>
              <w:jc w:val="left"/>
              <w:rPr>
                <w:rFonts w:hAnsi="宋体"/>
                <w:sz w:val="24"/>
              </w:rPr>
            </w:pPr>
            <w:r>
              <w:rPr>
                <w:rFonts w:hint="eastAsia" w:hAnsi="宋体"/>
                <w:sz w:val="24"/>
              </w:rPr>
              <w:t>光源和灯具的闪变指数、频闪效应可视度，</w:t>
            </w:r>
            <w:r>
              <w:rPr>
                <w:rFonts w:hAnsi="宋体"/>
                <w:sz w:val="24"/>
              </w:rPr>
              <w:t>用来评价光输出的波动对人的影响。</w:t>
            </w:r>
          </w:p>
          <w:p>
            <w:pPr>
              <w:autoSpaceDE w:val="0"/>
              <w:autoSpaceDN w:val="0"/>
              <w:adjustRightInd w:val="0"/>
              <w:spacing w:line="360" w:lineRule="auto"/>
              <w:ind w:firstLine="480" w:firstLineChars="200"/>
              <w:jc w:val="left"/>
              <w:rPr>
                <w:rFonts w:hAnsi="宋体"/>
                <w:sz w:val="24"/>
              </w:rPr>
            </w:pPr>
            <w:r>
              <w:rPr>
                <w:rFonts w:hint="eastAsia"/>
                <w:sz w:val="24"/>
              </w:rPr>
              <w:t>本条属于基本要求，必须满足。</w:t>
            </w:r>
          </w:p>
        </w:tc>
      </w:tr>
    </w:tbl>
    <w:p>
      <w:pPr>
        <w:spacing w:line="360" w:lineRule="auto"/>
        <w:ind w:left="360" w:hanging="360" w:hangingChars="150"/>
        <w:rPr>
          <w:rFonts w:hAnsi="宋体"/>
          <w:sz w:val="24"/>
          <w:lang w:val="en-GB"/>
        </w:rPr>
      </w:pPr>
    </w:p>
    <w:p>
      <w:pPr>
        <w:spacing w:line="360" w:lineRule="auto"/>
        <w:ind w:left="360" w:hanging="360" w:hangingChars="150"/>
        <w:rPr>
          <w:rFonts w:hAnsi="宋体"/>
          <w:sz w:val="24"/>
          <w:lang w:val="en-GB"/>
        </w:rPr>
      </w:pPr>
      <w:r>
        <w:rPr>
          <w:rFonts w:hint="eastAsia" w:hAnsi="宋体"/>
          <w:sz w:val="24"/>
          <w:lang w:val="en-GB"/>
        </w:rPr>
        <w:t>5、可再生能源发电系统与建筑同步设计，同步实施。</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3"/>
        <w:gridCol w:w="2432"/>
        <w:gridCol w:w="1613"/>
        <w:gridCol w:w="37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vMerge w:val="restart"/>
            <w:shd w:val="clear" w:color="auto" w:fill="auto"/>
            <w:vAlign w:val="center"/>
          </w:tcPr>
          <w:p>
            <w:pPr>
              <w:spacing w:line="360" w:lineRule="auto"/>
              <w:jc w:val="center"/>
              <w:rPr>
                <w:rFonts w:hAnsi="宋体"/>
                <w:sz w:val="24"/>
              </w:rPr>
            </w:pPr>
            <w:r>
              <w:rPr>
                <w:rFonts w:hint="eastAsia" w:hAnsi="宋体"/>
                <w:sz w:val="24"/>
              </w:rPr>
              <w:t>条文来源</w:t>
            </w:r>
          </w:p>
        </w:tc>
        <w:tc>
          <w:tcPr>
            <w:tcW w:w="2432" w:type="dxa"/>
            <w:vMerge w:val="restart"/>
            <w:shd w:val="clear" w:color="auto" w:fill="auto"/>
            <w:vAlign w:val="center"/>
          </w:tcPr>
          <w:p>
            <w:pPr>
              <w:spacing w:line="360" w:lineRule="auto"/>
              <w:rPr>
                <w:rFonts w:hAnsi="宋体"/>
                <w:sz w:val="24"/>
              </w:rPr>
            </w:pPr>
            <w:r>
              <w:rPr>
                <w:rFonts w:hint="eastAsia" w:hAnsi="宋体"/>
                <w:sz w:val="24"/>
                <w:lang w:val="en-GB"/>
              </w:rPr>
              <w:t>DB33/1092-2021</w:t>
            </w:r>
          </w:p>
        </w:tc>
        <w:tc>
          <w:tcPr>
            <w:tcW w:w="1613" w:type="dxa"/>
            <w:shd w:val="clear" w:color="auto" w:fill="auto"/>
            <w:vAlign w:val="center"/>
          </w:tcPr>
          <w:p>
            <w:pPr>
              <w:spacing w:line="360" w:lineRule="auto"/>
              <w:rPr>
                <w:rFonts w:hAnsi="宋体"/>
                <w:sz w:val="24"/>
              </w:rPr>
            </w:pPr>
            <w:r>
              <w:rPr>
                <w:rFonts w:hint="eastAsia" w:hAnsi="宋体"/>
                <w:sz w:val="24"/>
              </w:rPr>
              <w:t>3.0.9条</w:t>
            </w:r>
          </w:p>
        </w:tc>
        <w:tc>
          <w:tcPr>
            <w:tcW w:w="3742" w:type="dxa"/>
            <w:shd w:val="clear" w:color="auto" w:fill="auto"/>
            <w:vAlign w:val="center"/>
          </w:tcPr>
          <w:p>
            <w:pPr>
              <w:spacing w:line="360" w:lineRule="auto"/>
              <w:rPr>
                <w:rFonts w:hAnsi="宋体"/>
                <w:sz w:val="24"/>
              </w:rPr>
            </w:pPr>
            <w:r>
              <w:rPr>
                <w:rFonts w:hint="eastAsia" w:hAnsi="宋体"/>
                <w:sz w:val="24"/>
              </w:rPr>
              <w:t>基本规定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vMerge w:val="continue"/>
            <w:shd w:val="clear" w:color="auto" w:fill="auto"/>
            <w:vAlign w:val="center"/>
          </w:tcPr>
          <w:p>
            <w:pPr>
              <w:spacing w:line="360" w:lineRule="auto"/>
              <w:jc w:val="center"/>
              <w:rPr>
                <w:rFonts w:hAnsi="宋体"/>
                <w:sz w:val="24"/>
              </w:rPr>
            </w:pPr>
          </w:p>
        </w:tc>
        <w:tc>
          <w:tcPr>
            <w:tcW w:w="2432" w:type="dxa"/>
            <w:vMerge w:val="continue"/>
            <w:shd w:val="clear" w:color="auto" w:fill="auto"/>
            <w:vAlign w:val="center"/>
          </w:tcPr>
          <w:p>
            <w:pPr>
              <w:spacing w:line="360" w:lineRule="auto"/>
              <w:rPr>
                <w:rFonts w:hAnsi="宋体"/>
                <w:sz w:val="24"/>
              </w:rPr>
            </w:pPr>
          </w:p>
        </w:tc>
        <w:tc>
          <w:tcPr>
            <w:tcW w:w="1613" w:type="dxa"/>
            <w:shd w:val="clear" w:color="auto" w:fill="auto"/>
            <w:vAlign w:val="center"/>
          </w:tcPr>
          <w:p>
            <w:pPr>
              <w:spacing w:line="360" w:lineRule="auto"/>
              <w:rPr>
                <w:rFonts w:hAnsi="宋体"/>
                <w:sz w:val="24"/>
              </w:rPr>
            </w:pPr>
            <w:r>
              <w:rPr>
                <w:rFonts w:hint="eastAsia" w:hAnsi="宋体"/>
                <w:sz w:val="24"/>
              </w:rPr>
              <w:t>9.1.9条</w:t>
            </w:r>
          </w:p>
        </w:tc>
        <w:tc>
          <w:tcPr>
            <w:tcW w:w="3742" w:type="dxa"/>
            <w:shd w:val="clear" w:color="auto" w:fill="auto"/>
            <w:vAlign w:val="center"/>
          </w:tcPr>
          <w:p>
            <w:pPr>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3" w:type="dxa"/>
            <w:shd w:val="clear" w:color="auto" w:fill="auto"/>
            <w:vAlign w:val="center"/>
          </w:tcPr>
          <w:p>
            <w:pPr>
              <w:spacing w:line="360" w:lineRule="auto"/>
              <w:jc w:val="center"/>
              <w:rPr>
                <w:rFonts w:hAnsi="宋体"/>
                <w:sz w:val="24"/>
              </w:rPr>
            </w:pPr>
            <w:r>
              <w:rPr>
                <w:rFonts w:hint="eastAsia" w:hAnsi="宋体"/>
                <w:sz w:val="24"/>
              </w:rPr>
              <w:t>依据材料</w:t>
            </w:r>
          </w:p>
        </w:tc>
        <w:tc>
          <w:tcPr>
            <w:tcW w:w="7787"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设计人员应根据可再生能源发电系统设计施工图，结合</w:t>
            </w:r>
            <w:r>
              <w:rPr>
                <w:rFonts w:hAnsi="宋体"/>
                <w:sz w:val="24"/>
              </w:rPr>
              <w:t>实际</w:t>
            </w:r>
            <w:r>
              <w:rPr>
                <w:rFonts w:hint="eastAsia" w:hAnsi="宋体"/>
                <w:sz w:val="24"/>
              </w:rPr>
              <w:t>情况</w:t>
            </w:r>
            <w:r>
              <w:rPr>
                <w:rFonts w:hAnsi="宋体"/>
                <w:sz w:val="24"/>
              </w:rPr>
              <w:t>，</w:t>
            </w:r>
            <w:r>
              <w:rPr>
                <w:rFonts w:hint="eastAsia" w:hAnsi="宋体"/>
                <w:sz w:val="24"/>
              </w:rPr>
              <w:t>填写</w:t>
            </w:r>
            <w:r>
              <w:rPr>
                <w:rFonts w:hAnsi="宋体"/>
                <w:sz w:val="24"/>
              </w:rPr>
              <w:t>此</w:t>
            </w:r>
            <w:r>
              <w:rPr>
                <w:rFonts w:hint="eastAsia" w:hAnsi="宋体"/>
                <w:sz w:val="24"/>
              </w:rPr>
              <w:t>条</w:t>
            </w:r>
            <w:r>
              <w:rPr>
                <w:rFonts w:hAnsi="宋体"/>
                <w:sz w:val="24"/>
              </w:rPr>
              <w:t>内容</w:t>
            </w:r>
            <w:r>
              <w:rPr>
                <w:rFonts w:hint="eastAsia" w:hAnsi="宋体"/>
                <w:sz w:val="24"/>
              </w:rPr>
              <w:t>。</w:t>
            </w:r>
          </w:p>
          <w:p>
            <w:pPr>
              <w:autoSpaceDE w:val="0"/>
              <w:autoSpaceDN w:val="0"/>
              <w:adjustRightInd w:val="0"/>
              <w:spacing w:line="360" w:lineRule="auto"/>
              <w:jc w:val="left"/>
              <w:rPr>
                <w:rFonts w:hAnsi="宋体"/>
                <w:sz w:val="24"/>
              </w:rPr>
            </w:pPr>
            <w:r>
              <w:rPr>
                <w:rFonts w:hint="eastAsia" w:hAnsi="宋体"/>
                <w:sz w:val="24"/>
              </w:rPr>
              <w:t>若未设置可再生能源发电系统，则删去此条不再列出。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13" w:type="dxa"/>
            <w:shd w:val="clear" w:color="auto" w:fill="auto"/>
            <w:vAlign w:val="center"/>
          </w:tcPr>
          <w:p>
            <w:pPr>
              <w:autoSpaceDE w:val="0"/>
              <w:autoSpaceDN w:val="0"/>
              <w:adjustRightInd w:val="0"/>
              <w:spacing w:line="360" w:lineRule="auto"/>
              <w:jc w:val="left"/>
              <w:rPr>
                <w:rFonts w:hAnsi="宋体"/>
                <w:sz w:val="24"/>
              </w:rPr>
            </w:pPr>
            <w:r>
              <w:rPr>
                <w:rFonts w:hint="eastAsia" w:hAnsi="宋体"/>
                <w:sz w:val="24"/>
              </w:rPr>
              <w:t>备注</w:t>
            </w:r>
          </w:p>
        </w:tc>
        <w:tc>
          <w:tcPr>
            <w:tcW w:w="7787"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本条属于基本要求，必须满足。</w:t>
            </w:r>
          </w:p>
        </w:tc>
      </w:tr>
    </w:tbl>
    <w:p>
      <w:pPr>
        <w:spacing w:line="360" w:lineRule="auto"/>
        <w:rPr>
          <w:rFonts w:hAnsi="宋体"/>
          <w:sz w:val="24"/>
        </w:rPr>
      </w:pPr>
    </w:p>
    <w:p>
      <w:pPr>
        <w:spacing w:line="360" w:lineRule="auto"/>
        <w:rPr>
          <w:rFonts w:hAnsi="宋体"/>
          <w:sz w:val="24"/>
        </w:rPr>
      </w:pPr>
      <w:r>
        <w:rPr>
          <w:rFonts w:hint="eastAsia" w:hAnsi="宋体"/>
          <w:b/>
          <w:sz w:val="24"/>
        </w:rPr>
        <w:t>一般项内容：</w:t>
      </w:r>
      <w:r>
        <w:rPr>
          <w:rFonts w:hint="eastAsia" w:hAnsi="宋体"/>
          <w:sz w:val="24"/>
        </w:rPr>
        <w:t>本栏各条为</w:t>
      </w:r>
      <w:r>
        <w:rPr>
          <w:rFonts w:hint="eastAsia" w:hAnsi="宋体"/>
          <w:sz w:val="24"/>
          <w:lang w:val="en-GB"/>
        </w:rPr>
        <w:t>DB 33/1092-2021</w:t>
      </w:r>
      <w:r>
        <w:rPr>
          <w:rFonts w:hint="eastAsia" w:hAnsi="宋体"/>
          <w:sz w:val="24"/>
        </w:rPr>
        <w:t>的各星级要求及</w:t>
      </w:r>
      <w:r>
        <w:rPr>
          <w:rFonts w:hint="eastAsia" w:hAnsi="宋体"/>
          <w:sz w:val="24"/>
          <w:lang w:val="en-GB"/>
        </w:rPr>
        <w:t>DB 33/1015-2021的要求</w:t>
      </w:r>
      <w:r>
        <w:rPr>
          <w:rFonts w:hint="eastAsia" w:hAnsi="宋体"/>
          <w:sz w:val="24"/>
        </w:rPr>
        <w:t>，可根据绿色建筑的星级要求、节能要求选择性满足。</w:t>
      </w:r>
    </w:p>
    <w:p>
      <w:pPr>
        <w:spacing w:line="360" w:lineRule="auto"/>
        <w:rPr>
          <w:rFonts w:hAnsi="宋体"/>
          <w:bCs/>
          <w:sz w:val="24"/>
        </w:rPr>
      </w:pPr>
    </w:p>
    <w:p>
      <w:pPr>
        <w:spacing w:line="360" w:lineRule="auto"/>
        <w:rPr>
          <w:rFonts w:hAnsi="宋体"/>
          <w:sz w:val="24"/>
          <w:lang w:val="en-GB"/>
        </w:rPr>
      </w:pPr>
      <w:r>
        <w:rPr>
          <w:rFonts w:hint="eastAsia" w:hAnsi="宋体"/>
          <w:sz w:val="24"/>
          <w:lang w:val="en-GB"/>
        </w:rPr>
        <w:t>1、 各变配电所低压最大供电半径</w:t>
      </w:r>
      <w:r>
        <w:rPr>
          <w:rFonts w:hint="eastAsia" w:hAnsi="宋体"/>
          <w:sz w:val="24"/>
          <w:u w:val="single"/>
          <w:lang w:val="en-GB"/>
        </w:rPr>
        <w:t xml:space="preserve">：      </w:t>
      </w:r>
      <w:r>
        <w:rPr>
          <w:rFonts w:hint="eastAsia" w:hAnsi="宋体"/>
          <w:sz w:val="24"/>
          <w:lang w:val="en-GB"/>
        </w:rPr>
        <w:t>米。</w:t>
      </w:r>
    </w:p>
    <w:p>
      <w:pPr>
        <w:spacing w:line="360" w:lineRule="auto"/>
        <w:rPr>
          <w:rFonts w:hAnsi="宋体"/>
          <w:sz w:val="24"/>
          <w:lang w:val="en-GB"/>
        </w:rPr>
      </w:pPr>
      <w:r>
        <w:rPr>
          <w:rFonts w:hint="eastAsia" w:hAnsi="宋体"/>
          <w:sz w:val="24"/>
          <w:lang w:val="en-GB"/>
        </w:rPr>
        <w:t>（注：低压最大供电半径是指低压侧母线至最末端配电（电控）箱的线路长度）</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6"/>
        <w:gridCol w:w="2718"/>
        <w:gridCol w:w="150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6" w:type="dxa"/>
            <w:vMerge w:val="restart"/>
            <w:shd w:val="clear" w:color="auto" w:fill="auto"/>
            <w:vAlign w:val="center"/>
          </w:tcPr>
          <w:p>
            <w:pPr>
              <w:spacing w:line="360" w:lineRule="auto"/>
              <w:jc w:val="center"/>
              <w:rPr>
                <w:rFonts w:hAnsi="宋体"/>
                <w:sz w:val="24"/>
              </w:rPr>
            </w:pPr>
            <w:r>
              <w:rPr>
                <w:rFonts w:hint="eastAsia" w:hAnsi="宋体"/>
                <w:sz w:val="24"/>
              </w:rPr>
              <w:t>条文来源</w:t>
            </w:r>
          </w:p>
        </w:tc>
        <w:tc>
          <w:tcPr>
            <w:tcW w:w="2718" w:type="dxa"/>
            <w:vMerge w:val="restart"/>
            <w:shd w:val="clear" w:color="auto" w:fill="auto"/>
            <w:vAlign w:val="center"/>
          </w:tcPr>
          <w:p>
            <w:pPr>
              <w:spacing w:line="360" w:lineRule="auto"/>
              <w:jc w:val="center"/>
              <w:rPr>
                <w:rFonts w:hAnsi="宋体"/>
                <w:sz w:val="24"/>
              </w:rPr>
            </w:pPr>
            <w:r>
              <w:rPr>
                <w:rFonts w:hint="eastAsia" w:hAnsi="宋体"/>
                <w:sz w:val="24"/>
                <w:lang w:val="en-GB"/>
              </w:rPr>
              <w:t>DB33/1092-2021</w:t>
            </w:r>
          </w:p>
        </w:tc>
        <w:tc>
          <w:tcPr>
            <w:tcW w:w="1500" w:type="dxa"/>
            <w:shd w:val="clear" w:color="auto" w:fill="auto"/>
          </w:tcPr>
          <w:p>
            <w:pPr>
              <w:spacing w:line="360" w:lineRule="auto"/>
              <w:rPr>
                <w:rFonts w:hAnsi="宋体"/>
                <w:sz w:val="24"/>
              </w:rPr>
            </w:pPr>
            <w:r>
              <w:rPr>
                <w:rFonts w:hint="eastAsia" w:hAnsi="宋体"/>
                <w:sz w:val="24"/>
              </w:rPr>
              <w:t>9.2.1条</w:t>
            </w:r>
          </w:p>
        </w:tc>
        <w:tc>
          <w:tcPr>
            <w:tcW w:w="3563" w:type="dxa"/>
            <w:vMerge w:val="restart"/>
            <w:shd w:val="clear" w:color="auto" w:fill="auto"/>
            <w:vAlign w:val="center"/>
          </w:tcPr>
          <w:p>
            <w:pPr>
              <w:spacing w:line="360" w:lineRule="auto"/>
              <w:jc w:val="center"/>
              <w:rPr>
                <w:rFonts w:hAnsi="宋体"/>
                <w:sz w:val="24"/>
              </w:rPr>
            </w:pPr>
            <w:r>
              <w:rPr>
                <w:rFonts w:hint="eastAsia" w:hAnsi="宋体"/>
                <w:sz w:val="24"/>
              </w:rPr>
              <w:t>一、二、三星级设计要求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6" w:type="dxa"/>
            <w:vMerge w:val="continue"/>
            <w:shd w:val="clear" w:color="auto" w:fill="auto"/>
            <w:vAlign w:val="center"/>
          </w:tcPr>
          <w:p>
            <w:pPr>
              <w:spacing w:line="360" w:lineRule="auto"/>
              <w:jc w:val="center"/>
              <w:rPr>
                <w:rFonts w:hAnsi="宋体"/>
                <w:sz w:val="24"/>
              </w:rPr>
            </w:pPr>
          </w:p>
        </w:tc>
        <w:tc>
          <w:tcPr>
            <w:tcW w:w="2718" w:type="dxa"/>
            <w:vMerge w:val="continue"/>
            <w:shd w:val="clear" w:color="auto" w:fill="auto"/>
            <w:vAlign w:val="center"/>
          </w:tcPr>
          <w:p>
            <w:pPr>
              <w:spacing w:line="360" w:lineRule="auto"/>
              <w:jc w:val="center"/>
              <w:rPr>
                <w:rFonts w:hAnsi="宋体"/>
                <w:sz w:val="24"/>
              </w:rPr>
            </w:pPr>
          </w:p>
        </w:tc>
        <w:tc>
          <w:tcPr>
            <w:tcW w:w="1500" w:type="dxa"/>
            <w:shd w:val="clear" w:color="auto" w:fill="auto"/>
          </w:tcPr>
          <w:p>
            <w:pPr>
              <w:spacing w:line="360" w:lineRule="auto"/>
              <w:rPr>
                <w:rFonts w:hAnsi="宋体"/>
                <w:sz w:val="24"/>
              </w:rPr>
            </w:pPr>
            <w:r>
              <w:rPr>
                <w:rFonts w:hint="eastAsia" w:hAnsi="宋体"/>
                <w:sz w:val="24"/>
              </w:rPr>
              <w:t>9.4.1条</w:t>
            </w:r>
          </w:p>
        </w:tc>
        <w:tc>
          <w:tcPr>
            <w:tcW w:w="3563" w:type="dxa"/>
            <w:vMerge w:val="continue"/>
            <w:shd w:val="clear" w:color="auto" w:fill="auto"/>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06" w:type="dxa"/>
            <w:shd w:val="clear" w:color="auto" w:fill="auto"/>
            <w:vAlign w:val="center"/>
          </w:tcPr>
          <w:p>
            <w:pPr>
              <w:spacing w:line="360" w:lineRule="auto"/>
              <w:jc w:val="center"/>
              <w:rPr>
                <w:rFonts w:hAnsi="宋体"/>
                <w:sz w:val="24"/>
              </w:rPr>
            </w:pPr>
            <w:r>
              <w:rPr>
                <w:rFonts w:hint="eastAsia" w:hAnsi="宋体"/>
                <w:sz w:val="24"/>
              </w:rPr>
              <w:t>依据材料</w:t>
            </w:r>
          </w:p>
        </w:tc>
        <w:tc>
          <w:tcPr>
            <w:tcW w:w="7781"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设计人员应根据</w:t>
            </w:r>
            <w:r>
              <w:rPr>
                <w:rFonts w:hAnsi="宋体"/>
                <w:sz w:val="24"/>
              </w:rPr>
              <w:t>项目</w:t>
            </w:r>
            <w:r>
              <w:rPr>
                <w:rFonts w:hint="eastAsia" w:hAnsi="宋体"/>
                <w:sz w:val="24"/>
              </w:rPr>
              <w:t>施工图，结合</w:t>
            </w:r>
            <w:r>
              <w:rPr>
                <w:rFonts w:hAnsi="宋体"/>
                <w:sz w:val="24"/>
              </w:rPr>
              <w:t>项目实际，</w:t>
            </w:r>
            <w:r>
              <w:rPr>
                <w:rFonts w:hint="eastAsia" w:hAnsi="宋体"/>
                <w:sz w:val="24"/>
              </w:rPr>
              <w:t>填写</w:t>
            </w:r>
            <w:r>
              <w:rPr>
                <w:rFonts w:hAnsi="宋体"/>
                <w:sz w:val="24"/>
              </w:rPr>
              <w:t>此</w:t>
            </w:r>
            <w:r>
              <w:rPr>
                <w:rFonts w:hint="eastAsia" w:hAnsi="宋体"/>
                <w:sz w:val="24"/>
              </w:rPr>
              <w:t>条</w:t>
            </w:r>
            <w:r>
              <w:rPr>
                <w:rFonts w:hAnsi="宋体"/>
                <w:sz w:val="24"/>
              </w:rPr>
              <w:t>内容</w:t>
            </w:r>
            <w:r>
              <w:rPr>
                <w:rFonts w:hint="eastAsia" w:hAnsi="宋体"/>
                <w:sz w:val="24"/>
              </w:rPr>
              <w:t>。</w:t>
            </w:r>
          </w:p>
          <w:p>
            <w:pPr>
              <w:autoSpaceDE w:val="0"/>
              <w:autoSpaceDN w:val="0"/>
              <w:adjustRightInd w:val="0"/>
              <w:spacing w:line="360" w:lineRule="auto"/>
              <w:ind w:firstLine="480" w:firstLineChars="200"/>
              <w:jc w:val="left"/>
              <w:rPr>
                <w:rFonts w:hAnsi="宋体"/>
                <w:sz w:val="24"/>
              </w:rPr>
            </w:pPr>
            <w:r>
              <w:rPr>
                <w:rFonts w:hint="eastAsia" w:hAnsi="宋体"/>
                <w:sz w:val="24"/>
              </w:rPr>
              <w:t>若采用低压供电，仍需填写供电变压器对本项目的供电半径。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06" w:type="dxa"/>
            <w:shd w:val="clear" w:color="auto" w:fill="auto"/>
            <w:vAlign w:val="center"/>
          </w:tcPr>
          <w:p>
            <w:pPr>
              <w:autoSpaceDE w:val="0"/>
              <w:autoSpaceDN w:val="0"/>
              <w:adjustRightInd w:val="0"/>
              <w:spacing w:line="360" w:lineRule="auto"/>
              <w:jc w:val="center"/>
              <w:rPr>
                <w:rFonts w:hAnsi="宋体"/>
                <w:sz w:val="24"/>
              </w:rPr>
            </w:pPr>
            <w:r>
              <w:rPr>
                <w:rFonts w:hint="eastAsia" w:hAnsi="宋体"/>
                <w:sz w:val="24"/>
              </w:rPr>
              <w:t>备注</w:t>
            </w:r>
          </w:p>
        </w:tc>
        <w:tc>
          <w:tcPr>
            <w:tcW w:w="7781"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Ansi="宋体"/>
                <w:sz w:val="24"/>
              </w:rPr>
              <w:t>填写时</w:t>
            </w:r>
            <w:r>
              <w:rPr>
                <w:rFonts w:hint="eastAsia" w:hAnsi="宋体"/>
                <w:sz w:val="24"/>
              </w:rPr>
              <w:t>需注意正确理解、测算供电半径，它是指电气距离，而非空间距离，也即各级配电线路长度之和。对于有多个变电所的项目，应分别填写各变电所的最远供电半径。</w:t>
            </w:r>
          </w:p>
          <w:p>
            <w:pPr>
              <w:autoSpaceDE w:val="0"/>
              <w:autoSpaceDN w:val="0"/>
              <w:adjustRightInd w:val="0"/>
              <w:spacing w:line="360" w:lineRule="auto"/>
              <w:ind w:firstLine="480" w:firstLineChars="200"/>
              <w:jc w:val="left"/>
              <w:rPr>
                <w:rFonts w:hAnsi="宋体"/>
                <w:sz w:val="24"/>
              </w:rPr>
            </w:pPr>
            <w:r>
              <w:rPr>
                <w:rFonts w:hint="eastAsia" w:hAnsi="宋体"/>
                <w:sz w:val="24"/>
              </w:rPr>
              <w:t>减小供电半径可显著减少线缆投资和线路损耗。</w:t>
            </w:r>
          </w:p>
          <w:p>
            <w:pPr>
              <w:autoSpaceDE w:val="0"/>
              <w:autoSpaceDN w:val="0"/>
              <w:adjustRightInd w:val="0"/>
              <w:spacing w:line="360" w:lineRule="auto"/>
              <w:ind w:firstLine="480" w:firstLineChars="200"/>
              <w:jc w:val="left"/>
              <w:rPr>
                <w:rFonts w:hAnsi="宋体"/>
                <w:sz w:val="24"/>
              </w:rPr>
            </w:pPr>
            <w:r>
              <w:rPr>
                <w:rFonts w:hint="eastAsia" w:hAnsi="宋体"/>
                <w:sz w:val="24"/>
              </w:rPr>
              <w:t>标准</w:t>
            </w:r>
            <w:r>
              <w:rPr>
                <w:rFonts w:hint="eastAsia" w:hAnsi="宋体"/>
                <w:sz w:val="24"/>
                <w:lang w:val="en-GB"/>
              </w:rPr>
              <w:t>DB33/1092-2021</w:t>
            </w:r>
            <w:r>
              <w:rPr>
                <w:rFonts w:hint="eastAsia" w:hAnsi="宋体"/>
                <w:sz w:val="24"/>
              </w:rPr>
              <w:t>规定：一星级不宜大于250米，三星级不宜大于150米。</w:t>
            </w:r>
          </w:p>
        </w:tc>
      </w:tr>
    </w:tbl>
    <w:p>
      <w:pPr>
        <w:spacing w:line="360" w:lineRule="auto"/>
        <w:rPr>
          <w:rFonts w:hAnsi="宋体"/>
          <w:sz w:val="24"/>
        </w:rPr>
      </w:pPr>
    </w:p>
    <w:p>
      <w:pPr>
        <w:spacing w:line="360" w:lineRule="auto"/>
        <w:rPr>
          <w:rFonts w:hAnsi="宋体"/>
          <w:sz w:val="24"/>
          <w:lang w:val="en-GB"/>
        </w:rPr>
      </w:pPr>
      <w:r>
        <w:rPr>
          <w:rFonts w:hint="eastAsia" w:hAnsi="宋体"/>
          <w:sz w:val="24"/>
          <w:lang w:val="en-GB"/>
        </w:rPr>
        <w:t>2、</w:t>
      </w:r>
      <w:r>
        <w:rPr>
          <w:rFonts w:hAnsi="宋体"/>
          <w:sz w:val="24"/>
          <w:lang w:val="en-GB"/>
        </w:rPr>
        <w:t>变压器</w:t>
      </w:r>
      <w:r>
        <w:rPr>
          <w:rFonts w:hint="eastAsia" w:hAnsi="宋体"/>
          <w:sz w:val="24"/>
          <w:lang w:val="en-GB"/>
        </w:rPr>
        <w:t>的</w:t>
      </w:r>
      <w:r>
        <w:rPr>
          <w:rFonts w:hAnsi="宋体"/>
          <w:sz w:val="24"/>
          <w:lang w:val="en-GB"/>
        </w:rPr>
        <w:t>能效</w:t>
      </w:r>
      <w:r>
        <w:rPr>
          <w:rFonts w:hint="eastAsia" w:hAnsi="宋体"/>
          <w:sz w:val="24"/>
          <w:lang w:val="en-GB"/>
        </w:rPr>
        <w:t>等级：</w:t>
      </w:r>
      <w:r>
        <w:rPr>
          <w:rFonts w:hint="eastAsia" w:hAnsi="宋体"/>
          <w:sz w:val="24"/>
          <w:u w:val="single"/>
          <w:lang w:val="en-GB"/>
        </w:rPr>
        <w:t xml:space="preserve">    </w:t>
      </w:r>
      <w:r>
        <w:rPr>
          <w:rFonts w:hint="eastAsia" w:hAnsi="宋体"/>
          <w:sz w:val="24"/>
          <w:lang w:val="en-GB"/>
        </w:rPr>
        <w:t>级；变压器的接线组别：</w:t>
      </w:r>
      <w:r>
        <w:rPr>
          <w:rFonts w:hint="eastAsia" w:hAnsi="宋体"/>
          <w:sz w:val="24"/>
          <w:u w:val="single"/>
          <w:lang w:val="en-GB"/>
        </w:rPr>
        <w:t xml:space="preserve">         </w:t>
      </w:r>
      <w:r>
        <w:rPr>
          <w:rFonts w:hint="eastAsia" w:hAnsi="宋体"/>
          <w:sz w:val="24"/>
          <w:lang w:val="en-GB"/>
        </w:rPr>
        <w:t>。</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5"/>
        <w:gridCol w:w="2418"/>
        <w:gridCol w:w="1480"/>
        <w:gridCol w:w="38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jc w:val="center"/>
        </w:trPr>
        <w:tc>
          <w:tcPr>
            <w:tcW w:w="1315" w:type="dxa"/>
            <w:shd w:val="clear" w:color="auto" w:fill="auto"/>
            <w:vAlign w:val="center"/>
          </w:tcPr>
          <w:p>
            <w:pPr>
              <w:pStyle w:val="84"/>
              <w:spacing w:line="360" w:lineRule="auto"/>
              <w:rPr>
                <w:sz w:val="24"/>
              </w:rPr>
            </w:pPr>
            <w:r>
              <w:rPr>
                <w:rFonts w:hint="eastAsia"/>
                <w:sz w:val="24"/>
              </w:rPr>
              <w:t>条文来源</w:t>
            </w:r>
          </w:p>
        </w:tc>
        <w:tc>
          <w:tcPr>
            <w:tcW w:w="2418" w:type="dxa"/>
            <w:shd w:val="clear" w:color="auto" w:fill="auto"/>
            <w:vAlign w:val="center"/>
          </w:tcPr>
          <w:p>
            <w:pPr>
              <w:pStyle w:val="84"/>
              <w:spacing w:line="360" w:lineRule="auto"/>
              <w:rPr>
                <w:sz w:val="24"/>
              </w:rPr>
            </w:pPr>
            <w:r>
              <w:rPr>
                <w:rFonts w:hint="eastAsia"/>
                <w:sz w:val="24"/>
              </w:rPr>
              <w:t>DB33/1092-2021</w:t>
            </w:r>
          </w:p>
        </w:tc>
        <w:tc>
          <w:tcPr>
            <w:tcW w:w="1480" w:type="dxa"/>
            <w:shd w:val="clear" w:color="auto" w:fill="auto"/>
          </w:tcPr>
          <w:p>
            <w:pPr>
              <w:pStyle w:val="84"/>
              <w:spacing w:line="360" w:lineRule="auto"/>
              <w:rPr>
                <w:sz w:val="24"/>
              </w:rPr>
            </w:pPr>
            <w:r>
              <w:rPr>
                <w:rFonts w:hint="eastAsia"/>
                <w:sz w:val="24"/>
              </w:rPr>
              <w:t>9.2.2条、9.3.1条、9</w:t>
            </w:r>
            <w:r>
              <w:rPr>
                <w:sz w:val="24"/>
              </w:rPr>
              <w:t>.4.2</w:t>
            </w:r>
            <w:r>
              <w:rPr>
                <w:rFonts w:hint="eastAsia"/>
                <w:sz w:val="24"/>
              </w:rPr>
              <w:t>条</w:t>
            </w:r>
          </w:p>
        </w:tc>
        <w:tc>
          <w:tcPr>
            <w:tcW w:w="3891" w:type="dxa"/>
            <w:shd w:val="clear" w:color="auto" w:fill="auto"/>
            <w:vAlign w:val="center"/>
          </w:tcPr>
          <w:p>
            <w:pPr>
              <w:pStyle w:val="84"/>
              <w:spacing w:line="360" w:lineRule="auto"/>
              <w:rPr>
                <w:sz w:val="24"/>
              </w:rPr>
            </w:pPr>
            <w:r>
              <w:rPr>
                <w:rFonts w:hint="eastAsia"/>
                <w:sz w:val="24"/>
              </w:rPr>
              <w:t>一星、二星、三星级设计要求。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5" w:type="dxa"/>
            <w:shd w:val="clear" w:color="auto" w:fill="auto"/>
            <w:vAlign w:val="center"/>
          </w:tcPr>
          <w:p>
            <w:pPr>
              <w:pStyle w:val="84"/>
              <w:spacing w:line="360" w:lineRule="auto"/>
              <w:rPr>
                <w:sz w:val="24"/>
              </w:rPr>
            </w:pPr>
            <w:r>
              <w:rPr>
                <w:rFonts w:hint="eastAsia"/>
                <w:sz w:val="24"/>
              </w:rPr>
              <w:t>依据材料</w:t>
            </w:r>
          </w:p>
        </w:tc>
        <w:tc>
          <w:tcPr>
            <w:tcW w:w="7789" w:type="dxa"/>
            <w:gridSpan w:val="3"/>
            <w:shd w:val="clear" w:color="auto" w:fill="auto"/>
          </w:tcPr>
          <w:p>
            <w:pPr>
              <w:pStyle w:val="84"/>
              <w:spacing w:line="360" w:lineRule="auto"/>
              <w:ind w:firstLine="480" w:firstLineChars="200"/>
              <w:jc w:val="left"/>
              <w:rPr>
                <w:sz w:val="24"/>
              </w:rPr>
            </w:pPr>
            <w:r>
              <w:rPr>
                <w:rFonts w:hint="eastAsia"/>
                <w:sz w:val="24"/>
              </w:rPr>
              <w:t>设计人员应根据变电所设计施工图，结合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p>
            <w:pPr>
              <w:autoSpaceDE w:val="0"/>
              <w:autoSpaceDN w:val="0"/>
              <w:adjustRightInd w:val="0"/>
              <w:spacing w:line="360" w:lineRule="auto"/>
              <w:ind w:firstLine="480" w:firstLineChars="200"/>
              <w:jc w:val="left"/>
              <w:rPr>
                <w:rFonts w:hAnsi="宋体"/>
                <w:sz w:val="24"/>
              </w:rPr>
            </w:pPr>
            <w:r>
              <w:rPr>
                <w:rFonts w:hint="eastAsia" w:hAnsi="宋体"/>
                <w:sz w:val="24"/>
              </w:rPr>
              <w:t>选用多种型号变压器时，应分别填写。</w:t>
            </w:r>
          </w:p>
          <w:p>
            <w:pPr>
              <w:pStyle w:val="84"/>
              <w:spacing w:line="360" w:lineRule="auto"/>
              <w:ind w:firstLine="480" w:firstLineChars="200"/>
              <w:jc w:val="left"/>
              <w:rPr>
                <w:sz w:val="24"/>
              </w:rPr>
            </w:pPr>
            <w:r>
              <w:rPr>
                <w:rFonts w:hint="eastAsia" w:hAnsi="宋体"/>
                <w:sz w:val="24"/>
              </w:rPr>
              <w:t>若采用低压供电，本条不填写。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15" w:type="dxa"/>
            <w:shd w:val="clear" w:color="auto" w:fill="auto"/>
            <w:vAlign w:val="center"/>
          </w:tcPr>
          <w:p>
            <w:pPr>
              <w:pStyle w:val="84"/>
              <w:spacing w:line="360" w:lineRule="auto"/>
              <w:rPr>
                <w:sz w:val="24"/>
              </w:rPr>
            </w:pPr>
            <w:r>
              <w:rPr>
                <w:rFonts w:hint="eastAsia"/>
                <w:sz w:val="24"/>
              </w:rPr>
              <w:t>备注</w:t>
            </w:r>
          </w:p>
        </w:tc>
        <w:tc>
          <w:tcPr>
            <w:tcW w:w="7789" w:type="dxa"/>
            <w:gridSpan w:val="3"/>
            <w:shd w:val="clear" w:color="auto" w:fill="auto"/>
          </w:tcPr>
          <w:p>
            <w:pPr>
              <w:pStyle w:val="84"/>
              <w:spacing w:line="360" w:lineRule="auto"/>
              <w:ind w:firstLine="480" w:firstLineChars="200"/>
              <w:jc w:val="left"/>
              <w:rPr>
                <w:sz w:val="24"/>
              </w:rPr>
            </w:pPr>
            <w:r>
              <w:rPr>
                <w:rFonts w:hint="eastAsia"/>
                <w:sz w:val="24"/>
              </w:rPr>
              <w:t>变压器自身的损耗量可观，故加以限制。</w:t>
            </w:r>
          </w:p>
          <w:p>
            <w:pPr>
              <w:pStyle w:val="84"/>
              <w:spacing w:line="360" w:lineRule="auto"/>
              <w:ind w:firstLine="480" w:firstLineChars="200"/>
              <w:jc w:val="left"/>
              <w:rPr>
                <w:sz w:val="24"/>
              </w:rPr>
            </w:pPr>
            <w:r>
              <w:rPr>
                <w:rFonts w:hint="eastAsia"/>
                <w:sz w:val="24"/>
              </w:rPr>
              <w:t>标准DB33/1092-2021规定：一星级要求，</w:t>
            </w:r>
            <w:r>
              <w:rPr>
                <w:sz w:val="24"/>
              </w:rPr>
              <w:t>变压器</w:t>
            </w:r>
            <w:r>
              <w:rPr>
                <w:rFonts w:hint="eastAsia"/>
                <w:sz w:val="24"/>
              </w:rPr>
              <w:t>的</w:t>
            </w:r>
            <w:r>
              <w:rPr>
                <w:sz w:val="24"/>
              </w:rPr>
              <w:t>能效</w:t>
            </w:r>
            <w:r>
              <w:rPr>
                <w:rFonts w:hint="eastAsia"/>
                <w:sz w:val="24"/>
              </w:rPr>
              <w:t>等级</w:t>
            </w:r>
            <w:r>
              <w:rPr>
                <w:sz w:val="24"/>
              </w:rPr>
              <w:t>不应低于现行国家标准《电</w:t>
            </w:r>
            <w:r>
              <w:rPr>
                <w:rFonts w:hint="eastAsia"/>
                <w:sz w:val="24"/>
              </w:rPr>
              <w:t>力</w:t>
            </w:r>
            <w:r>
              <w:rPr>
                <w:sz w:val="24"/>
              </w:rPr>
              <w:t>变压器能效限定值及</w:t>
            </w:r>
            <w:r>
              <w:rPr>
                <w:rFonts w:hint="eastAsia"/>
                <w:sz w:val="24"/>
              </w:rPr>
              <w:t>能效等级</w:t>
            </w:r>
            <w:r>
              <w:rPr>
                <w:sz w:val="24"/>
              </w:rPr>
              <w:t>》GB 20052</w:t>
            </w:r>
            <w:r>
              <w:rPr>
                <w:rFonts w:hint="eastAsia"/>
                <w:sz w:val="24"/>
              </w:rPr>
              <w:t>规定的3级</w:t>
            </w:r>
            <w:r>
              <w:rPr>
                <w:sz w:val="24"/>
              </w:rPr>
              <w:t>；</w:t>
            </w:r>
            <w:r>
              <w:rPr>
                <w:rFonts w:hint="eastAsia"/>
                <w:sz w:val="24"/>
              </w:rPr>
              <w:t>二星级要求不低于2级；三星级要求</w:t>
            </w:r>
            <w:r>
              <w:rPr>
                <w:sz w:val="24"/>
              </w:rPr>
              <w:t>不应低于1</w:t>
            </w:r>
            <w:r>
              <w:rPr>
                <w:rFonts w:hint="eastAsia"/>
                <w:sz w:val="24"/>
              </w:rPr>
              <w:t>级。</w:t>
            </w:r>
          </w:p>
          <w:p>
            <w:pPr>
              <w:pStyle w:val="84"/>
              <w:spacing w:line="360" w:lineRule="auto"/>
              <w:ind w:firstLine="480" w:firstLineChars="200"/>
              <w:jc w:val="left"/>
              <w:rPr>
                <w:sz w:val="24"/>
              </w:rPr>
            </w:pPr>
            <w:r>
              <w:rPr>
                <w:rFonts w:hint="eastAsia"/>
                <w:sz w:val="24"/>
              </w:rPr>
              <w:t>标准DB33/1092-2021规定：一星级要求，</w:t>
            </w:r>
            <w:r>
              <w:rPr>
                <w:sz w:val="24"/>
              </w:rPr>
              <w:t>配电变压器宜选用[D/Yn-11]的接线组别。</w:t>
            </w:r>
            <w:r>
              <w:rPr>
                <w:rFonts w:hint="eastAsia"/>
                <w:sz w:val="24"/>
              </w:rPr>
              <w:t>特殊用途的变压器可选择其他的接线组别。</w:t>
            </w:r>
          </w:p>
        </w:tc>
      </w:tr>
    </w:tbl>
    <w:p>
      <w:pPr>
        <w:spacing w:line="360" w:lineRule="auto"/>
        <w:rPr>
          <w:rFonts w:hAnsi="宋体"/>
          <w:sz w:val="24"/>
        </w:rPr>
      </w:pPr>
    </w:p>
    <w:p>
      <w:pPr>
        <w:spacing w:line="360" w:lineRule="auto"/>
        <w:rPr>
          <w:rFonts w:hAnsi="宋体"/>
          <w:sz w:val="24"/>
          <w:lang w:val="en-GB"/>
        </w:rPr>
      </w:pPr>
      <w:r>
        <w:rPr>
          <w:rFonts w:hint="eastAsia" w:hAnsi="宋体"/>
          <w:sz w:val="24"/>
          <w:lang w:val="en-GB"/>
        </w:rPr>
        <w:t>3、单相负荷经计算选择相位，最大相负荷不超过三相平均负荷的115％，最小不小于85％；</w:t>
      </w:r>
    </w:p>
    <w:p>
      <w:pPr>
        <w:spacing w:line="360" w:lineRule="auto"/>
        <w:rPr>
          <w:rFonts w:hAnsi="宋体"/>
          <w:sz w:val="24"/>
          <w:lang w:val="en-GB"/>
        </w:rPr>
      </w:pPr>
      <w:r>
        <w:rPr>
          <w:rFonts w:hint="eastAsia" w:hAnsi="宋体"/>
          <w:sz w:val="24"/>
          <w:lang w:val="en-GB"/>
        </w:rPr>
        <w:t>避免</w:t>
      </w:r>
      <w:r>
        <w:rPr>
          <w:rFonts w:hAnsi="宋体"/>
          <w:sz w:val="24"/>
          <w:lang w:val="en-GB"/>
        </w:rPr>
        <w:t>同一类型的单相负荷集中</w:t>
      </w:r>
      <w:r>
        <w:rPr>
          <w:rFonts w:hint="eastAsia" w:hAnsi="宋体"/>
          <w:sz w:val="24"/>
          <w:lang w:val="en-GB"/>
        </w:rPr>
        <w:t>设</w:t>
      </w:r>
      <w:r>
        <w:rPr>
          <w:rFonts w:hAnsi="宋体"/>
          <w:sz w:val="24"/>
          <w:lang w:val="en-GB"/>
        </w:rPr>
        <w:t>于同一相上</w:t>
      </w:r>
      <w:r>
        <w:rPr>
          <w:rFonts w:hint="eastAsia" w:hAnsi="宋体"/>
          <w:sz w:val="24"/>
          <w:lang w:val="en-GB"/>
        </w:rPr>
        <w:t>。</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5"/>
        <w:gridCol w:w="2291"/>
        <w:gridCol w:w="1573"/>
        <w:gridCol w:w="4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5" w:type="dxa"/>
            <w:shd w:val="clear" w:color="auto" w:fill="auto"/>
            <w:vAlign w:val="center"/>
          </w:tcPr>
          <w:p>
            <w:pPr>
              <w:pStyle w:val="84"/>
              <w:spacing w:line="360" w:lineRule="auto"/>
              <w:rPr>
                <w:sz w:val="24"/>
              </w:rPr>
            </w:pPr>
            <w:r>
              <w:rPr>
                <w:rFonts w:hint="eastAsia"/>
                <w:sz w:val="24"/>
              </w:rPr>
              <w:t>条文来源</w:t>
            </w:r>
          </w:p>
        </w:tc>
        <w:tc>
          <w:tcPr>
            <w:tcW w:w="2291" w:type="dxa"/>
            <w:shd w:val="clear" w:color="auto" w:fill="auto"/>
            <w:vAlign w:val="center"/>
          </w:tcPr>
          <w:p>
            <w:pPr>
              <w:pStyle w:val="84"/>
              <w:spacing w:line="360" w:lineRule="auto"/>
              <w:jc w:val="left"/>
              <w:rPr>
                <w:sz w:val="24"/>
              </w:rPr>
            </w:pPr>
            <w:r>
              <w:rPr>
                <w:rFonts w:hint="eastAsia"/>
                <w:sz w:val="24"/>
              </w:rPr>
              <w:t>DB33/1092-2021</w:t>
            </w:r>
          </w:p>
        </w:tc>
        <w:tc>
          <w:tcPr>
            <w:tcW w:w="1573" w:type="dxa"/>
            <w:shd w:val="clear" w:color="auto" w:fill="auto"/>
            <w:vAlign w:val="center"/>
          </w:tcPr>
          <w:p>
            <w:pPr>
              <w:pStyle w:val="84"/>
              <w:spacing w:line="360" w:lineRule="auto"/>
              <w:jc w:val="left"/>
              <w:rPr>
                <w:sz w:val="24"/>
              </w:rPr>
            </w:pPr>
            <w:r>
              <w:rPr>
                <w:rFonts w:hint="eastAsia"/>
                <w:sz w:val="24"/>
              </w:rPr>
              <w:t>9.2.3条</w:t>
            </w:r>
          </w:p>
        </w:tc>
        <w:tc>
          <w:tcPr>
            <w:tcW w:w="4074" w:type="dxa"/>
            <w:shd w:val="clear" w:color="auto" w:fill="auto"/>
            <w:vAlign w:val="center"/>
          </w:tcPr>
          <w:p>
            <w:pPr>
              <w:pStyle w:val="84"/>
              <w:spacing w:line="360" w:lineRule="auto"/>
              <w:jc w:val="left"/>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5" w:type="dxa"/>
            <w:shd w:val="clear" w:color="auto" w:fill="auto"/>
            <w:vAlign w:val="center"/>
          </w:tcPr>
          <w:p>
            <w:pPr>
              <w:pStyle w:val="84"/>
              <w:spacing w:line="360" w:lineRule="auto"/>
              <w:rPr>
                <w:sz w:val="24"/>
              </w:rPr>
            </w:pPr>
            <w:r>
              <w:rPr>
                <w:rFonts w:hint="eastAsia"/>
                <w:sz w:val="24"/>
              </w:rPr>
              <w:t>依据材料</w:t>
            </w:r>
          </w:p>
        </w:tc>
        <w:tc>
          <w:tcPr>
            <w:tcW w:w="7938" w:type="dxa"/>
            <w:gridSpan w:val="3"/>
            <w:shd w:val="clear" w:color="auto" w:fill="auto"/>
          </w:tcPr>
          <w:p>
            <w:pPr>
              <w:pStyle w:val="84"/>
              <w:spacing w:line="360" w:lineRule="auto"/>
              <w:jc w:val="left"/>
              <w:rPr>
                <w:sz w:val="24"/>
              </w:rPr>
            </w:pPr>
            <w:r>
              <w:rPr>
                <w:rFonts w:hint="eastAsia"/>
                <w:sz w:val="24"/>
              </w:rPr>
              <w:t>设计人员应根据配电箱系统图，结合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5" w:type="dxa"/>
            <w:shd w:val="clear" w:color="auto" w:fill="auto"/>
            <w:vAlign w:val="center"/>
          </w:tcPr>
          <w:p>
            <w:pPr>
              <w:pStyle w:val="84"/>
              <w:spacing w:line="360" w:lineRule="auto"/>
              <w:rPr>
                <w:sz w:val="24"/>
              </w:rPr>
            </w:pPr>
            <w:r>
              <w:rPr>
                <w:rFonts w:hint="eastAsia"/>
                <w:sz w:val="24"/>
              </w:rPr>
              <w:t>备注</w:t>
            </w:r>
          </w:p>
        </w:tc>
        <w:tc>
          <w:tcPr>
            <w:tcW w:w="7938" w:type="dxa"/>
            <w:gridSpan w:val="3"/>
            <w:shd w:val="clear" w:color="auto" w:fill="auto"/>
          </w:tcPr>
          <w:p>
            <w:pPr>
              <w:pStyle w:val="84"/>
              <w:spacing w:line="360" w:lineRule="auto"/>
              <w:ind w:firstLine="480" w:firstLineChars="200"/>
              <w:jc w:val="left"/>
              <w:rPr>
                <w:sz w:val="24"/>
              </w:rPr>
            </w:pPr>
            <w:r>
              <w:rPr>
                <w:sz w:val="24"/>
              </w:rPr>
              <w:t>三相不平衡会引起中性点漂移，电源电</w:t>
            </w:r>
            <w:r>
              <w:rPr>
                <w:rFonts w:hint="eastAsia"/>
                <w:sz w:val="24"/>
              </w:rPr>
              <w:t>能</w:t>
            </w:r>
            <w:r>
              <w:rPr>
                <w:sz w:val="24"/>
              </w:rPr>
              <w:t>质量下降，线损增大。对三相供电的用户，若照明或其它种类的单一、单相负荷都接在同一相上，平时运行很容易使供电干线甚至变压器</w:t>
            </w:r>
            <w:r>
              <w:rPr>
                <w:rFonts w:hint="eastAsia"/>
                <w:sz w:val="24"/>
              </w:rPr>
              <w:t>产生较大的三</w:t>
            </w:r>
            <w:r>
              <w:rPr>
                <w:sz w:val="24"/>
              </w:rPr>
              <w:t>相不平衡，故应予注意。</w:t>
            </w:r>
          </w:p>
          <w:p>
            <w:pPr>
              <w:pStyle w:val="84"/>
              <w:spacing w:line="360" w:lineRule="auto"/>
              <w:ind w:firstLine="480" w:firstLineChars="200"/>
              <w:jc w:val="left"/>
              <w:rPr>
                <w:sz w:val="24"/>
              </w:rPr>
            </w:pPr>
            <w:r>
              <w:rPr>
                <w:rFonts w:hint="eastAsia" w:hAnsi="宋体"/>
                <w:sz w:val="24"/>
              </w:rPr>
              <w:t>本条为一星级设计要求。</w:t>
            </w:r>
          </w:p>
        </w:tc>
      </w:tr>
    </w:tbl>
    <w:p>
      <w:pPr>
        <w:spacing w:line="360" w:lineRule="auto"/>
        <w:rPr>
          <w:rFonts w:hAnsi="宋体"/>
          <w:sz w:val="24"/>
        </w:rPr>
      </w:pPr>
    </w:p>
    <w:p>
      <w:pPr>
        <w:spacing w:line="360" w:lineRule="auto"/>
        <w:rPr>
          <w:rFonts w:hAnsi="宋体"/>
          <w:sz w:val="24"/>
          <w:lang w:val="en-GB"/>
        </w:rPr>
      </w:pPr>
      <w:r>
        <w:rPr>
          <w:rFonts w:hint="eastAsia" w:hAnsi="宋体"/>
          <w:sz w:val="24"/>
          <w:lang w:val="en-GB"/>
        </w:rPr>
        <w:t>4、采用集中无功补偿</w:t>
      </w:r>
    </w:p>
    <w:p>
      <w:pPr>
        <w:spacing w:line="360" w:lineRule="auto"/>
        <w:rPr>
          <w:rFonts w:hAnsi="宋体"/>
          <w:sz w:val="24"/>
          <w:lang w:val="en-GB"/>
        </w:rPr>
      </w:pPr>
      <w:r>
        <w:rPr>
          <w:rFonts w:hint="eastAsia" w:hAnsi="宋体"/>
          <w:sz w:val="24"/>
          <w:lang w:val="en-GB"/>
        </w:rPr>
        <w:t>设置适当容量的分相无功补偿；</w:t>
      </w:r>
    </w:p>
    <w:p>
      <w:pPr>
        <w:spacing w:line="360" w:lineRule="auto"/>
        <w:rPr>
          <w:rFonts w:hAnsi="宋体"/>
          <w:sz w:val="24"/>
          <w:lang w:val="en-GB"/>
        </w:rPr>
      </w:pPr>
      <w:r>
        <w:rPr>
          <w:rFonts w:hint="eastAsia" w:hAnsi="宋体"/>
          <w:sz w:val="24"/>
          <w:lang w:val="en-GB"/>
        </w:rPr>
        <w:t>设置就地无功补偿。</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0"/>
        <w:gridCol w:w="2572"/>
        <w:gridCol w:w="1570"/>
        <w:gridCol w:w="3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4" w:type="dxa"/>
            <w:shd w:val="clear" w:color="auto" w:fill="auto"/>
            <w:vAlign w:val="center"/>
          </w:tcPr>
          <w:p>
            <w:pPr>
              <w:spacing w:line="360" w:lineRule="auto"/>
              <w:jc w:val="center"/>
              <w:rPr>
                <w:rFonts w:hAnsi="宋体"/>
                <w:sz w:val="24"/>
              </w:rPr>
            </w:pPr>
            <w:r>
              <w:rPr>
                <w:rFonts w:hint="eastAsia" w:hAnsi="宋体"/>
                <w:sz w:val="24"/>
              </w:rPr>
              <w:t>条文来源</w:t>
            </w:r>
          </w:p>
        </w:tc>
        <w:tc>
          <w:tcPr>
            <w:tcW w:w="2575" w:type="dxa"/>
            <w:shd w:val="clear" w:color="auto" w:fill="auto"/>
            <w:vAlign w:val="center"/>
          </w:tcPr>
          <w:p>
            <w:pPr>
              <w:spacing w:line="360" w:lineRule="auto"/>
              <w:jc w:val="center"/>
              <w:rPr>
                <w:rFonts w:hAnsi="宋体"/>
                <w:sz w:val="24"/>
              </w:rPr>
            </w:pPr>
            <w:r>
              <w:rPr>
                <w:rFonts w:hint="eastAsia" w:hAnsi="宋体"/>
                <w:sz w:val="24"/>
                <w:lang w:val="en-GB"/>
              </w:rPr>
              <w:t>DB33/1092-2021</w:t>
            </w:r>
          </w:p>
        </w:tc>
        <w:tc>
          <w:tcPr>
            <w:tcW w:w="1573" w:type="dxa"/>
            <w:shd w:val="clear" w:color="auto" w:fill="auto"/>
            <w:vAlign w:val="center"/>
          </w:tcPr>
          <w:p>
            <w:pPr>
              <w:spacing w:line="360" w:lineRule="auto"/>
              <w:rPr>
                <w:rFonts w:hAnsi="宋体"/>
                <w:sz w:val="24"/>
              </w:rPr>
            </w:pPr>
            <w:r>
              <w:rPr>
                <w:rFonts w:hint="eastAsia" w:hAnsi="宋体"/>
                <w:sz w:val="24"/>
              </w:rPr>
              <w:t>9.2.4条</w:t>
            </w:r>
          </w:p>
        </w:tc>
        <w:tc>
          <w:tcPr>
            <w:tcW w:w="3865" w:type="dxa"/>
            <w:shd w:val="clear" w:color="auto" w:fill="auto"/>
            <w:vAlign w:val="center"/>
          </w:tcPr>
          <w:p>
            <w:pPr>
              <w:autoSpaceDE w:val="0"/>
              <w:autoSpaceDN w:val="0"/>
              <w:adjustRightInd w:val="0"/>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4" w:type="dxa"/>
            <w:shd w:val="clear" w:color="auto" w:fill="auto"/>
            <w:vAlign w:val="center"/>
          </w:tcPr>
          <w:p>
            <w:pPr>
              <w:spacing w:line="360" w:lineRule="auto"/>
              <w:jc w:val="center"/>
              <w:rPr>
                <w:rFonts w:hAnsi="宋体"/>
                <w:sz w:val="24"/>
              </w:rPr>
            </w:pPr>
            <w:r>
              <w:rPr>
                <w:rFonts w:hint="eastAsia" w:hAnsi="宋体"/>
                <w:sz w:val="24"/>
              </w:rPr>
              <w:t>依据材料</w:t>
            </w:r>
          </w:p>
        </w:tc>
        <w:tc>
          <w:tcPr>
            <w:tcW w:w="8013"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设计人员应根据变电所设计施工图、配电箱系统图，结合</w:t>
            </w:r>
            <w:r>
              <w:rPr>
                <w:rFonts w:hAnsi="宋体"/>
                <w:sz w:val="24"/>
              </w:rPr>
              <w:t>项目实际，</w:t>
            </w:r>
            <w:r>
              <w:rPr>
                <w:rFonts w:hint="eastAsia" w:hAnsi="宋体"/>
                <w:sz w:val="24"/>
              </w:rPr>
              <w:t>填写</w:t>
            </w:r>
            <w:r>
              <w:rPr>
                <w:rFonts w:hAnsi="宋体"/>
                <w:sz w:val="24"/>
              </w:rPr>
              <w:t>此</w:t>
            </w:r>
            <w:r>
              <w:rPr>
                <w:rFonts w:hint="eastAsia" w:hAnsi="宋体"/>
                <w:sz w:val="24"/>
              </w:rPr>
              <w:t>条</w:t>
            </w:r>
            <w:r>
              <w:rPr>
                <w:rFonts w:hAnsi="宋体"/>
                <w:sz w:val="24"/>
              </w:rPr>
              <w:t>内容</w:t>
            </w:r>
            <w:r>
              <w:rPr>
                <w:rFonts w:hint="eastAsia" w:hAnsi="宋体"/>
                <w:sz w:val="24"/>
              </w:rPr>
              <w:t>。</w:t>
            </w:r>
          </w:p>
          <w:p>
            <w:pPr>
              <w:autoSpaceDE w:val="0"/>
              <w:autoSpaceDN w:val="0"/>
              <w:adjustRightInd w:val="0"/>
              <w:spacing w:line="360" w:lineRule="auto"/>
              <w:ind w:firstLine="480" w:firstLineChars="200"/>
              <w:jc w:val="left"/>
              <w:rPr>
                <w:rFonts w:hAnsi="宋体"/>
                <w:sz w:val="24"/>
              </w:rPr>
            </w:pPr>
            <w:r>
              <w:rPr>
                <w:rFonts w:hint="eastAsia" w:hAnsi="宋体"/>
                <w:sz w:val="24"/>
              </w:rPr>
              <w:t>本条各项应根据工程的实际情况、合理地选择，避免生搬硬套。例如：专供小区集中冷冻机房的变电所，绝大部分是三相负荷，不需要设分相无功补偿；一些项目并不适合采用就地补偿。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4" w:type="dxa"/>
            <w:shd w:val="clear" w:color="auto" w:fill="auto"/>
            <w:vAlign w:val="center"/>
          </w:tcPr>
          <w:p>
            <w:pPr>
              <w:autoSpaceDE w:val="0"/>
              <w:autoSpaceDN w:val="0"/>
              <w:adjustRightInd w:val="0"/>
              <w:spacing w:line="360" w:lineRule="auto"/>
              <w:jc w:val="left"/>
              <w:rPr>
                <w:rFonts w:hAnsi="宋体"/>
                <w:sz w:val="24"/>
              </w:rPr>
            </w:pPr>
            <w:r>
              <w:rPr>
                <w:rFonts w:hint="eastAsia" w:hAnsi="宋体"/>
                <w:sz w:val="24"/>
              </w:rPr>
              <w:t>备注</w:t>
            </w:r>
          </w:p>
        </w:tc>
        <w:tc>
          <w:tcPr>
            <w:tcW w:w="8013"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无功补偿是提高功率因数、降低线路电流的重要措施之一。</w:t>
            </w:r>
          </w:p>
          <w:p>
            <w:pPr>
              <w:autoSpaceDE w:val="0"/>
              <w:autoSpaceDN w:val="0"/>
              <w:adjustRightInd w:val="0"/>
              <w:spacing w:line="360" w:lineRule="auto"/>
              <w:ind w:firstLine="480" w:firstLineChars="200"/>
              <w:jc w:val="left"/>
              <w:rPr>
                <w:rFonts w:hAnsi="宋体"/>
                <w:sz w:val="24"/>
              </w:rPr>
            </w:pPr>
            <w:r>
              <w:rPr>
                <w:rFonts w:hint="eastAsia" w:hAnsi="宋体"/>
                <w:sz w:val="24"/>
              </w:rPr>
              <w:t>另外，参考《工业与民用供配电设计手册》（第四版）的负荷计算，“当单相负荷容量不大于三相负荷容量的15%时，单相、三相负荷可直接相加”。在这种情况下，在把单相负荷均衡分配到三相后可认为是三相平衡的系统，此时不需要设分相无功补偿。</w:t>
            </w:r>
          </w:p>
          <w:p>
            <w:pPr>
              <w:autoSpaceDE w:val="0"/>
              <w:autoSpaceDN w:val="0"/>
              <w:adjustRightInd w:val="0"/>
              <w:spacing w:line="360" w:lineRule="auto"/>
              <w:ind w:firstLine="480" w:firstLineChars="200"/>
              <w:jc w:val="left"/>
              <w:rPr>
                <w:rFonts w:hAnsi="宋体"/>
                <w:sz w:val="24"/>
              </w:rPr>
            </w:pPr>
            <w:r>
              <w:rPr>
                <w:rFonts w:hint="eastAsia" w:hAnsi="宋体"/>
                <w:sz w:val="24"/>
              </w:rPr>
              <w:t>本条为一星级设计要求。</w:t>
            </w:r>
          </w:p>
        </w:tc>
      </w:tr>
    </w:tbl>
    <w:p>
      <w:pPr>
        <w:spacing w:line="360" w:lineRule="auto"/>
        <w:rPr>
          <w:rFonts w:hAnsi="宋体"/>
          <w:sz w:val="24"/>
        </w:rPr>
      </w:pPr>
    </w:p>
    <w:p>
      <w:pPr>
        <w:spacing w:line="360" w:lineRule="auto"/>
        <w:rPr>
          <w:rFonts w:hAnsi="宋体"/>
          <w:sz w:val="24"/>
          <w:lang w:val="en-GB"/>
        </w:rPr>
      </w:pPr>
      <w:r>
        <w:rPr>
          <w:rFonts w:hint="eastAsia" w:hAnsi="宋体"/>
          <w:sz w:val="24"/>
          <w:lang w:val="en-GB"/>
        </w:rPr>
        <w:t>5、谐波防治：</w:t>
      </w:r>
    </w:p>
    <w:p>
      <w:pPr>
        <w:spacing w:line="360" w:lineRule="auto"/>
        <w:ind w:firstLine="360" w:firstLineChars="150"/>
        <w:rPr>
          <w:rFonts w:hAnsi="宋体"/>
          <w:sz w:val="24"/>
          <w:lang w:val="en-GB"/>
        </w:rPr>
      </w:pPr>
      <w:r>
        <w:rPr>
          <w:rFonts w:hint="eastAsia" w:hAnsi="宋体"/>
          <w:sz w:val="24"/>
          <w:lang w:val="en-GB"/>
        </w:rPr>
        <w:t>（1）</w:t>
      </w:r>
      <w:r>
        <w:rPr>
          <w:rFonts w:hAnsi="宋体"/>
          <w:sz w:val="24"/>
          <w:lang w:val="en-GB"/>
        </w:rPr>
        <w:t>选用用电设备的谐波电流限值满足现行国家标准《电磁兼容限值谐波电流发射限值</w:t>
      </w:r>
      <w:r>
        <w:rPr>
          <w:rFonts w:hint="eastAsia" w:hAnsi="宋体"/>
          <w:sz w:val="24"/>
          <w:lang w:val="en-GB"/>
        </w:rPr>
        <w:t>（设备每相输入电流≤16A）</w:t>
      </w:r>
      <w:r>
        <w:rPr>
          <w:rFonts w:hAnsi="宋体"/>
          <w:sz w:val="24"/>
          <w:lang w:val="en-GB"/>
        </w:rPr>
        <w:t>》GB 17625.1的要求</w:t>
      </w:r>
      <w:r>
        <w:rPr>
          <w:rFonts w:hint="eastAsia" w:hAnsi="宋体"/>
          <w:sz w:val="24"/>
          <w:lang w:val="en-GB"/>
        </w:rPr>
        <w:t>；</w:t>
      </w:r>
    </w:p>
    <w:p>
      <w:pPr>
        <w:spacing w:line="360" w:lineRule="auto"/>
        <w:ind w:firstLine="360" w:firstLineChars="150"/>
        <w:rPr>
          <w:rFonts w:hAnsi="宋体"/>
          <w:sz w:val="24"/>
          <w:lang w:val="en-GB"/>
        </w:rPr>
      </w:pPr>
      <w:r>
        <w:rPr>
          <w:rFonts w:hint="eastAsia" w:hAnsi="宋体"/>
          <w:sz w:val="24"/>
          <w:lang w:val="en-GB"/>
        </w:rPr>
        <w:t>（2）在</w:t>
      </w:r>
      <w:r>
        <w:rPr>
          <w:rFonts w:hAnsi="宋体"/>
          <w:sz w:val="24"/>
          <w:lang w:val="en-GB"/>
        </w:rPr>
        <w:t>变电所对供电系统进行谐波监测</w:t>
      </w:r>
      <w:r>
        <w:rPr>
          <w:rFonts w:hint="eastAsia" w:hAnsi="宋体"/>
          <w:sz w:val="24"/>
          <w:lang w:val="en-GB"/>
        </w:rPr>
        <w:t>；</w:t>
      </w:r>
    </w:p>
    <w:p>
      <w:pPr>
        <w:spacing w:line="360" w:lineRule="auto"/>
        <w:ind w:firstLine="360" w:firstLineChars="150"/>
        <w:rPr>
          <w:rFonts w:hAnsi="宋体"/>
          <w:sz w:val="24"/>
          <w:lang w:val="en-GB"/>
        </w:rPr>
      </w:pPr>
      <w:r>
        <w:rPr>
          <w:rFonts w:hint="eastAsia" w:hAnsi="宋体"/>
          <w:sz w:val="24"/>
          <w:lang w:val="en-GB"/>
        </w:rPr>
        <w:t>（3）</w:t>
      </w:r>
      <w:r>
        <w:rPr>
          <w:rFonts w:hAnsi="宋体"/>
          <w:sz w:val="24"/>
          <w:lang w:val="en-GB"/>
        </w:rPr>
        <w:t>无功补偿电容串接电抗器，防止谐波放大</w:t>
      </w:r>
      <w:r>
        <w:rPr>
          <w:rFonts w:hint="eastAsia" w:hAnsi="宋体"/>
          <w:sz w:val="24"/>
          <w:lang w:val="en-GB"/>
        </w:rPr>
        <w:t>；</w:t>
      </w:r>
    </w:p>
    <w:p>
      <w:pPr>
        <w:spacing w:line="360" w:lineRule="auto"/>
        <w:ind w:firstLine="360" w:firstLineChars="150"/>
        <w:rPr>
          <w:rFonts w:hAnsi="宋体"/>
          <w:sz w:val="24"/>
          <w:lang w:val="en-GB"/>
        </w:rPr>
      </w:pPr>
      <w:r>
        <w:rPr>
          <w:rFonts w:hint="eastAsia" w:hAnsi="宋体"/>
          <w:sz w:val="24"/>
          <w:lang w:val="en-GB"/>
        </w:rPr>
        <w:t>（4）</w:t>
      </w:r>
      <w:r>
        <w:rPr>
          <w:rFonts w:hAnsi="宋体"/>
          <w:sz w:val="24"/>
          <w:lang w:val="en-GB"/>
        </w:rPr>
        <w:t>功率较大、谐波严重的设备，由变电所专线供电</w:t>
      </w:r>
      <w:r>
        <w:rPr>
          <w:rFonts w:hint="eastAsia" w:hAnsi="宋体"/>
          <w:sz w:val="24"/>
          <w:lang w:val="en-GB"/>
        </w:rPr>
        <w:t>；</w:t>
      </w:r>
    </w:p>
    <w:p>
      <w:pPr>
        <w:spacing w:line="360" w:lineRule="auto"/>
        <w:ind w:firstLine="360" w:firstLineChars="150"/>
        <w:rPr>
          <w:rFonts w:hAnsi="宋体"/>
          <w:sz w:val="24"/>
          <w:lang w:val="en-GB"/>
        </w:rPr>
      </w:pPr>
      <w:r>
        <w:rPr>
          <w:rFonts w:hint="eastAsia" w:hAnsi="宋体"/>
          <w:sz w:val="24"/>
          <w:lang w:val="en-GB"/>
        </w:rPr>
        <w:t>（5）</w:t>
      </w:r>
      <w:r>
        <w:rPr>
          <w:rFonts w:hAnsi="宋体"/>
          <w:sz w:val="24"/>
          <w:lang w:val="en-GB"/>
        </w:rPr>
        <w:t>在变电所设置无/有源滤波器，或预留柜位，待系统正式运行</w:t>
      </w:r>
      <w:r>
        <w:rPr>
          <w:rFonts w:hint="eastAsia" w:hAnsi="宋体"/>
          <w:sz w:val="24"/>
          <w:lang w:val="en-GB"/>
        </w:rPr>
        <w:t>、对谐波</w:t>
      </w:r>
      <w:r>
        <w:rPr>
          <w:rFonts w:hAnsi="宋体"/>
          <w:sz w:val="24"/>
          <w:lang w:val="en-GB"/>
        </w:rPr>
        <w:t>实测</w:t>
      </w:r>
      <w:r>
        <w:rPr>
          <w:rFonts w:hint="eastAsia" w:hAnsi="宋体"/>
          <w:sz w:val="24"/>
          <w:lang w:val="en-GB"/>
        </w:rPr>
        <w:t>后</w:t>
      </w:r>
      <w:r>
        <w:rPr>
          <w:rFonts w:hAnsi="宋体"/>
          <w:sz w:val="24"/>
          <w:lang w:val="en-GB"/>
        </w:rPr>
        <w:t>确定型号规格</w:t>
      </w:r>
      <w:r>
        <w:rPr>
          <w:rFonts w:hint="eastAsia" w:hAnsi="宋体"/>
          <w:sz w:val="24"/>
          <w:lang w:val="en-GB"/>
        </w:rPr>
        <w:t>；</w:t>
      </w:r>
    </w:p>
    <w:p>
      <w:pPr>
        <w:spacing w:line="360" w:lineRule="auto"/>
        <w:ind w:firstLine="360" w:firstLineChars="150"/>
        <w:rPr>
          <w:rFonts w:hAnsi="宋体"/>
          <w:sz w:val="24"/>
          <w:lang w:val="en-GB"/>
        </w:rPr>
      </w:pPr>
      <w:r>
        <w:rPr>
          <w:rFonts w:hint="eastAsia" w:hAnsi="宋体"/>
          <w:sz w:val="24"/>
          <w:lang w:val="en-GB"/>
        </w:rPr>
        <w:t>（6）</w:t>
      </w:r>
      <w:r>
        <w:rPr>
          <w:rFonts w:hAnsi="宋体"/>
          <w:sz w:val="24"/>
          <w:lang w:val="en-GB"/>
        </w:rPr>
        <w:t>选用用电设备的谐波电流限值满足现行国家标准《电磁兼容限值对额定电流大于16A的设备在低压供电系统中产生的谐波电流的限制》GB/Z 17625.6</w:t>
      </w:r>
      <w:r>
        <w:rPr>
          <w:rFonts w:hint="eastAsia" w:hAnsi="宋体"/>
          <w:sz w:val="24"/>
          <w:lang w:val="en-GB"/>
        </w:rPr>
        <w:t>；</w:t>
      </w:r>
    </w:p>
    <w:p>
      <w:pPr>
        <w:spacing w:line="360" w:lineRule="auto"/>
        <w:ind w:firstLine="360" w:firstLineChars="150"/>
        <w:rPr>
          <w:rFonts w:hAnsi="宋体"/>
          <w:sz w:val="24"/>
          <w:lang w:val="en-GB"/>
        </w:rPr>
      </w:pPr>
      <w:r>
        <w:rPr>
          <w:rFonts w:hint="eastAsia" w:hAnsi="宋体"/>
          <w:sz w:val="24"/>
          <w:lang w:val="en-GB"/>
        </w:rPr>
        <w:t>（7）</w:t>
      </w:r>
      <w:r>
        <w:rPr>
          <w:rFonts w:hAnsi="宋体"/>
          <w:sz w:val="24"/>
          <w:lang w:val="en-GB"/>
        </w:rPr>
        <w:t>谐波源较大</w:t>
      </w:r>
      <w:r>
        <w:rPr>
          <w:rFonts w:hint="eastAsia" w:hAnsi="宋体"/>
          <w:sz w:val="24"/>
          <w:lang w:val="en-GB"/>
        </w:rPr>
        <w:t>的</w:t>
      </w:r>
      <w:r>
        <w:rPr>
          <w:rFonts w:hAnsi="宋体"/>
          <w:sz w:val="24"/>
          <w:lang w:val="en-GB"/>
        </w:rPr>
        <w:t>设备，就地设置谐波抑制装置；</w:t>
      </w:r>
    </w:p>
    <w:p>
      <w:pPr>
        <w:spacing w:line="360" w:lineRule="auto"/>
        <w:ind w:firstLine="360" w:firstLineChars="150"/>
        <w:rPr>
          <w:rFonts w:hAnsi="宋体"/>
          <w:sz w:val="24"/>
          <w:lang w:val="en-GB"/>
        </w:rPr>
      </w:pPr>
      <w:r>
        <w:rPr>
          <w:rFonts w:hint="eastAsia" w:hAnsi="宋体"/>
          <w:sz w:val="24"/>
          <w:lang w:val="en-GB"/>
        </w:rPr>
        <w:t xml:space="preserve">其它谐波防治措施简述：         </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4"/>
        <w:gridCol w:w="2504"/>
        <w:gridCol w:w="1573"/>
        <w:gridCol w:w="3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vMerge w:val="restart"/>
            <w:shd w:val="clear" w:color="auto" w:fill="auto"/>
            <w:vAlign w:val="center"/>
          </w:tcPr>
          <w:p>
            <w:pPr>
              <w:widowControl/>
              <w:spacing w:line="360" w:lineRule="auto"/>
              <w:rPr>
                <w:sz w:val="24"/>
              </w:rPr>
            </w:pPr>
            <w:r>
              <w:rPr>
                <w:rFonts w:hint="eastAsia"/>
                <w:sz w:val="24"/>
              </w:rPr>
              <w:t>条文来源</w:t>
            </w:r>
          </w:p>
        </w:tc>
        <w:tc>
          <w:tcPr>
            <w:tcW w:w="2504" w:type="dxa"/>
            <w:vMerge w:val="restart"/>
            <w:shd w:val="clear" w:color="auto" w:fill="auto"/>
            <w:vAlign w:val="center"/>
          </w:tcPr>
          <w:p>
            <w:pPr>
              <w:widowControl/>
              <w:spacing w:line="360" w:lineRule="auto"/>
              <w:rPr>
                <w:sz w:val="24"/>
              </w:rPr>
            </w:pPr>
            <w:r>
              <w:rPr>
                <w:rFonts w:hint="eastAsia"/>
                <w:sz w:val="24"/>
              </w:rPr>
              <w:t>DB33/1092-2021</w:t>
            </w:r>
          </w:p>
        </w:tc>
        <w:tc>
          <w:tcPr>
            <w:tcW w:w="1573" w:type="dxa"/>
            <w:shd w:val="clear" w:color="auto" w:fill="auto"/>
          </w:tcPr>
          <w:p>
            <w:pPr>
              <w:widowControl/>
              <w:spacing w:line="360" w:lineRule="auto"/>
              <w:rPr>
                <w:sz w:val="24"/>
              </w:rPr>
            </w:pPr>
            <w:r>
              <w:rPr>
                <w:rFonts w:hint="eastAsia"/>
                <w:sz w:val="24"/>
              </w:rPr>
              <w:t>9.2.5条</w:t>
            </w:r>
          </w:p>
        </w:tc>
        <w:tc>
          <w:tcPr>
            <w:tcW w:w="3865" w:type="dxa"/>
            <w:shd w:val="clear" w:color="auto" w:fill="auto"/>
          </w:tcPr>
          <w:p>
            <w:pPr>
              <w:widowControl/>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vMerge w:val="continue"/>
            <w:shd w:val="clear" w:color="auto" w:fill="auto"/>
            <w:vAlign w:val="center"/>
          </w:tcPr>
          <w:p>
            <w:pPr>
              <w:widowControl/>
              <w:spacing w:line="360" w:lineRule="auto"/>
              <w:rPr>
                <w:sz w:val="24"/>
              </w:rPr>
            </w:pPr>
          </w:p>
        </w:tc>
        <w:tc>
          <w:tcPr>
            <w:tcW w:w="2504" w:type="dxa"/>
            <w:vMerge w:val="continue"/>
            <w:shd w:val="clear" w:color="auto" w:fill="auto"/>
          </w:tcPr>
          <w:p>
            <w:pPr>
              <w:widowControl/>
              <w:spacing w:line="360" w:lineRule="auto"/>
              <w:rPr>
                <w:sz w:val="24"/>
              </w:rPr>
            </w:pPr>
          </w:p>
        </w:tc>
        <w:tc>
          <w:tcPr>
            <w:tcW w:w="1573" w:type="dxa"/>
            <w:shd w:val="clear" w:color="auto" w:fill="auto"/>
          </w:tcPr>
          <w:p>
            <w:pPr>
              <w:widowControl/>
              <w:spacing w:line="360" w:lineRule="auto"/>
              <w:rPr>
                <w:sz w:val="24"/>
              </w:rPr>
            </w:pPr>
            <w:r>
              <w:rPr>
                <w:rFonts w:hint="eastAsia"/>
                <w:sz w:val="24"/>
              </w:rPr>
              <w:t>9.3.2条</w:t>
            </w:r>
          </w:p>
        </w:tc>
        <w:tc>
          <w:tcPr>
            <w:tcW w:w="3865" w:type="dxa"/>
            <w:shd w:val="clear" w:color="auto" w:fill="auto"/>
          </w:tcPr>
          <w:p>
            <w:pPr>
              <w:widowControl/>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vMerge w:val="continue"/>
            <w:shd w:val="clear" w:color="auto" w:fill="auto"/>
            <w:vAlign w:val="center"/>
          </w:tcPr>
          <w:p>
            <w:pPr>
              <w:widowControl/>
              <w:spacing w:line="360" w:lineRule="auto"/>
              <w:rPr>
                <w:sz w:val="24"/>
              </w:rPr>
            </w:pPr>
          </w:p>
        </w:tc>
        <w:tc>
          <w:tcPr>
            <w:tcW w:w="2504" w:type="dxa"/>
            <w:vMerge w:val="continue"/>
            <w:shd w:val="clear" w:color="auto" w:fill="auto"/>
          </w:tcPr>
          <w:p>
            <w:pPr>
              <w:widowControl/>
              <w:spacing w:line="360" w:lineRule="auto"/>
              <w:rPr>
                <w:sz w:val="24"/>
              </w:rPr>
            </w:pPr>
          </w:p>
        </w:tc>
        <w:tc>
          <w:tcPr>
            <w:tcW w:w="1573" w:type="dxa"/>
            <w:shd w:val="clear" w:color="auto" w:fill="auto"/>
          </w:tcPr>
          <w:p>
            <w:pPr>
              <w:widowControl/>
              <w:spacing w:line="360" w:lineRule="auto"/>
              <w:rPr>
                <w:sz w:val="24"/>
              </w:rPr>
            </w:pPr>
            <w:r>
              <w:rPr>
                <w:rFonts w:hint="eastAsia"/>
                <w:sz w:val="24"/>
              </w:rPr>
              <w:t>9.4.</w:t>
            </w:r>
            <w:r>
              <w:rPr>
                <w:sz w:val="24"/>
              </w:rPr>
              <w:t>3</w:t>
            </w:r>
            <w:r>
              <w:rPr>
                <w:rFonts w:hint="eastAsia"/>
                <w:sz w:val="24"/>
              </w:rPr>
              <w:t>条</w:t>
            </w:r>
          </w:p>
        </w:tc>
        <w:tc>
          <w:tcPr>
            <w:tcW w:w="3865" w:type="dxa"/>
            <w:shd w:val="clear" w:color="auto" w:fill="auto"/>
          </w:tcPr>
          <w:p>
            <w:pPr>
              <w:widowControl/>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84" w:type="dxa"/>
            <w:shd w:val="clear" w:color="auto" w:fill="auto"/>
            <w:vAlign w:val="center"/>
          </w:tcPr>
          <w:p>
            <w:pPr>
              <w:widowControl/>
              <w:spacing w:line="360" w:lineRule="auto"/>
              <w:rPr>
                <w:sz w:val="24"/>
              </w:rPr>
            </w:pPr>
            <w:r>
              <w:rPr>
                <w:rFonts w:hint="eastAsia"/>
                <w:sz w:val="24"/>
              </w:rPr>
              <w:t>依据材料</w:t>
            </w:r>
          </w:p>
        </w:tc>
        <w:tc>
          <w:tcPr>
            <w:tcW w:w="7942" w:type="dxa"/>
            <w:gridSpan w:val="3"/>
            <w:shd w:val="clear" w:color="auto" w:fill="auto"/>
          </w:tcPr>
          <w:p>
            <w:pPr>
              <w:widowControl/>
              <w:spacing w:line="360" w:lineRule="auto"/>
              <w:ind w:firstLine="480" w:firstLineChars="200"/>
              <w:rPr>
                <w:sz w:val="24"/>
              </w:rPr>
            </w:pPr>
            <w:r>
              <w:rPr>
                <w:rFonts w:hint="eastAsia"/>
                <w:sz w:val="24"/>
              </w:rPr>
              <w:t>设计人员应根据变配电所设计施工图、配电箱系统图，结合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p>
            <w:pPr>
              <w:widowControl/>
              <w:spacing w:line="360" w:lineRule="auto"/>
              <w:ind w:firstLine="480" w:firstLineChars="200"/>
              <w:rPr>
                <w:sz w:val="24"/>
              </w:rPr>
            </w:pPr>
            <w:r>
              <w:rPr>
                <w:rFonts w:hint="eastAsia"/>
                <w:sz w:val="24"/>
              </w:rPr>
              <w:t>第一、二、三项为一星级设计要求，第四、五项为二星级设计要求，第六、七项为三星级设计要求。</w:t>
            </w:r>
          </w:p>
          <w:p>
            <w:pPr>
              <w:widowControl/>
              <w:spacing w:line="360" w:lineRule="auto"/>
              <w:ind w:firstLine="480" w:firstLineChars="200"/>
              <w:rPr>
                <w:sz w:val="24"/>
              </w:rPr>
            </w:pPr>
            <w:r>
              <w:rPr>
                <w:rFonts w:hint="eastAsia"/>
                <w:sz w:val="24"/>
              </w:rPr>
              <w:t>各项谐波防治措施均应根据工程的实际情况合理地选择，避免生搬硬套。例如第（2）项：对采用低压供电、不设变电所的项目，勾选“未涉及”；第（4）项：若项目存在类这类设备且设计满足要求时勾选“是”，不满足时勾选“否”，若并不存在这类设备则勾选“未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shd w:val="clear" w:color="auto" w:fill="auto"/>
            <w:vAlign w:val="center"/>
          </w:tcPr>
          <w:p>
            <w:pPr>
              <w:widowControl/>
              <w:spacing w:line="360" w:lineRule="auto"/>
              <w:rPr>
                <w:sz w:val="24"/>
              </w:rPr>
            </w:pPr>
            <w:r>
              <w:rPr>
                <w:rFonts w:hint="eastAsia"/>
                <w:sz w:val="24"/>
              </w:rPr>
              <w:t>备注</w:t>
            </w:r>
          </w:p>
        </w:tc>
        <w:tc>
          <w:tcPr>
            <w:tcW w:w="7942" w:type="dxa"/>
            <w:gridSpan w:val="3"/>
            <w:shd w:val="clear" w:color="auto" w:fill="auto"/>
          </w:tcPr>
          <w:p>
            <w:pPr>
              <w:widowControl/>
              <w:spacing w:line="360" w:lineRule="auto"/>
              <w:ind w:firstLine="480" w:firstLineChars="200"/>
              <w:rPr>
                <w:sz w:val="24"/>
              </w:rPr>
            </w:pPr>
            <w:r>
              <w:rPr>
                <w:sz w:val="24"/>
              </w:rPr>
              <w:t>高次谐波是电气系统</w:t>
            </w:r>
            <w:r>
              <w:rPr>
                <w:rFonts w:hint="eastAsia"/>
                <w:sz w:val="24"/>
              </w:rPr>
              <w:t>中</w:t>
            </w:r>
            <w:r>
              <w:rPr>
                <w:sz w:val="24"/>
              </w:rPr>
              <w:t>的污染，</w:t>
            </w:r>
            <w:r>
              <w:rPr>
                <w:rFonts w:hint="eastAsia"/>
                <w:sz w:val="24"/>
              </w:rPr>
              <w:t>降低电能质量</w:t>
            </w:r>
            <w:r>
              <w:rPr>
                <w:sz w:val="24"/>
              </w:rPr>
              <w:t>和损害电气设备，必须防治。</w:t>
            </w:r>
          </w:p>
          <w:p>
            <w:pPr>
              <w:widowControl/>
              <w:spacing w:line="360" w:lineRule="auto"/>
              <w:ind w:firstLine="480" w:firstLineChars="200"/>
              <w:rPr>
                <w:sz w:val="24"/>
              </w:rPr>
            </w:pPr>
            <w:r>
              <w:rPr>
                <w:rFonts w:hint="eastAsia"/>
                <w:sz w:val="24"/>
              </w:rPr>
              <w:t>一星级应满足第一~三项的要求，二星级应满足第一~五项，三星级应满足第一~七项，若采取了其他的措施则做简要的说明。</w:t>
            </w:r>
          </w:p>
        </w:tc>
      </w:tr>
    </w:tbl>
    <w:p>
      <w:pPr>
        <w:spacing w:line="360" w:lineRule="auto"/>
        <w:rPr>
          <w:rFonts w:hAnsi="宋体"/>
          <w:sz w:val="24"/>
        </w:rPr>
      </w:pPr>
    </w:p>
    <w:p>
      <w:pPr>
        <w:spacing w:line="360" w:lineRule="auto"/>
        <w:rPr>
          <w:rFonts w:hAnsi="宋体"/>
          <w:sz w:val="24"/>
          <w:lang w:val="en-GB"/>
        </w:rPr>
      </w:pPr>
      <w:r>
        <w:rPr>
          <w:rFonts w:hAnsi="宋体"/>
          <w:sz w:val="24"/>
          <w:lang w:val="en-GB"/>
        </w:rPr>
        <w:t>6、电气系统导体材料：</w:t>
      </w:r>
      <w:r>
        <w:rPr>
          <w:rFonts w:hAnsi="宋体"/>
          <w:sz w:val="24"/>
          <w:u w:val="single"/>
          <w:lang w:val="en-GB"/>
        </w:rPr>
        <w:t xml:space="preserve">   </w:t>
      </w:r>
      <w:r>
        <w:rPr>
          <w:rFonts w:hint="eastAsia" w:hAnsi="宋体"/>
          <w:sz w:val="24"/>
          <w:lang w:val="en-GB"/>
        </w:rPr>
        <w:t>；采用低烟或无烟、低毒或无毒的阻燃型或不燃性线缆。</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4"/>
        <w:gridCol w:w="2504"/>
        <w:gridCol w:w="1573"/>
        <w:gridCol w:w="3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shd w:val="clear" w:color="auto" w:fill="auto"/>
            <w:vAlign w:val="center"/>
          </w:tcPr>
          <w:p>
            <w:pPr>
              <w:widowControl/>
              <w:spacing w:line="360" w:lineRule="auto"/>
              <w:rPr>
                <w:sz w:val="24"/>
              </w:rPr>
            </w:pPr>
            <w:r>
              <w:rPr>
                <w:rFonts w:hint="eastAsia"/>
                <w:sz w:val="24"/>
              </w:rPr>
              <w:t>条文来源</w:t>
            </w:r>
          </w:p>
        </w:tc>
        <w:tc>
          <w:tcPr>
            <w:tcW w:w="2504" w:type="dxa"/>
            <w:shd w:val="clear" w:color="auto" w:fill="auto"/>
            <w:vAlign w:val="center"/>
          </w:tcPr>
          <w:p>
            <w:pPr>
              <w:widowControl/>
              <w:spacing w:line="360" w:lineRule="auto"/>
              <w:rPr>
                <w:sz w:val="24"/>
              </w:rPr>
            </w:pPr>
            <w:r>
              <w:rPr>
                <w:rFonts w:hint="eastAsia"/>
                <w:sz w:val="24"/>
              </w:rPr>
              <w:t>DB33/1092-2021</w:t>
            </w:r>
          </w:p>
        </w:tc>
        <w:tc>
          <w:tcPr>
            <w:tcW w:w="1573" w:type="dxa"/>
            <w:shd w:val="clear" w:color="auto" w:fill="auto"/>
            <w:vAlign w:val="center"/>
          </w:tcPr>
          <w:p>
            <w:pPr>
              <w:widowControl/>
              <w:spacing w:line="360" w:lineRule="auto"/>
              <w:rPr>
                <w:sz w:val="24"/>
              </w:rPr>
            </w:pPr>
            <w:r>
              <w:rPr>
                <w:rFonts w:hint="eastAsia"/>
                <w:sz w:val="24"/>
              </w:rPr>
              <w:t>9.3.3条</w:t>
            </w:r>
          </w:p>
        </w:tc>
        <w:tc>
          <w:tcPr>
            <w:tcW w:w="3865" w:type="dxa"/>
            <w:shd w:val="clear" w:color="auto" w:fill="auto"/>
            <w:vAlign w:val="center"/>
          </w:tcPr>
          <w:p>
            <w:pPr>
              <w:widowControl/>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shd w:val="clear" w:color="auto" w:fill="auto"/>
            <w:vAlign w:val="center"/>
          </w:tcPr>
          <w:p>
            <w:pPr>
              <w:widowControl/>
              <w:spacing w:line="360" w:lineRule="auto"/>
              <w:rPr>
                <w:sz w:val="24"/>
              </w:rPr>
            </w:pPr>
            <w:r>
              <w:rPr>
                <w:rFonts w:hint="eastAsia"/>
                <w:sz w:val="24"/>
              </w:rPr>
              <w:t>依据材料</w:t>
            </w:r>
          </w:p>
        </w:tc>
        <w:tc>
          <w:tcPr>
            <w:tcW w:w="7942" w:type="dxa"/>
            <w:gridSpan w:val="3"/>
            <w:shd w:val="clear" w:color="auto" w:fill="auto"/>
          </w:tcPr>
          <w:p>
            <w:pPr>
              <w:widowControl/>
              <w:spacing w:line="360" w:lineRule="auto"/>
              <w:ind w:firstLine="480" w:firstLineChars="200"/>
              <w:rPr>
                <w:sz w:val="24"/>
              </w:rPr>
            </w:pPr>
            <w:r>
              <w:rPr>
                <w:rFonts w:hint="eastAsia"/>
                <w:sz w:val="24"/>
              </w:rPr>
              <w:t>设计人员应根据变配电所设计施工图、配电干线系统图、配电箱系统图，结合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shd w:val="clear" w:color="auto" w:fill="auto"/>
            <w:vAlign w:val="center"/>
          </w:tcPr>
          <w:p>
            <w:pPr>
              <w:widowControl/>
              <w:spacing w:line="360" w:lineRule="auto"/>
              <w:rPr>
                <w:sz w:val="24"/>
              </w:rPr>
            </w:pPr>
            <w:r>
              <w:rPr>
                <w:rFonts w:hint="eastAsia"/>
                <w:sz w:val="24"/>
              </w:rPr>
              <w:t>备注</w:t>
            </w:r>
          </w:p>
        </w:tc>
        <w:tc>
          <w:tcPr>
            <w:tcW w:w="7942" w:type="dxa"/>
            <w:gridSpan w:val="3"/>
            <w:shd w:val="clear" w:color="auto" w:fill="auto"/>
          </w:tcPr>
          <w:p>
            <w:pPr>
              <w:widowControl/>
              <w:spacing w:line="360" w:lineRule="auto"/>
              <w:ind w:firstLine="480" w:firstLineChars="200"/>
              <w:rPr>
                <w:sz w:val="24"/>
              </w:rPr>
            </w:pPr>
            <w:r>
              <w:rPr>
                <w:rFonts w:hint="eastAsia"/>
                <w:sz w:val="24"/>
              </w:rPr>
              <w:t>本条考虑电气线路的耐久、环保。</w:t>
            </w:r>
          </w:p>
          <w:p>
            <w:pPr>
              <w:widowControl/>
              <w:spacing w:line="360" w:lineRule="auto"/>
              <w:ind w:firstLine="480" w:firstLineChars="200"/>
              <w:rPr>
                <w:sz w:val="24"/>
              </w:rPr>
            </w:pPr>
            <w:r>
              <w:rPr>
                <w:rFonts w:hint="eastAsia"/>
                <w:sz w:val="24"/>
              </w:rPr>
              <w:t>本条为二星级设计要求。</w:t>
            </w:r>
          </w:p>
        </w:tc>
      </w:tr>
    </w:tbl>
    <w:p>
      <w:pPr>
        <w:spacing w:line="360" w:lineRule="auto"/>
        <w:rPr>
          <w:rFonts w:hAnsi="宋体"/>
          <w:sz w:val="24"/>
        </w:rPr>
      </w:pPr>
    </w:p>
    <w:p>
      <w:pPr>
        <w:spacing w:line="360" w:lineRule="auto"/>
        <w:ind w:firstLine="360" w:firstLineChars="150"/>
        <w:rPr>
          <w:rFonts w:asciiTheme="minorEastAsia" w:hAnsiTheme="minorEastAsia" w:eastAsiaTheme="minorEastAsia"/>
          <w:sz w:val="24"/>
          <w:lang w:val="en-GB"/>
        </w:rPr>
      </w:pPr>
      <w:r>
        <w:rPr>
          <w:rFonts w:asciiTheme="minorEastAsia" w:hAnsiTheme="minorEastAsia" w:eastAsiaTheme="minorEastAsia"/>
          <w:sz w:val="24"/>
          <w:lang w:val="en-GB"/>
        </w:rPr>
        <w:t>7、</w:t>
      </w:r>
      <w:r>
        <w:rPr>
          <w:rFonts w:asciiTheme="minorEastAsia" w:hAnsiTheme="minorEastAsia" w:eastAsiaTheme="minorEastAsia"/>
          <w:sz w:val="24"/>
        </w:rPr>
        <w:t>电气线路在穿越有保温隔热要求的墙体或楼板处，预埋穿线管并用保温材料进行密闭处理：</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4"/>
        <w:gridCol w:w="2504"/>
        <w:gridCol w:w="1573"/>
        <w:gridCol w:w="3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shd w:val="clear" w:color="auto" w:fill="auto"/>
            <w:vAlign w:val="center"/>
          </w:tcPr>
          <w:p>
            <w:pPr>
              <w:pStyle w:val="84"/>
              <w:spacing w:line="360" w:lineRule="auto"/>
              <w:rPr>
                <w:sz w:val="24"/>
              </w:rPr>
            </w:pPr>
            <w:r>
              <w:rPr>
                <w:rFonts w:hint="eastAsia"/>
                <w:sz w:val="24"/>
              </w:rPr>
              <w:t>条文来源</w:t>
            </w:r>
          </w:p>
        </w:tc>
        <w:tc>
          <w:tcPr>
            <w:tcW w:w="2504" w:type="dxa"/>
            <w:shd w:val="clear" w:color="auto" w:fill="auto"/>
            <w:vAlign w:val="center"/>
          </w:tcPr>
          <w:p>
            <w:pPr>
              <w:pStyle w:val="84"/>
              <w:spacing w:line="360" w:lineRule="auto"/>
              <w:rPr>
                <w:sz w:val="24"/>
              </w:rPr>
            </w:pPr>
            <w:r>
              <w:rPr>
                <w:rFonts w:hint="eastAsia"/>
                <w:sz w:val="24"/>
              </w:rPr>
              <w:t>DB33/1015-2021</w:t>
            </w:r>
          </w:p>
        </w:tc>
        <w:tc>
          <w:tcPr>
            <w:tcW w:w="1573" w:type="dxa"/>
            <w:shd w:val="clear" w:color="auto" w:fill="auto"/>
            <w:vAlign w:val="center"/>
          </w:tcPr>
          <w:p>
            <w:pPr>
              <w:pStyle w:val="84"/>
              <w:spacing w:line="360" w:lineRule="auto"/>
              <w:rPr>
                <w:sz w:val="24"/>
              </w:rPr>
            </w:pPr>
            <w:r>
              <w:rPr>
                <w:rFonts w:hint="eastAsia"/>
                <w:sz w:val="24"/>
              </w:rPr>
              <w:t>8.1.3条</w:t>
            </w:r>
          </w:p>
        </w:tc>
        <w:tc>
          <w:tcPr>
            <w:tcW w:w="3865" w:type="dxa"/>
            <w:shd w:val="clear" w:color="auto" w:fill="auto"/>
            <w:vAlign w:val="center"/>
          </w:tcPr>
          <w:p>
            <w:pPr>
              <w:pStyle w:val="84"/>
              <w:spacing w:line="360" w:lineRule="auto"/>
              <w:rPr>
                <w:sz w:val="24"/>
              </w:rPr>
            </w:pPr>
            <w:r>
              <w:rPr>
                <w:rFonts w:hint="eastAsia"/>
                <w:sz w:val="24"/>
              </w:rPr>
              <w:t>一般规定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shd w:val="clear" w:color="auto" w:fill="auto"/>
            <w:vAlign w:val="center"/>
          </w:tcPr>
          <w:p>
            <w:pPr>
              <w:pStyle w:val="84"/>
              <w:spacing w:line="360" w:lineRule="auto"/>
              <w:rPr>
                <w:sz w:val="24"/>
              </w:rPr>
            </w:pPr>
            <w:r>
              <w:rPr>
                <w:rFonts w:hint="eastAsia"/>
                <w:sz w:val="24"/>
              </w:rPr>
              <w:t>依据材料</w:t>
            </w:r>
          </w:p>
        </w:tc>
        <w:tc>
          <w:tcPr>
            <w:tcW w:w="7942" w:type="dxa"/>
            <w:gridSpan w:val="3"/>
            <w:shd w:val="clear" w:color="auto" w:fill="auto"/>
          </w:tcPr>
          <w:p>
            <w:pPr>
              <w:pStyle w:val="84"/>
              <w:spacing w:line="360" w:lineRule="auto"/>
              <w:rPr>
                <w:sz w:val="24"/>
              </w:rPr>
            </w:pPr>
            <w:r>
              <w:rPr>
                <w:rFonts w:hint="eastAsia"/>
                <w:sz w:val="24"/>
              </w:rPr>
              <w:t>设计人员应根据电气平面设计施工图，结合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4" w:type="dxa"/>
            <w:shd w:val="clear" w:color="auto" w:fill="auto"/>
            <w:vAlign w:val="center"/>
          </w:tcPr>
          <w:p>
            <w:pPr>
              <w:pStyle w:val="84"/>
              <w:spacing w:line="360" w:lineRule="auto"/>
              <w:rPr>
                <w:sz w:val="24"/>
              </w:rPr>
            </w:pPr>
            <w:r>
              <w:rPr>
                <w:rFonts w:hint="eastAsia"/>
                <w:sz w:val="24"/>
              </w:rPr>
              <w:t>备注</w:t>
            </w:r>
          </w:p>
        </w:tc>
        <w:tc>
          <w:tcPr>
            <w:tcW w:w="7942" w:type="dxa"/>
            <w:gridSpan w:val="3"/>
            <w:shd w:val="clear" w:color="auto" w:fill="auto"/>
          </w:tcPr>
          <w:p>
            <w:pPr>
              <w:pStyle w:val="84"/>
              <w:spacing w:line="360" w:lineRule="auto"/>
              <w:jc w:val="left"/>
              <w:rPr>
                <w:sz w:val="24"/>
              </w:rPr>
            </w:pPr>
            <w:r>
              <w:rPr>
                <w:rFonts w:hint="eastAsia"/>
                <w:sz w:val="24"/>
              </w:rPr>
              <w:t>本条考虑保温，减少空调负荷。</w:t>
            </w:r>
          </w:p>
        </w:tc>
      </w:tr>
    </w:tbl>
    <w:p>
      <w:pPr>
        <w:spacing w:line="360" w:lineRule="auto"/>
        <w:rPr>
          <w:rFonts w:hAnsi="宋体"/>
          <w:sz w:val="24"/>
        </w:rPr>
      </w:pPr>
    </w:p>
    <w:p>
      <w:pPr>
        <w:spacing w:line="360" w:lineRule="auto"/>
        <w:rPr>
          <w:rFonts w:hAnsi="宋体"/>
          <w:sz w:val="24"/>
          <w:lang w:val="en-GB"/>
        </w:rPr>
      </w:pPr>
      <w:r>
        <w:rPr>
          <w:rFonts w:hint="eastAsia" w:hAnsi="宋体"/>
          <w:sz w:val="24"/>
          <w:lang w:val="en-GB"/>
        </w:rPr>
        <w:t>8、室内照明功率密度值满足《建筑照明设计标准》GB50034规定的目标值。</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2497"/>
        <w:gridCol w:w="1581"/>
        <w:gridCol w:w="3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vMerge w:val="restart"/>
            <w:shd w:val="clear" w:color="auto" w:fill="auto"/>
            <w:vAlign w:val="center"/>
          </w:tcPr>
          <w:p>
            <w:pPr>
              <w:widowControl/>
              <w:spacing w:line="360" w:lineRule="auto"/>
              <w:rPr>
                <w:sz w:val="24"/>
              </w:rPr>
            </w:pPr>
            <w:r>
              <w:rPr>
                <w:rFonts w:hint="eastAsia"/>
                <w:sz w:val="24"/>
              </w:rPr>
              <w:t>条文来源</w:t>
            </w:r>
          </w:p>
        </w:tc>
        <w:tc>
          <w:tcPr>
            <w:tcW w:w="2497" w:type="dxa"/>
            <w:vMerge w:val="restart"/>
            <w:shd w:val="clear" w:color="auto" w:fill="auto"/>
            <w:vAlign w:val="center"/>
          </w:tcPr>
          <w:p>
            <w:pPr>
              <w:widowControl/>
              <w:spacing w:line="360" w:lineRule="auto"/>
              <w:rPr>
                <w:sz w:val="24"/>
              </w:rPr>
            </w:pPr>
            <w:r>
              <w:rPr>
                <w:rFonts w:hint="eastAsia"/>
                <w:sz w:val="24"/>
              </w:rPr>
              <w:t>DB33/1092-2021</w:t>
            </w:r>
          </w:p>
        </w:tc>
        <w:tc>
          <w:tcPr>
            <w:tcW w:w="1581" w:type="dxa"/>
            <w:shd w:val="clear" w:color="auto" w:fill="auto"/>
          </w:tcPr>
          <w:p>
            <w:pPr>
              <w:widowControl/>
              <w:spacing w:line="360" w:lineRule="auto"/>
              <w:rPr>
                <w:sz w:val="24"/>
              </w:rPr>
            </w:pPr>
            <w:r>
              <w:rPr>
                <w:rFonts w:hint="eastAsia"/>
                <w:sz w:val="24"/>
              </w:rPr>
              <w:t>9.2.</w:t>
            </w:r>
            <w:r>
              <w:rPr>
                <w:sz w:val="24"/>
              </w:rPr>
              <w:t>6</w:t>
            </w:r>
            <w:r>
              <w:rPr>
                <w:rFonts w:hint="eastAsia"/>
                <w:sz w:val="24"/>
              </w:rPr>
              <w:t>条</w:t>
            </w:r>
          </w:p>
        </w:tc>
        <w:tc>
          <w:tcPr>
            <w:tcW w:w="3865" w:type="dxa"/>
            <w:shd w:val="clear" w:color="auto" w:fill="auto"/>
            <w:vAlign w:val="center"/>
          </w:tcPr>
          <w:p>
            <w:pPr>
              <w:widowControl/>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vMerge w:val="continue"/>
            <w:shd w:val="clear" w:color="auto" w:fill="auto"/>
            <w:vAlign w:val="center"/>
          </w:tcPr>
          <w:p>
            <w:pPr>
              <w:widowControl/>
              <w:spacing w:line="360" w:lineRule="auto"/>
              <w:rPr>
                <w:sz w:val="24"/>
              </w:rPr>
            </w:pPr>
          </w:p>
        </w:tc>
        <w:tc>
          <w:tcPr>
            <w:tcW w:w="2497" w:type="dxa"/>
            <w:vMerge w:val="continue"/>
            <w:shd w:val="clear" w:color="auto" w:fill="auto"/>
          </w:tcPr>
          <w:p>
            <w:pPr>
              <w:widowControl/>
              <w:spacing w:line="360" w:lineRule="auto"/>
              <w:rPr>
                <w:sz w:val="24"/>
              </w:rPr>
            </w:pPr>
          </w:p>
        </w:tc>
        <w:tc>
          <w:tcPr>
            <w:tcW w:w="1581" w:type="dxa"/>
            <w:shd w:val="clear" w:color="auto" w:fill="auto"/>
          </w:tcPr>
          <w:p>
            <w:pPr>
              <w:widowControl/>
              <w:spacing w:line="360" w:lineRule="auto"/>
              <w:rPr>
                <w:sz w:val="24"/>
              </w:rPr>
            </w:pPr>
            <w:r>
              <w:rPr>
                <w:rFonts w:hint="eastAsia"/>
                <w:sz w:val="24"/>
              </w:rPr>
              <w:t>9.4.</w:t>
            </w:r>
            <w:r>
              <w:rPr>
                <w:sz w:val="24"/>
              </w:rPr>
              <w:t>4</w:t>
            </w:r>
            <w:r>
              <w:rPr>
                <w:rFonts w:hint="eastAsia"/>
                <w:sz w:val="24"/>
              </w:rPr>
              <w:t>条</w:t>
            </w:r>
          </w:p>
        </w:tc>
        <w:tc>
          <w:tcPr>
            <w:tcW w:w="3865" w:type="dxa"/>
            <w:shd w:val="clear" w:color="auto" w:fill="auto"/>
          </w:tcPr>
          <w:p>
            <w:pPr>
              <w:widowControl/>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5" w:type="dxa"/>
            <w:shd w:val="clear" w:color="auto" w:fill="auto"/>
            <w:vAlign w:val="center"/>
          </w:tcPr>
          <w:p>
            <w:pPr>
              <w:widowControl/>
              <w:spacing w:line="360" w:lineRule="auto"/>
              <w:rPr>
                <w:sz w:val="24"/>
              </w:rPr>
            </w:pPr>
            <w:r>
              <w:rPr>
                <w:rFonts w:hint="eastAsia"/>
                <w:sz w:val="24"/>
              </w:rPr>
              <w:t>依据材料</w:t>
            </w:r>
          </w:p>
        </w:tc>
        <w:tc>
          <w:tcPr>
            <w:tcW w:w="7943" w:type="dxa"/>
            <w:gridSpan w:val="3"/>
            <w:shd w:val="clear" w:color="auto" w:fill="auto"/>
          </w:tcPr>
          <w:p>
            <w:pPr>
              <w:widowControl/>
              <w:spacing w:line="360" w:lineRule="auto"/>
              <w:ind w:firstLine="480" w:firstLineChars="200"/>
              <w:rPr>
                <w:sz w:val="24"/>
              </w:rPr>
            </w:pPr>
            <w:r>
              <w:rPr>
                <w:rFonts w:hint="eastAsia"/>
                <w:sz w:val="24"/>
              </w:rPr>
              <w:t>设计人员应根据照明计算书、照明设计施工图，结合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185" w:type="dxa"/>
            <w:shd w:val="clear" w:color="auto" w:fill="auto"/>
            <w:vAlign w:val="center"/>
          </w:tcPr>
          <w:p>
            <w:pPr>
              <w:widowControl/>
              <w:spacing w:line="360" w:lineRule="auto"/>
              <w:rPr>
                <w:sz w:val="24"/>
              </w:rPr>
            </w:pPr>
            <w:r>
              <w:rPr>
                <w:rFonts w:hint="eastAsia"/>
                <w:sz w:val="24"/>
              </w:rPr>
              <w:t>备注</w:t>
            </w:r>
          </w:p>
        </w:tc>
        <w:tc>
          <w:tcPr>
            <w:tcW w:w="7943" w:type="dxa"/>
            <w:gridSpan w:val="3"/>
            <w:shd w:val="clear" w:color="auto" w:fill="auto"/>
          </w:tcPr>
          <w:p>
            <w:pPr>
              <w:widowControl/>
              <w:spacing w:line="360" w:lineRule="auto"/>
              <w:ind w:firstLine="480" w:firstLineChars="200"/>
              <w:rPr>
                <w:sz w:val="24"/>
              </w:rPr>
            </w:pPr>
            <w:r>
              <w:rPr>
                <w:rFonts w:hint="eastAsia"/>
                <w:sz w:val="24"/>
              </w:rPr>
              <w:t>目前，照明功率密度值满足《建筑节能与可再生能源利用通用规范》GB 55015的规定即可。《建筑照明设计标准》GB 50034-2013正在修编，待新版发布、实施后，按以下说明：</w:t>
            </w:r>
          </w:p>
          <w:p>
            <w:pPr>
              <w:widowControl/>
              <w:spacing w:line="360" w:lineRule="auto"/>
              <w:ind w:firstLine="480" w:firstLineChars="200"/>
              <w:rPr>
                <w:sz w:val="24"/>
              </w:rPr>
            </w:pPr>
            <w:r>
              <w:rPr>
                <w:rFonts w:hint="eastAsia"/>
                <w:sz w:val="24"/>
              </w:rPr>
              <w:t>关于照明功率密度值（LPD）的要求是递进的：一般规定要求所有区域满足现行值，一星级要求主要功能房间满足目标值，二星级未作进一步要求，三星级要求所有区域满足目标值。</w:t>
            </w:r>
          </w:p>
          <w:p>
            <w:pPr>
              <w:widowControl/>
              <w:spacing w:line="360" w:lineRule="auto"/>
              <w:ind w:firstLine="480" w:firstLineChars="200"/>
              <w:rPr>
                <w:sz w:val="24"/>
              </w:rPr>
            </w:pPr>
            <w:r>
              <w:rPr>
                <w:rFonts w:hint="eastAsia"/>
                <w:sz w:val="24"/>
              </w:rPr>
              <w:t>“主要功能房间”定义为国家标准《建筑照明设计标准》GB 50034中对应的建筑类型明确列出的房间或场所（长时间停留、作业的场所），“所有区域”还应包括表6.3.13所列的通用房间或场所。</w:t>
            </w:r>
          </w:p>
          <w:p>
            <w:pPr>
              <w:widowControl/>
              <w:spacing w:line="360" w:lineRule="auto"/>
              <w:ind w:firstLine="480" w:firstLineChars="200"/>
              <w:rPr>
                <w:sz w:val="24"/>
              </w:rPr>
            </w:pPr>
            <w:r>
              <w:rPr>
                <w:rFonts w:hint="eastAsia"/>
                <w:sz w:val="24"/>
              </w:rPr>
              <w:t>一星级要求主要功能房间满足，三星级要求所有区域满足。</w:t>
            </w:r>
          </w:p>
        </w:tc>
      </w:tr>
    </w:tbl>
    <w:p>
      <w:pPr>
        <w:spacing w:line="360" w:lineRule="auto"/>
        <w:rPr>
          <w:rFonts w:hAnsi="宋体"/>
          <w:sz w:val="24"/>
        </w:rPr>
      </w:pPr>
    </w:p>
    <w:p>
      <w:pPr>
        <w:spacing w:line="360" w:lineRule="auto"/>
        <w:rPr>
          <w:rFonts w:hAnsi="宋体"/>
          <w:sz w:val="24"/>
          <w:lang w:val="en-GB"/>
        </w:rPr>
      </w:pPr>
      <w:r>
        <w:rPr>
          <w:rFonts w:hint="eastAsia" w:hAnsi="宋体"/>
          <w:sz w:val="24"/>
          <w:lang w:val="en-GB"/>
        </w:rPr>
        <w:t>9、室外照明的光污染控制、</w:t>
      </w:r>
      <w:r>
        <w:rPr>
          <w:rFonts w:hAnsi="宋体"/>
          <w:sz w:val="24"/>
          <w:lang w:val="en-GB"/>
        </w:rPr>
        <w:t>室外灯光对室内的影响</w:t>
      </w:r>
      <w:r>
        <w:rPr>
          <w:rFonts w:hint="eastAsia" w:hAnsi="宋体"/>
          <w:sz w:val="24"/>
          <w:lang w:val="en-GB"/>
        </w:rPr>
        <w:t>满足《城市夜景照明设计规范》 JGJ/T163及《环境照明工程技术规范》 DB33/T 1055的要求；</w:t>
      </w:r>
    </w:p>
    <w:p>
      <w:pPr>
        <w:spacing w:line="360" w:lineRule="auto"/>
        <w:ind w:firstLine="360" w:firstLineChars="150"/>
        <w:rPr>
          <w:rFonts w:hAnsi="宋体"/>
          <w:sz w:val="24"/>
          <w:lang w:val="en-GB"/>
        </w:rPr>
      </w:pPr>
      <w:r>
        <w:rPr>
          <w:rFonts w:hint="eastAsia" w:hAnsi="宋体"/>
          <w:sz w:val="24"/>
          <w:lang w:val="en-GB"/>
        </w:rPr>
        <w:t>步行道和非机动车道的照度标准值不低于《城市道路照明设计标准》CJJ</w:t>
      </w:r>
      <w:r>
        <w:rPr>
          <w:rFonts w:hAnsi="宋体"/>
          <w:sz w:val="24"/>
          <w:lang w:val="en-GB"/>
        </w:rPr>
        <w:t xml:space="preserve"> </w:t>
      </w:r>
      <w:r>
        <w:rPr>
          <w:rFonts w:hint="eastAsia" w:hAnsi="宋体"/>
          <w:sz w:val="24"/>
          <w:lang w:val="en-GB"/>
        </w:rPr>
        <w:t>45的相关要求；</w:t>
      </w:r>
    </w:p>
    <w:p>
      <w:pPr>
        <w:spacing w:line="360" w:lineRule="auto"/>
        <w:ind w:firstLine="360" w:firstLineChars="150"/>
        <w:rPr>
          <w:rFonts w:hAnsi="宋体"/>
          <w:sz w:val="24"/>
          <w:lang w:val="en-GB"/>
        </w:rPr>
      </w:pPr>
      <w:r>
        <w:rPr>
          <w:rFonts w:hint="eastAsia" w:hAnsi="宋体"/>
          <w:sz w:val="24"/>
          <w:lang w:val="en-GB"/>
        </w:rPr>
        <w:t>室外照度标准值、照明功率密度值满足《城市夜景照明设计规范》 JGJ/T163及《环境照明工程技术规范》 DB33/T 1055的要求。</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1"/>
        <w:gridCol w:w="2460"/>
        <w:gridCol w:w="1585"/>
        <w:gridCol w:w="3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Merge w:val="restart"/>
            <w:shd w:val="clear" w:color="auto" w:fill="auto"/>
            <w:vAlign w:val="center"/>
          </w:tcPr>
          <w:p>
            <w:pPr>
              <w:widowControl/>
              <w:spacing w:line="360" w:lineRule="auto"/>
              <w:rPr>
                <w:sz w:val="24"/>
              </w:rPr>
            </w:pPr>
            <w:r>
              <w:rPr>
                <w:rFonts w:hint="eastAsia"/>
                <w:sz w:val="24"/>
              </w:rPr>
              <w:t>条文来源</w:t>
            </w:r>
          </w:p>
        </w:tc>
        <w:tc>
          <w:tcPr>
            <w:tcW w:w="2460" w:type="dxa"/>
            <w:vMerge w:val="restart"/>
            <w:shd w:val="clear" w:color="auto" w:fill="auto"/>
            <w:vAlign w:val="center"/>
          </w:tcPr>
          <w:p>
            <w:pPr>
              <w:widowControl/>
              <w:spacing w:line="360" w:lineRule="auto"/>
              <w:rPr>
                <w:sz w:val="24"/>
              </w:rPr>
            </w:pPr>
            <w:r>
              <w:rPr>
                <w:rFonts w:hint="eastAsia"/>
                <w:sz w:val="24"/>
              </w:rPr>
              <w:t>DB33/1092-2021</w:t>
            </w:r>
          </w:p>
        </w:tc>
        <w:tc>
          <w:tcPr>
            <w:tcW w:w="1585" w:type="dxa"/>
            <w:shd w:val="clear" w:color="auto" w:fill="auto"/>
          </w:tcPr>
          <w:p>
            <w:pPr>
              <w:widowControl/>
              <w:spacing w:line="360" w:lineRule="auto"/>
              <w:rPr>
                <w:sz w:val="24"/>
              </w:rPr>
            </w:pPr>
            <w:r>
              <w:rPr>
                <w:sz w:val="24"/>
              </w:rPr>
              <w:t>4.2.6</w:t>
            </w:r>
            <w:r>
              <w:rPr>
                <w:rFonts w:hint="eastAsia"/>
                <w:sz w:val="24"/>
              </w:rPr>
              <w:t>条</w:t>
            </w:r>
          </w:p>
        </w:tc>
        <w:tc>
          <w:tcPr>
            <w:tcW w:w="3915" w:type="dxa"/>
            <w:shd w:val="clear" w:color="auto" w:fill="auto"/>
            <w:vAlign w:val="center"/>
          </w:tcPr>
          <w:p>
            <w:pPr>
              <w:widowControl/>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Merge w:val="continue"/>
            <w:shd w:val="clear" w:color="auto" w:fill="auto"/>
            <w:vAlign w:val="center"/>
          </w:tcPr>
          <w:p>
            <w:pPr>
              <w:widowControl/>
              <w:spacing w:line="360" w:lineRule="auto"/>
              <w:rPr>
                <w:sz w:val="24"/>
              </w:rPr>
            </w:pPr>
          </w:p>
        </w:tc>
        <w:tc>
          <w:tcPr>
            <w:tcW w:w="2460" w:type="dxa"/>
            <w:vMerge w:val="continue"/>
            <w:shd w:val="clear" w:color="auto" w:fill="auto"/>
          </w:tcPr>
          <w:p>
            <w:pPr>
              <w:widowControl/>
              <w:spacing w:line="360" w:lineRule="auto"/>
              <w:rPr>
                <w:sz w:val="24"/>
              </w:rPr>
            </w:pPr>
          </w:p>
        </w:tc>
        <w:tc>
          <w:tcPr>
            <w:tcW w:w="1585" w:type="dxa"/>
            <w:shd w:val="clear" w:color="auto" w:fill="auto"/>
          </w:tcPr>
          <w:p>
            <w:pPr>
              <w:widowControl/>
              <w:spacing w:line="360" w:lineRule="auto"/>
              <w:rPr>
                <w:sz w:val="24"/>
              </w:rPr>
            </w:pPr>
            <w:r>
              <w:rPr>
                <w:rFonts w:hint="eastAsia"/>
                <w:sz w:val="24"/>
              </w:rPr>
              <w:t>9.3.4条</w:t>
            </w:r>
          </w:p>
        </w:tc>
        <w:tc>
          <w:tcPr>
            <w:tcW w:w="3915" w:type="dxa"/>
            <w:shd w:val="clear" w:color="auto" w:fill="auto"/>
            <w:vAlign w:val="center"/>
          </w:tcPr>
          <w:p>
            <w:pPr>
              <w:widowControl/>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Merge w:val="continue"/>
            <w:shd w:val="clear" w:color="auto" w:fill="auto"/>
            <w:vAlign w:val="center"/>
          </w:tcPr>
          <w:p>
            <w:pPr>
              <w:widowControl/>
              <w:spacing w:line="360" w:lineRule="auto"/>
              <w:rPr>
                <w:sz w:val="24"/>
              </w:rPr>
            </w:pPr>
          </w:p>
        </w:tc>
        <w:tc>
          <w:tcPr>
            <w:tcW w:w="2460" w:type="dxa"/>
            <w:vMerge w:val="continue"/>
            <w:shd w:val="clear" w:color="auto" w:fill="auto"/>
          </w:tcPr>
          <w:p>
            <w:pPr>
              <w:widowControl/>
              <w:spacing w:line="360" w:lineRule="auto"/>
              <w:rPr>
                <w:sz w:val="24"/>
              </w:rPr>
            </w:pPr>
          </w:p>
        </w:tc>
        <w:tc>
          <w:tcPr>
            <w:tcW w:w="1585" w:type="dxa"/>
            <w:shd w:val="clear" w:color="auto" w:fill="auto"/>
          </w:tcPr>
          <w:p>
            <w:pPr>
              <w:widowControl/>
              <w:spacing w:line="360" w:lineRule="auto"/>
              <w:rPr>
                <w:sz w:val="24"/>
              </w:rPr>
            </w:pPr>
            <w:r>
              <w:rPr>
                <w:rFonts w:hint="eastAsia"/>
                <w:sz w:val="24"/>
              </w:rPr>
              <w:t>9.4.</w:t>
            </w:r>
            <w:r>
              <w:rPr>
                <w:sz w:val="24"/>
              </w:rPr>
              <w:t>5</w:t>
            </w:r>
            <w:r>
              <w:rPr>
                <w:rFonts w:hint="eastAsia"/>
                <w:sz w:val="24"/>
              </w:rPr>
              <w:t>条</w:t>
            </w:r>
          </w:p>
        </w:tc>
        <w:tc>
          <w:tcPr>
            <w:tcW w:w="3915" w:type="dxa"/>
            <w:shd w:val="clear" w:color="auto" w:fill="auto"/>
          </w:tcPr>
          <w:p>
            <w:pPr>
              <w:widowControl/>
              <w:spacing w:line="360" w:lineRule="auto"/>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01" w:type="dxa"/>
            <w:shd w:val="clear" w:color="auto" w:fill="auto"/>
            <w:vAlign w:val="center"/>
          </w:tcPr>
          <w:p>
            <w:pPr>
              <w:widowControl/>
              <w:spacing w:line="360" w:lineRule="auto"/>
              <w:rPr>
                <w:sz w:val="24"/>
              </w:rPr>
            </w:pPr>
            <w:r>
              <w:rPr>
                <w:rFonts w:hint="eastAsia"/>
                <w:sz w:val="24"/>
              </w:rPr>
              <w:t>依据材料</w:t>
            </w:r>
          </w:p>
        </w:tc>
        <w:tc>
          <w:tcPr>
            <w:tcW w:w="7960" w:type="dxa"/>
            <w:gridSpan w:val="3"/>
            <w:shd w:val="clear" w:color="auto" w:fill="auto"/>
          </w:tcPr>
          <w:p>
            <w:pPr>
              <w:widowControl/>
              <w:spacing w:line="360" w:lineRule="auto"/>
              <w:ind w:firstLine="480" w:firstLineChars="200"/>
              <w:rPr>
                <w:sz w:val="24"/>
              </w:rPr>
            </w:pPr>
            <w:r>
              <w:rPr>
                <w:rFonts w:hint="eastAsia"/>
                <w:sz w:val="24"/>
              </w:rPr>
              <w:t>设计人员应根据室外照明计算书、室外各种照明设计施工图，结合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shd w:val="clear" w:color="auto" w:fill="auto"/>
            <w:vAlign w:val="center"/>
          </w:tcPr>
          <w:p>
            <w:pPr>
              <w:widowControl/>
              <w:spacing w:line="360" w:lineRule="auto"/>
              <w:rPr>
                <w:sz w:val="24"/>
              </w:rPr>
            </w:pPr>
            <w:r>
              <w:rPr>
                <w:rFonts w:hint="eastAsia"/>
                <w:sz w:val="24"/>
              </w:rPr>
              <w:t>备注</w:t>
            </w:r>
          </w:p>
        </w:tc>
        <w:tc>
          <w:tcPr>
            <w:tcW w:w="7960" w:type="dxa"/>
            <w:gridSpan w:val="3"/>
            <w:shd w:val="clear" w:color="auto" w:fill="auto"/>
          </w:tcPr>
          <w:p>
            <w:pPr>
              <w:widowControl/>
              <w:spacing w:line="360" w:lineRule="auto"/>
              <w:ind w:firstLine="480" w:firstLineChars="200"/>
              <w:rPr>
                <w:sz w:val="24"/>
              </w:rPr>
            </w:pPr>
            <w:r>
              <w:rPr>
                <w:rFonts w:hint="eastAsia"/>
                <w:sz w:val="24"/>
              </w:rPr>
              <w:t>若不需要设置室外照明，或由甲方委托其他设计单位设计，则勾选“未涉及”。</w:t>
            </w:r>
          </w:p>
          <w:p>
            <w:pPr>
              <w:widowControl/>
              <w:spacing w:line="360" w:lineRule="auto"/>
              <w:ind w:firstLine="480" w:firstLineChars="200"/>
              <w:rPr>
                <w:sz w:val="24"/>
              </w:rPr>
            </w:pPr>
            <w:r>
              <w:rPr>
                <w:sz w:val="24"/>
              </w:rPr>
              <w:t>目前，室外照明</w:t>
            </w:r>
            <w:r>
              <w:rPr>
                <w:rFonts w:hint="eastAsia"/>
                <w:sz w:val="24"/>
              </w:rPr>
              <w:t>的</w:t>
            </w:r>
            <w:r>
              <w:rPr>
                <w:sz w:val="24"/>
              </w:rPr>
              <w:t>光污染、</w:t>
            </w:r>
            <w:r>
              <w:rPr>
                <w:rFonts w:hint="eastAsia"/>
                <w:sz w:val="24"/>
              </w:rPr>
              <w:t>照度标准、LPD均普遍</w:t>
            </w:r>
            <w:r>
              <w:rPr>
                <w:sz w:val="24"/>
              </w:rPr>
              <w:t>失控。作为绿色建筑，应</w:t>
            </w:r>
            <w:r>
              <w:rPr>
                <w:rFonts w:hint="eastAsia"/>
                <w:sz w:val="24"/>
              </w:rPr>
              <w:t>避免光污染，</w:t>
            </w:r>
            <w:r>
              <w:rPr>
                <w:sz w:val="24"/>
              </w:rPr>
              <w:t>限制合理的照度标准、照明功率密度值。</w:t>
            </w:r>
          </w:p>
          <w:p>
            <w:pPr>
              <w:widowControl/>
              <w:spacing w:line="360" w:lineRule="auto"/>
              <w:ind w:firstLine="480" w:firstLineChars="200"/>
              <w:rPr>
                <w:sz w:val="24"/>
              </w:rPr>
            </w:pPr>
            <w:r>
              <w:rPr>
                <w:rFonts w:hint="eastAsia"/>
                <w:sz w:val="24"/>
              </w:rPr>
              <w:t>关于室外照明的绿色节能要求是递进的：一星级要求避免光污染，二星级要求保障行人安全，三星级要求满足照度标准值、照明功率密度值。</w:t>
            </w:r>
          </w:p>
        </w:tc>
      </w:tr>
    </w:tbl>
    <w:p>
      <w:pPr>
        <w:spacing w:line="360" w:lineRule="auto"/>
        <w:rPr>
          <w:rFonts w:hAnsi="宋体"/>
          <w:sz w:val="24"/>
        </w:rPr>
      </w:pP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10、采用的主要照明方式。</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5"/>
        <w:gridCol w:w="2291"/>
        <w:gridCol w:w="1573"/>
        <w:gridCol w:w="3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5" w:type="dxa"/>
            <w:shd w:val="clear" w:color="auto" w:fill="auto"/>
            <w:vAlign w:val="center"/>
          </w:tcPr>
          <w:p>
            <w:pPr>
              <w:widowControl/>
              <w:spacing w:line="360" w:lineRule="auto"/>
              <w:rPr>
                <w:sz w:val="24"/>
              </w:rPr>
            </w:pPr>
            <w:r>
              <w:rPr>
                <w:rFonts w:hint="eastAsia"/>
                <w:sz w:val="24"/>
              </w:rPr>
              <w:t>条文来源</w:t>
            </w:r>
          </w:p>
        </w:tc>
        <w:tc>
          <w:tcPr>
            <w:tcW w:w="2291" w:type="dxa"/>
            <w:shd w:val="clear" w:color="auto" w:fill="auto"/>
            <w:vAlign w:val="center"/>
          </w:tcPr>
          <w:p>
            <w:pPr>
              <w:widowControl/>
              <w:spacing w:line="360" w:lineRule="auto"/>
              <w:rPr>
                <w:sz w:val="24"/>
              </w:rPr>
            </w:pPr>
            <w:r>
              <w:rPr>
                <w:rFonts w:hint="eastAsia"/>
                <w:sz w:val="24"/>
              </w:rPr>
              <w:t>DB33/1092-2021</w:t>
            </w:r>
          </w:p>
        </w:tc>
        <w:tc>
          <w:tcPr>
            <w:tcW w:w="1573" w:type="dxa"/>
            <w:shd w:val="clear" w:color="auto" w:fill="auto"/>
            <w:vAlign w:val="center"/>
          </w:tcPr>
          <w:p>
            <w:pPr>
              <w:widowControl/>
              <w:spacing w:line="360" w:lineRule="auto"/>
              <w:rPr>
                <w:sz w:val="24"/>
              </w:rPr>
            </w:pPr>
            <w:r>
              <w:rPr>
                <w:rFonts w:hint="eastAsia"/>
                <w:sz w:val="24"/>
              </w:rPr>
              <w:t>9.3.5条</w:t>
            </w:r>
          </w:p>
        </w:tc>
        <w:tc>
          <w:tcPr>
            <w:tcW w:w="3865" w:type="dxa"/>
            <w:shd w:val="clear" w:color="auto" w:fill="auto"/>
            <w:vAlign w:val="center"/>
          </w:tcPr>
          <w:p>
            <w:pPr>
              <w:widowControl/>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5" w:type="dxa"/>
            <w:shd w:val="clear" w:color="auto" w:fill="auto"/>
            <w:vAlign w:val="center"/>
          </w:tcPr>
          <w:p>
            <w:pPr>
              <w:widowControl/>
              <w:spacing w:line="360" w:lineRule="auto"/>
              <w:rPr>
                <w:sz w:val="24"/>
              </w:rPr>
            </w:pPr>
            <w:r>
              <w:rPr>
                <w:rFonts w:hint="eastAsia"/>
                <w:sz w:val="24"/>
              </w:rPr>
              <w:t>依据材料</w:t>
            </w:r>
          </w:p>
        </w:tc>
        <w:tc>
          <w:tcPr>
            <w:tcW w:w="7729" w:type="dxa"/>
            <w:gridSpan w:val="3"/>
            <w:shd w:val="clear" w:color="auto" w:fill="auto"/>
            <w:vAlign w:val="center"/>
          </w:tcPr>
          <w:p>
            <w:pPr>
              <w:widowControl/>
              <w:spacing w:line="360" w:lineRule="auto"/>
              <w:ind w:firstLine="480" w:firstLineChars="200"/>
              <w:rPr>
                <w:sz w:val="24"/>
              </w:rPr>
            </w:pPr>
            <w:r>
              <w:rPr>
                <w:rFonts w:hint="eastAsia"/>
                <w:sz w:val="24"/>
              </w:rPr>
              <w:t>设计人员应根据照明设计施工图，结合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55" w:type="dxa"/>
            <w:shd w:val="clear" w:color="auto" w:fill="auto"/>
            <w:vAlign w:val="center"/>
          </w:tcPr>
          <w:p>
            <w:pPr>
              <w:widowControl/>
              <w:spacing w:line="360" w:lineRule="auto"/>
              <w:rPr>
                <w:sz w:val="24"/>
              </w:rPr>
            </w:pPr>
            <w:r>
              <w:rPr>
                <w:rFonts w:hint="eastAsia"/>
                <w:sz w:val="24"/>
              </w:rPr>
              <w:t>备注</w:t>
            </w:r>
          </w:p>
        </w:tc>
        <w:tc>
          <w:tcPr>
            <w:tcW w:w="7729" w:type="dxa"/>
            <w:gridSpan w:val="3"/>
            <w:shd w:val="clear" w:color="auto" w:fill="auto"/>
            <w:vAlign w:val="center"/>
          </w:tcPr>
          <w:p>
            <w:pPr>
              <w:widowControl/>
              <w:spacing w:line="360" w:lineRule="auto"/>
              <w:rPr>
                <w:sz w:val="24"/>
              </w:rPr>
            </w:pPr>
            <w:r>
              <w:rPr>
                <w:rFonts w:hint="eastAsia"/>
                <w:sz w:val="24"/>
              </w:rPr>
              <w:t>合理的照明方式可在满足使用功能的前提下，降低整个房间或区域的照明功率密度值。</w:t>
            </w:r>
          </w:p>
          <w:p>
            <w:pPr>
              <w:widowControl/>
              <w:spacing w:line="360" w:lineRule="auto"/>
              <w:ind w:firstLine="480" w:firstLineChars="200"/>
              <w:rPr>
                <w:sz w:val="24"/>
              </w:rPr>
            </w:pPr>
            <w:r>
              <w:rPr>
                <w:rFonts w:hint="eastAsia"/>
                <w:sz w:val="24"/>
              </w:rPr>
              <w:t>对于功能明确的房间或场所，应按功能需要选择合理的照明方式。</w:t>
            </w:r>
          </w:p>
          <w:p>
            <w:pPr>
              <w:widowControl/>
              <w:spacing w:line="360" w:lineRule="auto"/>
              <w:rPr>
                <w:sz w:val="24"/>
              </w:rPr>
            </w:pPr>
            <w:r>
              <w:rPr>
                <w:rFonts w:hint="eastAsia"/>
                <w:sz w:val="24"/>
              </w:rPr>
              <w:t>直接照明比间接照明效率更高，对装饰性照明可适当放宽要求。</w:t>
            </w:r>
          </w:p>
          <w:p>
            <w:pPr>
              <w:widowControl/>
              <w:spacing w:line="360" w:lineRule="auto"/>
              <w:rPr>
                <w:sz w:val="24"/>
              </w:rPr>
            </w:pPr>
            <w:r>
              <w:rPr>
                <w:rFonts w:hint="eastAsia"/>
                <w:sz w:val="24"/>
              </w:rPr>
              <w:t>本条属于二星级的要求。</w:t>
            </w:r>
          </w:p>
        </w:tc>
      </w:tr>
    </w:tbl>
    <w:p>
      <w:pPr>
        <w:spacing w:line="360" w:lineRule="auto"/>
        <w:rPr>
          <w:rFonts w:hAnsi="宋体"/>
          <w:sz w:val="24"/>
        </w:rPr>
      </w:pPr>
    </w:p>
    <w:p>
      <w:pPr>
        <w:spacing w:line="360" w:lineRule="auto"/>
        <w:rPr>
          <w:rFonts w:hAnsi="宋体"/>
          <w:sz w:val="24"/>
          <w:lang w:val="en-GB"/>
        </w:rPr>
      </w:pPr>
      <w:r>
        <w:rPr>
          <w:rFonts w:hint="eastAsia" w:hAnsi="宋体"/>
          <w:sz w:val="24"/>
          <w:lang w:val="en-GB"/>
        </w:rPr>
        <w:t>11、采用节能型光源；</w:t>
      </w:r>
    </w:p>
    <w:p>
      <w:pPr>
        <w:spacing w:line="360" w:lineRule="auto"/>
        <w:ind w:firstLine="360" w:firstLineChars="150"/>
        <w:rPr>
          <w:rFonts w:hAnsi="宋体"/>
          <w:sz w:val="24"/>
          <w:lang w:val="en-GB"/>
        </w:rPr>
      </w:pPr>
      <w:r>
        <w:rPr>
          <w:rFonts w:hint="eastAsia" w:hAnsi="宋体"/>
          <w:sz w:val="24"/>
          <w:lang w:val="en-GB"/>
        </w:rPr>
        <w:t>光源、镇流器的能效等级。</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6"/>
        <w:gridCol w:w="2360"/>
        <w:gridCol w:w="1585"/>
        <w:gridCol w:w="3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vMerge w:val="restart"/>
            <w:shd w:val="clear" w:color="auto" w:fill="auto"/>
            <w:vAlign w:val="center"/>
          </w:tcPr>
          <w:p>
            <w:pPr>
              <w:widowControl/>
              <w:spacing w:line="360" w:lineRule="auto"/>
              <w:rPr>
                <w:sz w:val="24"/>
              </w:rPr>
            </w:pPr>
            <w:r>
              <w:rPr>
                <w:rFonts w:hint="eastAsia"/>
                <w:sz w:val="24"/>
              </w:rPr>
              <w:t>条文来源</w:t>
            </w:r>
          </w:p>
        </w:tc>
        <w:tc>
          <w:tcPr>
            <w:tcW w:w="2360" w:type="dxa"/>
            <w:vMerge w:val="restart"/>
            <w:shd w:val="clear" w:color="auto" w:fill="auto"/>
            <w:vAlign w:val="center"/>
          </w:tcPr>
          <w:p>
            <w:pPr>
              <w:widowControl/>
              <w:spacing w:line="360" w:lineRule="auto"/>
              <w:rPr>
                <w:sz w:val="24"/>
              </w:rPr>
            </w:pPr>
            <w:r>
              <w:rPr>
                <w:rFonts w:hint="eastAsia"/>
                <w:sz w:val="24"/>
              </w:rPr>
              <w:t>DB33/1092-2021</w:t>
            </w:r>
          </w:p>
        </w:tc>
        <w:tc>
          <w:tcPr>
            <w:tcW w:w="1585" w:type="dxa"/>
            <w:shd w:val="clear" w:color="auto" w:fill="auto"/>
          </w:tcPr>
          <w:p>
            <w:pPr>
              <w:widowControl/>
              <w:spacing w:line="360" w:lineRule="auto"/>
              <w:rPr>
                <w:sz w:val="24"/>
              </w:rPr>
            </w:pPr>
            <w:r>
              <w:rPr>
                <w:rFonts w:hint="eastAsia"/>
                <w:sz w:val="24"/>
              </w:rPr>
              <w:t>9.2.</w:t>
            </w:r>
            <w:r>
              <w:rPr>
                <w:sz w:val="24"/>
              </w:rPr>
              <w:t>7</w:t>
            </w:r>
            <w:r>
              <w:rPr>
                <w:rFonts w:hint="eastAsia"/>
                <w:sz w:val="24"/>
              </w:rPr>
              <w:t>条</w:t>
            </w:r>
          </w:p>
        </w:tc>
        <w:tc>
          <w:tcPr>
            <w:tcW w:w="3856" w:type="dxa"/>
            <w:shd w:val="clear" w:color="auto" w:fill="auto"/>
          </w:tcPr>
          <w:p>
            <w:pPr>
              <w:widowControl/>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vMerge w:val="continue"/>
            <w:shd w:val="clear" w:color="auto" w:fill="auto"/>
            <w:vAlign w:val="center"/>
          </w:tcPr>
          <w:p>
            <w:pPr>
              <w:widowControl/>
              <w:spacing w:line="360" w:lineRule="auto"/>
              <w:rPr>
                <w:sz w:val="24"/>
              </w:rPr>
            </w:pPr>
          </w:p>
        </w:tc>
        <w:tc>
          <w:tcPr>
            <w:tcW w:w="2360" w:type="dxa"/>
            <w:vMerge w:val="continue"/>
            <w:shd w:val="clear" w:color="auto" w:fill="auto"/>
          </w:tcPr>
          <w:p>
            <w:pPr>
              <w:widowControl/>
              <w:spacing w:line="360" w:lineRule="auto"/>
              <w:rPr>
                <w:sz w:val="24"/>
              </w:rPr>
            </w:pPr>
          </w:p>
        </w:tc>
        <w:tc>
          <w:tcPr>
            <w:tcW w:w="1585" w:type="dxa"/>
            <w:shd w:val="clear" w:color="auto" w:fill="auto"/>
          </w:tcPr>
          <w:p>
            <w:pPr>
              <w:widowControl/>
              <w:spacing w:line="360" w:lineRule="auto"/>
              <w:rPr>
                <w:sz w:val="24"/>
              </w:rPr>
            </w:pPr>
            <w:r>
              <w:rPr>
                <w:rFonts w:hint="eastAsia"/>
                <w:sz w:val="24"/>
              </w:rPr>
              <w:t>9.3.6条</w:t>
            </w:r>
          </w:p>
        </w:tc>
        <w:tc>
          <w:tcPr>
            <w:tcW w:w="3856" w:type="dxa"/>
            <w:shd w:val="clear" w:color="auto" w:fill="auto"/>
            <w:vAlign w:val="center"/>
          </w:tcPr>
          <w:p>
            <w:pPr>
              <w:widowControl/>
              <w:spacing w:line="360" w:lineRule="auto"/>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shd w:val="clear" w:color="auto" w:fill="auto"/>
            <w:vAlign w:val="center"/>
          </w:tcPr>
          <w:p>
            <w:pPr>
              <w:widowControl/>
              <w:spacing w:line="360" w:lineRule="auto"/>
              <w:rPr>
                <w:sz w:val="24"/>
              </w:rPr>
            </w:pPr>
            <w:r>
              <w:rPr>
                <w:rFonts w:hint="eastAsia"/>
                <w:sz w:val="24"/>
              </w:rPr>
              <w:t>依据材料</w:t>
            </w:r>
          </w:p>
        </w:tc>
        <w:tc>
          <w:tcPr>
            <w:tcW w:w="7801" w:type="dxa"/>
            <w:gridSpan w:val="3"/>
            <w:shd w:val="clear" w:color="auto" w:fill="auto"/>
          </w:tcPr>
          <w:p>
            <w:pPr>
              <w:widowControl/>
              <w:spacing w:line="360" w:lineRule="auto"/>
              <w:rPr>
                <w:sz w:val="24"/>
              </w:rPr>
            </w:pPr>
            <w:r>
              <w:rPr>
                <w:rFonts w:hint="eastAsia"/>
                <w:sz w:val="24"/>
              </w:rPr>
              <w:t>设计人员应根据照明设计施工图，结合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326" w:type="dxa"/>
            <w:shd w:val="clear" w:color="auto" w:fill="auto"/>
            <w:vAlign w:val="center"/>
          </w:tcPr>
          <w:p>
            <w:pPr>
              <w:widowControl/>
              <w:spacing w:line="360" w:lineRule="auto"/>
              <w:rPr>
                <w:sz w:val="24"/>
              </w:rPr>
            </w:pPr>
            <w:r>
              <w:rPr>
                <w:rFonts w:hint="eastAsia"/>
                <w:sz w:val="24"/>
              </w:rPr>
              <w:t>备注</w:t>
            </w:r>
          </w:p>
        </w:tc>
        <w:tc>
          <w:tcPr>
            <w:tcW w:w="7801" w:type="dxa"/>
            <w:gridSpan w:val="3"/>
            <w:shd w:val="clear" w:color="auto" w:fill="auto"/>
          </w:tcPr>
          <w:p>
            <w:pPr>
              <w:widowControl/>
              <w:spacing w:line="360" w:lineRule="auto"/>
              <w:ind w:firstLine="480" w:firstLineChars="200"/>
              <w:rPr>
                <w:sz w:val="24"/>
              </w:rPr>
            </w:pPr>
            <w:r>
              <w:rPr>
                <w:sz w:val="24"/>
              </w:rPr>
              <w:t>国家已陆续对</w:t>
            </w:r>
            <w:r>
              <w:rPr>
                <w:rFonts w:hint="eastAsia"/>
                <w:sz w:val="24"/>
              </w:rPr>
              <w:t>各种</w:t>
            </w:r>
            <w:r>
              <w:rPr>
                <w:sz w:val="24"/>
              </w:rPr>
              <w:t>光源、镇流器制订</w:t>
            </w:r>
            <w:r>
              <w:rPr>
                <w:rFonts w:hint="eastAsia"/>
                <w:sz w:val="24"/>
              </w:rPr>
              <w:t>了</w:t>
            </w:r>
            <w:r>
              <w:rPr>
                <w:sz w:val="24"/>
              </w:rPr>
              <w:t>能效标准，</w:t>
            </w:r>
            <w:r>
              <w:rPr>
                <w:rFonts w:hint="eastAsia"/>
                <w:sz w:val="24"/>
              </w:rPr>
              <w:t>在《建筑照明设计标准》GB50034-2013的相关章节中有要求，在DB33/1092-2021第9.2.7条的条文说明中也有相关内容，</w:t>
            </w:r>
            <w:r>
              <w:rPr>
                <w:sz w:val="24"/>
              </w:rPr>
              <w:t>可参照。</w:t>
            </w:r>
          </w:p>
          <w:p>
            <w:pPr>
              <w:widowControl/>
              <w:spacing w:line="360" w:lineRule="auto"/>
              <w:ind w:firstLine="480" w:firstLineChars="200"/>
              <w:rPr>
                <w:sz w:val="24"/>
              </w:rPr>
            </w:pPr>
            <w:r>
              <w:rPr>
                <w:rFonts w:hint="eastAsia"/>
                <w:sz w:val="24"/>
              </w:rPr>
              <w:t>第一项是基本要求，许多规范、标准均有此要求。</w:t>
            </w:r>
          </w:p>
          <w:p>
            <w:pPr>
              <w:widowControl/>
              <w:spacing w:line="360" w:lineRule="auto"/>
              <w:ind w:firstLine="480" w:firstLineChars="200"/>
              <w:rPr>
                <w:sz w:val="24"/>
              </w:rPr>
            </w:pPr>
            <w:r>
              <w:rPr>
                <w:rFonts w:hint="eastAsia"/>
                <w:sz w:val="24"/>
              </w:rPr>
              <w:t>第二项为照明节能的星级要求。一星级要求不“应”低于能效限定值，不“宜”低于节能评价值；二星级要求不“应”低于节能评价值。</w:t>
            </w:r>
          </w:p>
        </w:tc>
      </w:tr>
    </w:tbl>
    <w:p>
      <w:pPr>
        <w:spacing w:line="360" w:lineRule="auto"/>
        <w:rPr>
          <w:rFonts w:hAnsi="宋体"/>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12、照明灯具效率、LED灯具效能满足《建筑照明设计标准》GB50034的要求。</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26"/>
        <w:gridCol w:w="2362"/>
        <w:gridCol w:w="1573"/>
        <w:gridCol w:w="3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shd w:val="clear" w:color="auto" w:fill="auto"/>
            <w:vAlign w:val="center"/>
          </w:tcPr>
          <w:p>
            <w:pPr>
              <w:widowControl/>
              <w:spacing w:line="360" w:lineRule="auto"/>
              <w:rPr>
                <w:sz w:val="24"/>
              </w:rPr>
            </w:pPr>
            <w:r>
              <w:rPr>
                <w:rFonts w:hint="eastAsia"/>
                <w:sz w:val="24"/>
              </w:rPr>
              <w:t>条文来源</w:t>
            </w:r>
          </w:p>
        </w:tc>
        <w:tc>
          <w:tcPr>
            <w:tcW w:w="2362" w:type="dxa"/>
            <w:shd w:val="clear" w:color="auto" w:fill="auto"/>
            <w:vAlign w:val="center"/>
          </w:tcPr>
          <w:p>
            <w:pPr>
              <w:widowControl/>
              <w:spacing w:line="360" w:lineRule="auto"/>
              <w:rPr>
                <w:sz w:val="24"/>
              </w:rPr>
            </w:pPr>
            <w:r>
              <w:rPr>
                <w:rFonts w:hint="eastAsia"/>
                <w:sz w:val="24"/>
              </w:rPr>
              <w:t>DB33/1092-2021</w:t>
            </w:r>
          </w:p>
        </w:tc>
        <w:tc>
          <w:tcPr>
            <w:tcW w:w="1573" w:type="dxa"/>
            <w:shd w:val="clear" w:color="auto" w:fill="auto"/>
            <w:vAlign w:val="center"/>
          </w:tcPr>
          <w:p>
            <w:pPr>
              <w:widowControl/>
              <w:spacing w:line="360" w:lineRule="auto"/>
              <w:rPr>
                <w:sz w:val="24"/>
              </w:rPr>
            </w:pPr>
            <w:r>
              <w:rPr>
                <w:rFonts w:hint="eastAsia"/>
                <w:sz w:val="24"/>
              </w:rPr>
              <w:t>9.2.</w:t>
            </w:r>
            <w:r>
              <w:rPr>
                <w:sz w:val="24"/>
              </w:rPr>
              <w:t>8</w:t>
            </w:r>
            <w:r>
              <w:rPr>
                <w:rFonts w:hint="eastAsia"/>
                <w:sz w:val="24"/>
              </w:rPr>
              <w:t>条</w:t>
            </w:r>
          </w:p>
        </w:tc>
        <w:tc>
          <w:tcPr>
            <w:tcW w:w="3865" w:type="dxa"/>
            <w:shd w:val="clear" w:color="auto" w:fill="auto"/>
            <w:vAlign w:val="center"/>
          </w:tcPr>
          <w:p>
            <w:pPr>
              <w:widowControl/>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shd w:val="clear" w:color="auto" w:fill="auto"/>
            <w:vAlign w:val="center"/>
          </w:tcPr>
          <w:p>
            <w:pPr>
              <w:widowControl/>
              <w:spacing w:line="360" w:lineRule="auto"/>
              <w:rPr>
                <w:sz w:val="24"/>
              </w:rPr>
            </w:pPr>
            <w:r>
              <w:rPr>
                <w:rFonts w:hint="eastAsia"/>
                <w:sz w:val="24"/>
              </w:rPr>
              <w:t>依据材料</w:t>
            </w:r>
          </w:p>
        </w:tc>
        <w:tc>
          <w:tcPr>
            <w:tcW w:w="7800" w:type="dxa"/>
            <w:gridSpan w:val="3"/>
            <w:shd w:val="clear" w:color="auto" w:fill="auto"/>
          </w:tcPr>
          <w:p>
            <w:pPr>
              <w:widowControl/>
              <w:spacing w:line="360" w:lineRule="auto"/>
              <w:ind w:firstLine="480" w:firstLineChars="200"/>
              <w:rPr>
                <w:sz w:val="24"/>
              </w:rPr>
            </w:pPr>
            <w:r>
              <w:rPr>
                <w:rFonts w:hint="eastAsia"/>
                <w:sz w:val="24"/>
              </w:rPr>
              <w:t>设计人员应根据照明设计施工图中灯具效率和LED效能参数，结合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shd w:val="clear" w:color="auto" w:fill="auto"/>
            <w:vAlign w:val="center"/>
          </w:tcPr>
          <w:p>
            <w:pPr>
              <w:widowControl/>
              <w:spacing w:line="360" w:lineRule="auto"/>
              <w:rPr>
                <w:sz w:val="24"/>
              </w:rPr>
            </w:pPr>
            <w:r>
              <w:rPr>
                <w:rFonts w:hint="eastAsia"/>
                <w:sz w:val="24"/>
              </w:rPr>
              <w:t>备注</w:t>
            </w:r>
          </w:p>
        </w:tc>
        <w:tc>
          <w:tcPr>
            <w:tcW w:w="7800" w:type="dxa"/>
            <w:gridSpan w:val="3"/>
            <w:shd w:val="clear" w:color="auto" w:fill="auto"/>
          </w:tcPr>
          <w:p>
            <w:pPr>
              <w:widowControl/>
              <w:spacing w:line="360" w:lineRule="auto"/>
              <w:ind w:firstLine="480" w:firstLineChars="200"/>
              <w:rPr>
                <w:sz w:val="24"/>
              </w:rPr>
            </w:pPr>
            <w:r>
              <w:rPr>
                <w:rFonts w:hint="eastAsia"/>
                <w:sz w:val="24"/>
              </w:rPr>
              <w:t>设计时需要注意有些行业标准对某些灯具的要求比《建筑照明设计标准》GB50034-2013更高</w:t>
            </w:r>
            <w:r>
              <w:rPr>
                <w:sz w:val="24"/>
              </w:rPr>
              <w:t>。</w:t>
            </w:r>
          </w:p>
          <w:p>
            <w:pPr>
              <w:widowControl/>
              <w:spacing w:line="360" w:lineRule="auto"/>
              <w:ind w:firstLine="480" w:firstLineChars="200"/>
              <w:rPr>
                <w:sz w:val="24"/>
              </w:rPr>
            </w:pPr>
            <w:r>
              <w:rPr>
                <w:rFonts w:hint="eastAsia"/>
                <w:sz w:val="24"/>
              </w:rPr>
              <w:t>本条属于一星级的要求。</w:t>
            </w:r>
          </w:p>
        </w:tc>
      </w:tr>
    </w:tbl>
    <w:p>
      <w:pPr>
        <w:spacing w:line="360" w:lineRule="auto"/>
        <w:ind w:firstLine="200"/>
        <w:rPr>
          <w:rFonts w:asciiTheme="minorEastAsia" w:hAnsiTheme="minorEastAsia" w:eastAsiaTheme="minorEastAsia"/>
          <w:sz w:val="24"/>
          <w:lang w:val="en-GB"/>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13、具有自然采光的区域，结合自然光布置灯具、控制照明：</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2209"/>
        <w:gridCol w:w="1260"/>
        <w:gridCol w:w="4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shd w:val="clear" w:color="auto" w:fill="auto"/>
            <w:vAlign w:val="center"/>
          </w:tcPr>
          <w:p>
            <w:pPr>
              <w:widowControl/>
              <w:spacing w:line="360" w:lineRule="auto"/>
              <w:rPr>
                <w:sz w:val="24"/>
              </w:rPr>
            </w:pPr>
            <w:r>
              <w:rPr>
                <w:rFonts w:hint="eastAsia"/>
                <w:sz w:val="24"/>
              </w:rPr>
              <w:t>条文来源</w:t>
            </w:r>
          </w:p>
        </w:tc>
        <w:tc>
          <w:tcPr>
            <w:tcW w:w="2209" w:type="dxa"/>
            <w:shd w:val="clear" w:color="auto" w:fill="auto"/>
            <w:vAlign w:val="center"/>
          </w:tcPr>
          <w:p>
            <w:pPr>
              <w:widowControl/>
              <w:spacing w:line="360" w:lineRule="auto"/>
              <w:rPr>
                <w:sz w:val="24"/>
              </w:rPr>
            </w:pPr>
            <w:r>
              <w:rPr>
                <w:rFonts w:hint="eastAsia"/>
                <w:sz w:val="24"/>
              </w:rPr>
              <w:t>DB33/1092-2021</w:t>
            </w:r>
          </w:p>
        </w:tc>
        <w:tc>
          <w:tcPr>
            <w:tcW w:w="1260" w:type="dxa"/>
            <w:shd w:val="clear" w:color="auto" w:fill="auto"/>
            <w:vAlign w:val="center"/>
          </w:tcPr>
          <w:p>
            <w:pPr>
              <w:widowControl/>
              <w:spacing w:line="360" w:lineRule="auto"/>
              <w:rPr>
                <w:sz w:val="24"/>
              </w:rPr>
            </w:pPr>
            <w:r>
              <w:rPr>
                <w:rFonts w:hint="eastAsia"/>
                <w:sz w:val="24"/>
              </w:rPr>
              <w:t>9.3.7条</w:t>
            </w:r>
          </w:p>
        </w:tc>
        <w:tc>
          <w:tcPr>
            <w:tcW w:w="4379" w:type="dxa"/>
            <w:shd w:val="clear" w:color="auto" w:fill="auto"/>
            <w:vAlign w:val="center"/>
          </w:tcPr>
          <w:p>
            <w:pPr>
              <w:widowControl/>
              <w:spacing w:line="360" w:lineRule="auto"/>
              <w:ind w:firstLine="420"/>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shd w:val="clear" w:color="auto" w:fill="auto"/>
            <w:vAlign w:val="center"/>
          </w:tcPr>
          <w:p>
            <w:pPr>
              <w:widowControl/>
              <w:spacing w:line="360" w:lineRule="auto"/>
              <w:rPr>
                <w:sz w:val="24"/>
              </w:rPr>
            </w:pPr>
            <w:r>
              <w:rPr>
                <w:rFonts w:hint="eastAsia"/>
                <w:sz w:val="24"/>
              </w:rPr>
              <w:t>依据材料</w:t>
            </w:r>
          </w:p>
        </w:tc>
        <w:tc>
          <w:tcPr>
            <w:tcW w:w="7848" w:type="dxa"/>
            <w:gridSpan w:val="3"/>
            <w:shd w:val="clear" w:color="auto" w:fill="auto"/>
          </w:tcPr>
          <w:p>
            <w:pPr>
              <w:widowControl/>
              <w:spacing w:line="360" w:lineRule="auto"/>
              <w:ind w:firstLine="480" w:firstLineChars="200"/>
              <w:rPr>
                <w:sz w:val="24"/>
              </w:rPr>
            </w:pPr>
            <w:r>
              <w:rPr>
                <w:rFonts w:hint="eastAsia"/>
                <w:sz w:val="24"/>
              </w:rPr>
              <w:t>设计人员应根据照明设计施工图中灯具的布置、控制，结合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7" w:type="dxa"/>
            <w:shd w:val="clear" w:color="auto" w:fill="auto"/>
            <w:vAlign w:val="center"/>
          </w:tcPr>
          <w:p>
            <w:pPr>
              <w:widowControl/>
              <w:spacing w:line="360" w:lineRule="auto"/>
              <w:rPr>
                <w:sz w:val="24"/>
              </w:rPr>
            </w:pPr>
            <w:r>
              <w:rPr>
                <w:rFonts w:hint="eastAsia"/>
                <w:sz w:val="24"/>
              </w:rPr>
              <w:t>备注</w:t>
            </w:r>
          </w:p>
        </w:tc>
        <w:tc>
          <w:tcPr>
            <w:tcW w:w="7848" w:type="dxa"/>
            <w:gridSpan w:val="3"/>
            <w:shd w:val="clear" w:color="auto" w:fill="auto"/>
          </w:tcPr>
          <w:p>
            <w:pPr>
              <w:widowControl/>
              <w:spacing w:line="360" w:lineRule="auto"/>
              <w:ind w:firstLine="480" w:firstLineChars="200"/>
              <w:rPr>
                <w:sz w:val="24"/>
              </w:rPr>
            </w:pPr>
            <w:r>
              <w:rPr>
                <w:rFonts w:hint="eastAsia"/>
                <w:sz w:val="24"/>
              </w:rPr>
              <w:t>设计时需要注意灯具的控制分组与自然光照强度相配合</w:t>
            </w:r>
            <w:r>
              <w:rPr>
                <w:sz w:val="24"/>
              </w:rPr>
              <w:t>。</w:t>
            </w:r>
          </w:p>
          <w:p>
            <w:pPr>
              <w:widowControl/>
              <w:spacing w:line="360" w:lineRule="auto"/>
              <w:ind w:firstLine="480" w:firstLineChars="200"/>
              <w:rPr>
                <w:sz w:val="24"/>
              </w:rPr>
            </w:pPr>
            <w:r>
              <w:rPr>
                <w:rFonts w:hint="eastAsia"/>
                <w:sz w:val="24"/>
              </w:rPr>
              <w:t>本条属于二星级的要求。</w:t>
            </w:r>
          </w:p>
        </w:tc>
      </w:tr>
    </w:tbl>
    <w:p>
      <w:pPr>
        <w:spacing w:line="360" w:lineRule="auto"/>
        <w:rPr>
          <w:rFonts w:hAnsi="宋体"/>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14、电动机、交流接触器的能效等级：</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7"/>
        <w:gridCol w:w="2149"/>
        <w:gridCol w:w="1573"/>
        <w:gridCol w:w="3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shd w:val="clear" w:color="auto" w:fill="auto"/>
            <w:vAlign w:val="center"/>
          </w:tcPr>
          <w:p>
            <w:pPr>
              <w:pStyle w:val="84"/>
              <w:spacing w:line="360" w:lineRule="auto"/>
              <w:rPr>
                <w:sz w:val="24"/>
              </w:rPr>
            </w:pPr>
            <w:r>
              <w:rPr>
                <w:rFonts w:hint="eastAsia"/>
                <w:sz w:val="24"/>
              </w:rPr>
              <w:t>条文来源</w:t>
            </w:r>
          </w:p>
        </w:tc>
        <w:tc>
          <w:tcPr>
            <w:tcW w:w="2149" w:type="dxa"/>
            <w:shd w:val="clear" w:color="auto" w:fill="auto"/>
            <w:vAlign w:val="center"/>
          </w:tcPr>
          <w:p>
            <w:pPr>
              <w:pStyle w:val="84"/>
              <w:spacing w:line="360" w:lineRule="auto"/>
              <w:jc w:val="left"/>
              <w:rPr>
                <w:sz w:val="24"/>
              </w:rPr>
            </w:pPr>
            <w:r>
              <w:rPr>
                <w:rFonts w:hint="eastAsia"/>
                <w:sz w:val="24"/>
              </w:rPr>
              <w:t>DB33/1092-2021</w:t>
            </w:r>
          </w:p>
        </w:tc>
        <w:tc>
          <w:tcPr>
            <w:tcW w:w="1573" w:type="dxa"/>
            <w:shd w:val="clear" w:color="auto" w:fill="auto"/>
            <w:vAlign w:val="center"/>
          </w:tcPr>
          <w:p>
            <w:pPr>
              <w:pStyle w:val="84"/>
              <w:spacing w:line="360" w:lineRule="auto"/>
              <w:jc w:val="left"/>
              <w:rPr>
                <w:sz w:val="24"/>
              </w:rPr>
            </w:pPr>
            <w:r>
              <w:rPr>
                <w:rFonts w:hint="eastAsia"/>
                <w:sz w:val="24"/>
              </w:rPr>
              <w:t>9.2.2条</w:t>
            </w:r>
          </w:p>
        </w:tc>
        <w:tc>
          <w:tcPr>
            <w:tcW w:w="3865" w:type="dxa"/>
            <w:shd w:val="clear" w:color="auto" w:fill="auto"/>
            <w:vAlign w:val="center"/>
          </w:tcPr>
          <w:p>
            <w:pPr>
              <w:pStyle w:val="84"/>
              <w:spacing w:line="360" w:lineRule="auto"/>
              <w:ind w:firstLine="420"/>
              <w:jc w:val="left"/>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shd w:val="clear" w:color="auto" w:fill="auto"/>
            <w:vAlign w:val="center"/>
          </w:tcPr>
          <w:p>
            <w:pPr>
              <w:pStyle w:val="84"/>
              <w:spacing w:line="360" w:lineRule="auto"/>
              <w:rPr>
                <w:sz w:val="24"/>
              </w:rPr>
            </w:pPr>
            <w:r>
              <w:rPr>
                <w:rFonts w:hint="eastAsia"/>
                <w:sz w:val="24"/>
              </w:rPr>
              <w:t>依据材料</w:t>
            </w:r>
          </w:p>
        </w:tc>
        <w:tc>
          <w:tcPr>
            <w:tcW w:w="7587" w:type="dxa"/>
            <w:gridSpan w:val="3"/>
            <w:shd w:val="clear" w:color="auto" w:fill="auto"/>
          </w:tcPr>
          <w:p>
            <w:pPr>
              <w:pStyle w:val="84"/>
              <w:spacing w:line="360" w:lineRule="auto"/>
              <w:ind w:firstLine="480" w:firstLineChars="200"/>
              <w:jc w:val="left"/>
              <w:rPr>
                <w:sz w:val="24"/>
              </w:rPr>
            </w:pPr>
            <w:r>
              <w:rPr>
                <w:rFonts w:hint="eastAsia"/>
                <w:sz w:val="24"/>
              </w:rPr>
              <w:t>设计人员应根据施工图设计说明或设备选型表，结合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shd w:val="clear" w:color="auto" w:fill="auto"/>
            <w:vAlign w:val="center"/>
          </w:tcPr>
          <w:p>
            <w:pPr>
              <w:pStyle w:val="84"/>
              <w:spacing w:line="360" w:lineRule="auto"/>
              <w:rPr>
                <w:sz w:val="24"/>
              </w:rPr>
            </w:pPr>
            <w:r>
              <w:rPr>
                <w:rFonts w:hint="eastAsia"/>
                <w:sz w:val="24"/>
              </w:rPr>
              <w:t>备注</w:t>
            </w:r>
          </w:p>
        </w:tc>
        <w:tc>
          <w:tcPr>
            <w:tcW w:w="7587" w:type="dxa"/>
            <w:gridSpan w:val="3"/>
            <w:shd w:val="clear" w:color="auto" w:fill="auto"/>
          </w:tcPr>
          <w:p>
            <w:pPr>
              <w:pStyle w:val="84"/>
              <w:spacing w:line="360" w:lineRule="auto"/>
              <w:ind w:firstLine="480" w:firstLineChars="200"/>
              <w:jc w:val="left"/>
              <w:rPr>
                <w:sz w:val="24"/>
              </w:rPr>
            </w:pPr>
            <w:r>
              <w:rPr>
                <w:rFonts w:hint="eastAsia"/>
                <w:sz w:val="24"/>
              </w:rPr>
              <w:t>本条属于一星级的要求。</w:t>
            </w:r>
          </w:p>
        </w:tc>
      </w:tr>
    </w:tbl>
    <w:p>
      <w:pPr>
        <w:spacing w:line="360" w:lineRule="auto"/>
        <w:ind w:firstLine="360" w:firstLineChars="150"/>
        <w:rPr>
          <w:rFonts w:asciiTheme="minorEastAsia" w:hAnsiTheme="minorEastAsia" w:eastAsiaTheme="minorEastAsia"/>
          <w:sz w:val="24"/>
        </w:rPr>
      </w:pPr>
    </w:p>
    <w:p>
      <w:pPr>
        <w:spacing w:line="360" w:lineRule="auto"/>
        <w:ind w:firstLine="360" w:firstLineChars="150"/>
        <w:rPr>
          <w:rFonts w:asciiTheme="minorEastAsia" w:hAnsiTheme="minorEastAsia" w:eastAsiaTheme="minorEastAsia"/>
          <w:sz w:val="24"/>
          <w:lang w:val="en-GB"/>
        </w:rPr>
      </w:pPr>
      <w:r>
        <w:rPr>
          <w:rFonts w:hint="eastAsia" w:asciiTheme="minorEastAsia" w:hAnsiTheme="minorEastAsia" w:eastAsiaTheme="minorEastAsia"/>
          <w:sz w:val="24"/>
          <w:lang w:val="en-GB"/>
        </w:rPr>
        <w:t>15、</w:t>
      </w:r>
      <w:r>
        <w:rPr>
          <w:rFonts w:asciiTheme="minorEastAsia" w:hAnsiTheme="minorEastAsia" w:eastAsiaTheme="minorEastAsia"/>
          <w:sz w:val="24"/>
          <w:lang w:val="en-GB"/>
        </w:rPr>
        <w:t>根据各专业动力设备的工艺要求，确定合理的电动机启、停、调速等控制方式：</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7"/>
        <w:gridCol w:w="2149"/>
        <w:gridCol w:w="1573"/>
        <w:gridCol w:w="3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shd w:val="clear" w:color="auto" w:fill="auto"/>
            <w:vAlign w:val="center"/>
          </w:tcPr>
          <w:p>
            <w:pPr>
              <w:pStyle w:val="84"/>
              <w:spacing w:line="360" w:lineRule="auto"/>
              <w:rPr>
                <w:sz w:val="24"/>
              </w:rPr>
            </w:pPr>
            <w:r>
              <w:rPr>
                <w:rFonts w:hint="eastAsia"/>
                <w:sz w:val="24"/>
              </w:rPr>
              <w:t>条文来源</w:t>
            </w:r>
          </w:p>
        </w:tc>
        <w:tc>
          <w:tcPr>
            <w:tcW w:w="2149" w:type="dxa"/>
            <w:shd w:val="clear" w:color="auto" w:fill="auto"/>
            <w:vAlign w:val="center"/>
          </w:tcPr>
          <w:p>
            <w:pPr>
              <w:pStyle w:val="84"/>
              <w:spacing w:line="360" w:lineRule="auto"/>
              <w:jc w:val="left"/>
              <w:rPr>
                <w:sz w:val="24"/>
              </w:rPr>
            </w:pPr>
            <w:r>
              <w:rPr>
                <w:rFonts w:hint="eastAsia"/>
                <w:sz w:val="24"/>
              </w:rPr>
              <w:t>DB33/1015-2021</w:t>
            </w:r>
          </w:p>
        </w:tc>
        <w:tc>
          <w:tcPr>
            <w:tcW w:w="1573" w:type="dxa"/>
            <w:shd w:val="clear" w:color="auto" w:fill="auto"/>
            <w:vAlign w:val="center"/>
          </w:tcPr>
          <w:p>
            <w:pPr>
              <w:pStyle w:val="84"/>
              <w:spacing w:line="360" w:lineRule="auto"/>
              <w:jc w:val="left"/>
              <w:rPr>
                <w:sz w:val="24"/>
              </w:rPr>
            </w:pPr>
            <w:r>
              <w:rPr>
                <w:rFonts w:hint="eastAsia"/>
                <w:sz w:val="24"/>
              </w:rPr>
              <w:t>8.4.1条</w:t>
            </w:r>
          </w:p>
        </w:tc>
        <w:tc>
          <w:tcPr>
            <w:tcW w:w="3865" w:type="dxa"/>
            <w:shd w:val="clear" w:color="auto" w:fill="auto"/>
            <w:vAlign w:val="center"/>
          </w:tcPr>
          <w:p>
            <w:pPr>
              <w:pStyle w:val="84"/>
              <w:spacing w:line="360" w:lineRule="auto"/>
              <w:ind w:firstLine="420"/>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shd w:val="clear" w:color="auto" w:fill="auto"/>
            <w:vAlign w:val="center"/>
          </w:tcPr>
          <w:p>
            <w:pPr>
              <w:pStyle w:val="84"/>
              <w:spacing w:line="360" w:lineRule="auto"/>
              <w:rPr>
                <w:sz w:val="24"/>
              </w:rPr>
            </w:pPr>
            <w:r>
              <w:rPr>
                <w:rFonts w:hint="eastAsia"/>
                <w:sz w:val="24"/>
              </w:rPr>
              <w:t>依据材料</w:t>
            </w:r>
          </w:p>
        </w:tc>
        <w:tc>
          <w:tcPr>
            <w:tcW w:w="7587" w:type="dxa"/>
            <w:gridSpan w:val="3"/>
            <w:shd w:val="clear" w:color="auto" w:fill="auto"/>
          </w:tcPr>
          <w:p>
            <w:pPr>
              <w:pStyle w:val="84"/>
              <w:spacing w:line="360" w:lineRule="auto"/>
              <w:ind w:firstLine="480" w:firstLineChars="200"/>
              <w:jc w:val="left"/>
              <w:rPr>
                <w:sz w:val="24"/>
              </w:rPr>
            </w:pPr>
            <w:r>
              <w:rPr>
                <w:rFonts w:hint="eastAsia"/>
                <w:sz w:val="24"/>
              </w:rPr>
              <w:t>设计人员应根据动力设备控制设计施工图，结合</w:t>
            </w:r>
            <w:r>
              <w:rPr>
                <w:sz w:val="24"/>
              </w:rPr>
              <w:t>项目实际，</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shd w:val="clear" w:color="auto" w:fill="auto"/>
            <w:vAlign w:val="center"/>
          </w:tcPr>
          <w:p>
            <w:pPr>
              <w:pStyle w:val="84"/>
              <w:spacing w:line="360" w:lineRule="auto"/>
              <w:rPr>
                <w:sz w:val="24"/>
              </w:rPr>
            </w:pPr>
            <w:r>
              <w:rPr>
                <w:rFonts w:hint="eastAsia"/>
                <w:sz w:val="24"/>
              </w:rPr>
              <w:t>备注</w:t>
            </w:r>
          </w:p>
        </w:tc>
        <w:tc>
          <w:tcPr>
            <w:tcW w:w="7587" w:type="dxa"/>
            <w:gridSpan w:val="3"/>
            <w:shd w:val="clear" w:color="auto" w:fill="auto"/>
          </w:tcPr>
          <w:p>
            <w:pPr>
              <w:pStyle w:val="84"/>
              <w:spacing w:line="360" w:lineRule="auto"/>
              <w:ind w:firstLine="480" w:firstLineChars="200"/>
              <w:jc w:val="left"/>
              <w:rPr>
                <w:sz w:val="24"/>
              </w:rPr>
            </w:pPr>
            <w:r>
              <w:rPr>
                <w:rFonts w:hint="eastAsia"/>
                <w:sz w:val="24"/>
              </w:rPr>
              <w:t>在动力设备控制设计时，电气是配合专业，具体的工艺要求由主导专业提出。</w:t>
            </w:r>
          </w:p>
          <w:p>
            <w:pPr>
              <w:pStyle w:val="84"/>
              <w:spacing w:line="360" w:lineRule="auto"/>
              <w:ind w:firstLine="480" w:firstLineChars="200"/>
              <w:jc w:val="left"/>
              <w:rPr>
                <w:sz w:val="24"/>
              </w:rPr>
            </w:pPr>
            <w:r>
              <w:rPr>
                <w:rFonts w:hint="eastAsia"/>
                <w:sz w:val="24"/>
              </w:rPr>
              <w:t>设计人员可以绘制二次控制图，也可详细说明控制的具体要求，由配套厂家实施。</w:t>
            </w:r>
          </w:p>
        </w:tc>
      </w:tr>
    </w:tbl>
    <w:p>
      <w:pPr>
        <w:spacing w:line="360" w:lineRule="auto"/>
        <w:rPr>
          <w:rFonts w:hAnsi="宋体"/>
          <w:sz w:val="24"/>
        </w:rPr>
      </w:pPr>
    </w:p>
    <w:p>
      <w:pPr>
        <w:spacing w:line="360" w:lineRule="auto"/>
        <w:rPr>
          <w:rFonts w:hAnsi="宋体"/>
          <w:sz w:val="24"/>
          <w:lang w:val="en-GB"/>
        </w:rPr>
      </w:pPr>
      <w:r>
        <w:rPr>
          <w:rFonts w:hint="eastAsia" w:hAnsi="宋体"/>
          <w:sz w:val="24"/>
          <w:lang w:val="en-GB"/>
        </w:rPr>
        <w:t>16、选用配备高效电机及先进控制技术的电梯，</w:t>
      </w:r>
      <w:r>
        <w:rPr>
          <w:rFonts w:hAnsi="宋体"/>
          <w:sz w:val="24"/>
        </w:rPr>
        <w:t>具有节能运行功能</w:t>
      </w:r>
      <w:r>
        <w:rPr>
          <w:rFonts w:hint="eastAsia" w:hAnsi="宋体"/>
          <w:sz w:val="24"/>
          <w:lang w:val="en-GB"/>
        </w:rPr>
        <w:t>；</w:t>
      </w:r>
    </w:p>
    <w:p>
      <w:pPr>
        <w:spacing w:line="360" w:lineRule="auto"/>
        <w:ind w:firstLine="360" w:firstLineChars="150"/>
        <w:rPr>
          <w:rFonts w:hAnsi="宋体"/>
          <w:sz w:val="24"/>
          <w:lang w:val="en-GB"/>
        </w:rPr>
      </w:pPr>
      <w:r>
        <w:rPr>
          <w:rFonts w:hint="eastAsia" w:hAnsi="宋体"/>
          <w:sz w:val="24"/>
          <w:lang w:val="en-GB"/>
        </w:rPr>
        <w:t>当2台及以上电梯成组布置时，具备群控的功能。</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09"/>
        <w:gridCol w:w="2120"/>
        <w:gridCol w:w="1581"/>
        <w:gridCol w:w="3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9" w:type="dxa"/>
            <w:shd w:val="clear" w:color="auto" w:fill="auto"/>
            <w:vAlign w:val="center"/>
          </w:tcPr>
          <w:p>
            <w:pPr>
              <w:spacing w:line="360" w:lineRule="auto"/>
              <w:jc w:val="center"/>
              <w:rPr>
                <w:rFonts w:hAnsi="宋体"/>
                <w:sz w:val="24"/>
              </w:rPr>
            </w:pPr>
            <w:r>
              <w:rPr>
                <w:rFonts w:hint="eastAsia" w:hAnsi="宋体"/>
                <w:sz w:val="24"/>
              </w:rPr>
              <w:t>条文来源</w:t>
            </w:r>
          </w:p>
        </w:tc>
        <w:tc>
          <w:tcPr>
            <w:tcW w:w="2120" w:type="dxa"/>
            <w:shd w:val="clear" w:color="auto" w:fill="auto"/>
            <w:vAlign w:val="center"/>
          </w:tcPr>
          <w:p>
            <w:pPr>
              <w:spacing w:line="360" w:lineRule="auto"/>
              <w:rPr>
                <w:rFonts w:hAnsi="宋体"/>
                <w:sz w:val="24"/>
              </w:rPr>
            </w:pPr>
            <w:r>
              <w:rPr>
                <w:rFonts w:hint="eastAsia" w:hAnsi="宋体"/>
                <w:sz w:val="24"/>
                <w:lang w:val="en-GB"/>
              </w:rPr>
              <w:t>DB33/1092-2021</w:t>
            </w:r>
          </w:p>
        </w:tc>
        <w:tc>
          <w:tcPr>
            <w:tcW w:w="1581" w:type="dxa"/>
            <w:shd w:val="clear" w:color="auto" w:fill="auto"/>
            <w:vAlign w:val="center"/>
          </w:tcPr>
          <w:p>
            <w:pPr>
              <w:spacing w:line="360" w:lineRule="auto"/>
              <w:rPr>
                <w:rFonts w:hAnsi="宋体"/>
                <w:sz w:val="24"/>
              </w:rPr>
            </w:pPr>
            <w:r>
              <w:rPr>
                <w:rFonts w:hint="eastAsia" w:hAnsi="宋体"/>
                <w:sz w:val="24"/>
              </w:rPr>
              <w:t>9.2.</w:t>
            </w:r>
            <w:r>
              <w:rPr>
                <w:rFonts w:hAnsi="宋体"/>
                <w:sz w:val="24"/>
              </w:rPr>
              <w:t>9</w:t>
            </w:r>
            <w:r>
              <w:rPr>
                <w:rFonts w:hint="eastAsia" w:hAnsi="宋体"/>
                <w:sz w:val="24"/>
              </w:rPr>
              <w:t>条</w:t>
            </w:r>
          </w:p>
        </w:tc>
        <w:tc>
          <w:tcPr>
            <w:tcW w:w="3898" w:type="dxa"/>
            <w:shd w:val="clear" w:color="auto" w:fill="auto"/>
            <w:vAlign w:val="center"/>
          </w:tcPr>
          <w:p>
            <w:pPr>
              <w:spacing w:line="360" w:lineRule="auto"/>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9" w:type="dxa"/>
            <w:shd w:val="clear" w:color="auto" w:fill="auto"/>
            <w:vAlign w:val="center"/>
          </w:tcPr>
          <w:p>
            <w:pPr>
              <w:spacing w:line="360" w:lineRule="auto"/>
              <w:jc w:val="center"/>
              <w:rPr>
                <w:rFonts w:hAnsi="宋体"/>
                <w:sz w:val="24"/>
              </w:rPr>
            </w:pPr>
            <w:r>
              <w:rPr>
                <w:rFonts w:hint="eastAsia" w:hAnsi="宋体"/>
                <w:sz w:val="24"/>
              </w:rPr>
              <w:t>依据材料</w:t>
            </w:r>
          </w:p>
        </w:tc>
        <w:tc>
          <w:tcPr>
            <w:tcW w:w="7599" w:type="dxa"/>
            <w:gridSpan w:val="3"/>
            <w:shd w:val="clear" w:color="auto" w:fill="auto"/>
          </w:tcPr>
          <w:p>
            <w:pPr>
              <w:autoSpaceDE w:val="0"/>
              <w:autoSpaceDN w:val="0"/>
              <w:adjustRightInd w:val="0"/>
              <w:spacing w:line="360" w:lineRule="auto"/>
              <w:ind w:firstLine="480" w:firstLineChars="200"/>
              <w:rPr>
                <w:rFonts w:hAnsi="宋体"/>
                <w:sz w:val="24"/>
              </w:rPr>
            </w:pPr>
            <w:r>
              <w:rPr>
                <w:rFonts w:hint="eastAsia" w:hAnsi="宋体"/>
                <w:sz w:val="24"/>
              </w:rPr>
              <w:t>设计人员应根据电梯的选型要求，结合</w:t>
            </w:r>
            <w:r>
              <w:rPr>
                <w:rFonts w:hAnsi="宋体"/>
                <w:sz w:val="24"/>
              </w:rPr>
              <w:t>项目实际，</w:t>
            </w:r>
            <w:r>
              <w:rPr>
                <w:rFonts w:hint="eastAsia" w:hAnsi="宋体"/>
                <w:sz w:val="24"/>
              </w:rPr>
              <w:t>填写</w:t>
            </w:r>
            <w:r>
              <w:rPr>
                <w:rFonts w:hAnsi="宋体"/>
                <w:sz w:val="24"/>
              </w:rPr>
              <w:t>此</w:t>
            </w:r>
            <w:r>
              <w:rPr>
                <w:rFonts w:hint="eastAsia" w:hAnsi="宋体"/>
                <w:sz w:val="24"/>
              </w:rPr>
              <w:t>条</w:t>
            </w:r>
            <w:r>
              <w:rPr>
                <w:rFonts w:hAnsi="宋体"/>
                <w:sz w:val="24"/>
              </w:rPr>
              <w:t>内容</w:t>
            </w:r>
            <w:r>
              <w:rPr>
                <w:rFonts w:hint="eastAsia" w:hAnsi="宋体"/>
                <w:sz w:val="24"/>
              </w:rPr>
              <w:t>。</w:t>
            </w:r>
          </w:p>
          <w:p>
            <w:pPr>
              <w:autoSpaceDE w:val="0"/>
              <w:autoSpaceDN w:val="0"/>
              <w:adjustRightInd w:val="0"/>
              <w:spacing w:line="360" w:lineRule="auto"/>
              <w:ind w:firstLine="480" w:firstLineChars="200"/>
              <w:rPr>
                <w:rFonts w:hAnsi="宋体"/>
                <w:sz w:val="24"/>
              </w:rPr>
            </w:pPr>
            <w:r>
              <w:rPr>
                <w:rFonts w:hint="eastAsia" w:hAnsi="宋体"/>
                <w:sz w:val="24"/>
              </w:rPr>
              <w:t>当电梯单台布置时，不要求群控功能，但应满足第一项的要求。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09" w:type="dxa"/>
            <w:shd w:val="clear" w:color="auto" w:fill="auto"/>
            <w:vAlign w:val="center"/>
          </w:tcPr>
          <w:p>
            <w:pPr>
              <w:autoSpaceDE w:val="0"/>
              <w:autoSpaceDN w:val="0"/>
              <w:adjustRightInd w:val="0"/>
              <w:spacing w:line="360" w:lineRule="auto"/>
              <w:jc w:val="left"/>
              <w:rPr>
                <w:rFonts w:hAnsi="宋体"/>
                <w:sz w:val="24"/>
              </w:rPr>
            </w:pPr>
            <w:r>
              <w:rPr>
                <w:rFonts w:hint="eastAsia" w:hAnsi="宋体"/>
                <w:sz w:val="24"/>
              </w:rPr>
              <w:t>备注</w:t>
            </w:r>
          </w:p>
        </w:tc>
        <w:tc>
          <w:tcPr>
            <w:tcW w:w="7599" w:type="dxa"/>
            <w:gridSpan w:val="3"/>
            <w:shd w:val="clear" w:color="auto" w:fill="auto"/>
          </w:tcPr>
          <w:p>
            <w:pPr>
              <w:autoSpaceDE w:val="0"/>
              <w:autoSpaceDN w:val="0"/>
              <w:adjustRightInd w:val="0"/>
              <w:spacing w:line="360" w:lineRule="auto"/>
              <w:ind w:firstLine="480" w:firstLineChars="200"/>
              <w:rPr>
                <w:rFonts w:hAnsi="宋体"/>
                <w:sz w:val="24"/>
              </w:rPr>
            </w:pPr>
            <w:r>
              <w:rPr>
                <w:rFonts w:hint="eastAsia" w:hAnsi="宋体"/>
                <w:sz w:val="24"/>
              </w:rPr>
              <w:t>电</w:t>
            </w:r>
            <w:r>
              <w:rPr>
                <w:rFonts w:hAnsi="宋体"/>
                <w:sz w:val="24"/>
              </w:rPr>
              <w:t>梯能耗占建筑的总能耗量较大。应选用效率高的节能电梯，如选用无齿轮电梯、能源再生电梯等高效节能电梯。群控功能的实施，可降低电梯空载率，减少乘客等候时间，达到节能目的。</w:t>
            </w:r>
          </w:p>
          <w:p>
            <w:pPr>
              <w:autoSpaceDE w:val="0"/>
              <w:autoSpaceDN w:val="0"/>
              <w:adjustRightInd w:val="0"/>
              <w:spacing w:line="360" w:lineRule="auto"/>
              <w:ind w:firstLine="480" w:firstLineChars="200"/>
              <w:rPr>
                <w:rFonts w:hAnsi="宋体"/>
                <w:sz w:val="24"/>
              </w:rPr>
            </w:pPr>
            <w:r>
              <w:rPr>
                <w:rFonts w:hint="eastAsia" w:hAnsi="宋体"/>
                <w:sz w:val="24"/>
              </w:rPr>
              <w:t>在工程实际中，电梯大多由建筑专业确定，电气专业应在说明中明确要求，并提请相关专业注意。</w:t>
            </w:r>
          </w:p>
          <w:p>
            <w:pPr>
              <w:autoSpaceDE w:val="0"/>
              <w:autoSpaceDN w:val="0"/>
              <w:adjustRightInd w:val="0"/>
              <w:spacing w:line="360" w:lineRule="auto"/>
              <w:ind w:firstLine="480" w:firstLineChars="200"/>
              <w:rPr>
                <w:rFonts w:hAnsi="宋体"/>
                <w:sz w:val="24"/>
              </w:rPr>
            </w:pPr>
            <w:r>
              <w:rPr>
                <w:rFonts w:hint="eastAsia" w:hAnsi="宋体"/>
                <w:sz w:val="24"/>
              </w:rPr>
              <w:t>本条属于一星级的要求。</w:t>
            </w:r>
          </w:p>
        </w:tc>
      </w:tr>
    </w:tbl>
    <w:p>
      <w:pPr>
        <w:spacing w:line="360" w:lineRule="auto"/>
        <w:rPr>
          <w:rFonts w:hAnsi="宋体"/>
          <w:sz w:val="24"/>
          <w:lang w:val="en-GB"/>
        </w:rPr>
      </w:pPr>
    </w:p>
    <w:p>
      <w:pPr>
        <w:spacing w:line="360" w:lineRule="auto"/>
        <w:jc w:val="left"/>
        <w:rPr>
          <w:rFonts w:hAnsi="宋体"/>
          <w:sz w:val="24"/>
          <w:lang w:val="en-GB"/>
        </w:rPr>
      </w:pPr>
      <w:r>
        <w:rPr>
          <w:rFonts w:hint="eastAsia" w:hAnsi="宋体"/>
          <w:sz w:val="24"/>
          <w:lang w:val="en-GB"/>
        </w:rPr>
        <w:t>17、</w:t>
      </w:r>
      <w:r>
        <w:rPr>
          <w:rFonts w:hint="eastAsia"/>
          <w:sz w:val="24"/>
          <w:lang w:val="en-GB"/>
        </w:rPr>
        <w:t>家用电器选用中国能效标识二级及以上的产品：</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7"/>
        <w:gridCol w:w="2147"/>
        <w:gridCol w:w="1585"/>
        <w:gridCol w:w="3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shd w:val="clear" w:color="auto" w:fill="auto"/>
            <w:vAlign w:val="center"/>
          </w:tcPr>
          <w:p>
            <w:pPr>
              <w:spacing w:line="360" w:lineRule="auto"/>
              <w:jc w:val="center"/>
              <w:rPr>
                <w:rFonts w:hAnsi="宋体"/>
                <w:sz w:val="24"/>
              </w:rPr>
            </w:pPr>
            <w:r>
              <w:rPr>
                <w:rFonts w:hint="eastAsia" w:hAnsi="宋体"/>
                <w:sz w:val="24"/>
              </w:rPr>
              <w:t>条文来源</w:t>
            </w:r>
          </w:p>
        </w:tc>
        <w:tc>
          <w:tcPr>
            <w:tcW w:w="2147" w:type="dxa"/>
            <w:shd w:val="clear" w:color="auto" w:fill="auto"/>
            <w:vAlign w:val="center"/>
          </w:tcPr>
          <w:p>
            <w:pPr>
              <w:spacing w:line="360" w:lineRule="auto"/>
              <w:rPr>
                <w:rFonts w:hAnsi="宋体"/>
                <w:sz w:val="24"/>
              </w:rPr>
            </w:pPr>
            <w:r>
              <w:rPr>
                <w:rFonts w:hint="eastAsia" w:hAnsi="宋体"/>
                <w:sz w:val="24"/>
                <w:lang w:val="en-GB"/>
              </w:rPr>
              <w:t>DB33/1015-2021</w:t>
            </w:r>
          </w:p>
        </w:tc>
        <w:tc>
          <w:tcPr>
            <w:tcW w:w="1585" w:type="dxa"/>
            <w:shd w:val="clear" w:color="auto" w:fill="auto"/>
            <w:vAlign w:val="center"/>
          </w:tcPr>
          <w:p>
            <w:pPr>
              <w:spacing w:line="360" w:lineRule="auto"/>
              <w:rPr>
                <w:rFonts w:hAnsi="宋体"/>
                <w:sz w:val="24"/>
              </w:rPr>
            </w:pPr>
            <w:r>
              <w:rPr>
                <w:rFonts w:hint="eastAsia" w:hAnsi="宋体"/>
                <w:sz w:val="24"/>
              </w:rPr>
              <w:t>8.4.3条</w:t>
            </w:r>
          </w:p>
        </w:tc>
        <w:tc>
          <w:tcPr>
            <w:tcW w:w="3856" w:type="dxa"/>
            <w:shd w:val="clear" w:color="auto" w:fill="auto"/>
            <w:vAlign w:val="center"/>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shd w:val="clear" w:color="auto" w:fill="auto"/>
            <w:vAlign w:val="center"/>
          </w:tcPr>
          <w:p>
            <w:pPr>
              <w:spacing w:line="360" w:lineRule="auto"/>
              <w:jc w:val="center"/>
              <w:rPr>
                <w:rFonts w:hAnsi="宋体"/>
                <w:sz w:val="24"/>
              </w:rPr>
            </w:pPr>
            <w:r>
              <w:rPr>
                <w:rFonts w:hint="eastAsia" w:hAnsi="宋体"/>
                <w:sz w:val="24"/>
              </w:rPr>
              <w:t>依据材料</w:t>
            </w:r>
          </w:p>
        </w:tc>
        <w:tc>
          <w:tcPr>
            <w:tcW w:w="7588"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设计人员应根据施工图，结合</w:t>
            </w:r>
            <w:r>
              <w:rPr>
                <w:rFonts w:hAnsi="宋体"/>
                <w:sz w:val="24"/>
              </w:rPr>
              <w:t>实际</w:t>
            </w:r>
            <w:r>
              <w:rPr>
                <w:rFonts w:hint="eastAsia" w:hAnsi="宋体"/>
                <w:sz w:val="24"/>
              </w:rPr>
              <w:t>情况</w:t>
            </w:r>
            <w:r>
              <w:rPr>
                <w:rFonts w:hAnsi="宋体"/>
                <w:sz w:val="24"/>
              </w:rPr>
              <w:t>，</w:t>
            </w:r>
            <w:r>
              <w:rPr>
                <w:rFonts w:hint="eastAsia" w:hAnsi="宋体"/>
                <w:sz w:val="24"/>
              </w:rPr>
              <w:t>填写</w:t>
            </w:r>
            <w:r>
              <w:rPr>
                <w:rFonts w:hAnsi="宋体"/>
                <w:sz w:val="24"/>
              </w:rPr>
              <w:t>此</w:t>
            </w:r>
            <w:r>
              <w:rPr>
                <w:rFonts w:hint="eastAsia" w:hAnsi="宋体"/>
                <w:sz w:val="24"/>
              </w:rPr>
              <w:t>条</w:t>
            </w:r>
            <w:r>
              <w:rPr>
                <w:rFonts w:hAnsi="宋体"/>
                <w:sz w:val="24"/>
              </w:rPr>
              <w:t>内容</w:t>
            </w:r>
            <w:r>
              <w:rPr>
                <w:rFonts w:hint="eastAsia"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shd w:val="clear" w:color="auto" w:fill="auto"/>
            <w:vAlign w:val="center"/>
          </w:tcPr>
          <w:p>
            <w:pPr>
              <w:autoSpaceDE w:val="0"/>
              <w:autoSpaceDN w:val="0"/>
              <w:adjustRightInd w:val="0"/>
              <w:spacing w:line="360" w:lineRule="auto"/>
              <w:jc w:val="left"/>
              <w:rPr>
                <w:rFonts w:hAnsi="宋体"/>
                <w:sz w:val="24"/>
              </w:rPr>
            </w:pPr>
            <w:r>
              <w:rPr>
                <w:rFonts w:hint="eastAsia" w:hAnsi="宋体"/>
                <w:sz w:val="24"/>
              </w:rPr>
              <w:t>备注</w:t>
            </w:r>
          </w:p>
        </w:tc>
        <w:tc>
          <w:tcPr>
            <w:tcW w:w="7588"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住宅精装修交付是将来的趋势，若设计时选用</w:t>
            </w:r>
            <w:r>
              <w:rPr>
                <w:rFonts w:hint="eastAsia"/>
                <w:sz w:val="24"/>
                <w:lang w:val="en-GB"/>
              </w:rPr>
              <w:t>家用电器时，应满足本条要求。</w:t>
            </w:r>
          </w:p>
        </w:tc>
      </w:tr>
    </w:tbl>
    <w:p>
      <w:pPr>
        <w:spacing w:line="360" w:lineRule="auto"/>
        <w:rPr>
          <w:rFonts w:hAnsi="宋体"/>
          <w:sz w:val="24"/>
        </w:rPr>
      </w:pPr>
    </w:p>
    <w:p>
      <w:pPr>
        <w:spacing w:line="360" w:lineRule="auto"/>
        <w:jc w:val="left"/>
        <w:rPr>
          <w:rFonts w:hAnsi="宋体"/>
          <w:sz w:val="24"/>
          <w:lang w:val="en-GB"/>
        </w:rPr>
      </w:pPr>
      <w:r>
        <w:rPr>
          <w:rFonts w:hint="eastAsia" w:hAnsi="宋体"/>
          <w:sz w:val="24"/>
          <w:lang w:val="en-GB"/>
        </w:rPr>
        <w:t>18、</w:t>
      </w:r>
      <w:r>
        <w:rPr>
          <w:rFonts w:hAnsi="宋体"/>
          <w:sz w:val="24"/>
        </w:rPr>
        <w:t>住宅、商业网点和公共设施等单独计量</w:t>
      </w:r>
      <w:r>
        <w:rPr>
          <w:rFonts w:hint="eastAsia" w:hAnsi="宋体"/>
          <w:sz w:val="24"/>
        </w:rPr>
        <w:t>用电量</w:t>
      </w:r>
      <w:r>
        <w:rPr>
          <w:rFonts w:hint="eastAsia" w:hAnsi="宋体"/>
          <w:sz w:val="24"/>
          <w:lang w:val="en-GB"/>
        </w:rPr>
        <w:t>。</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7"/>
        <w:gridCol w:w="2147"/>
        <w:gridCol w:w="1585"/>
        <w:gridCol w:w="38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 w:hRule="atLeast"/>
          <w:jc w:val="center"/>
        </w:trPr>
        <w:tc>
          <w:tcPr>
            <w:tcW w:w="1397" w:type="dxa"/>
            <w:shd w:val="clear" w:color="auto" w:fill="auto"/>
            <w:vAlign w:val="center"/>
          </w:tcPr>
          <w:p>
            <w:pPr>
              <w:spacing w:line="360" w:lineRule="auto"/>
              <w:jc w:val="center"/>
              <w:rPr>
                <w:rFonts w:hAnsi="宋体"/>
                <w:sz w:val="24"/>
              </w:rPr>
            </w:pPr>
            <w:r>
              <w:rPr>
                <w:rFonts w:hint="eastAsia" w:hAnsi="宋体"/>
                <w:sz w:val="24"/>
              </w:rPr>
              <w:t>条文来源</w:t>
            </w:r>
          </w:p>
        </w:tc>
        <w:tc>
          <w:tcPr>
            <w:tcW w:w="2147" w:type="dxa"/>
            <w:shd w:val="clear" w:color="auto" w:fill="auto"/>
            <w:vAlign w:val="center"/>
          </w:tcPr>
          <w:p>
            <w:pPr>
              <w:spacing w:line="360" w:lineRule="auto"/>
              <w:rPr>
                <w:rFonts w:hAnsi="宋体"/>
                <w:sz w:val="24"/>
              </w:rPr>
            </w:pPr>
            <w:r>
              <w:rPr>
                <w:rFonts w:hint="eastAsia" w:hAnsi="宋体"/>
                <w:sz w:val="24"/>
                <w:lang w:val="en-GB"/>
              </w:rPr>
              <w:t>DB33/1092-2021</w:t>
            </w:r>
          </w:p>
        </w:tc>
        <w:tc>
          <w:tcPr>
            <w:tcW w:w="1585" w:type="dxa"/>
            <w:shd w:val="clear" w:color="auto" w:fill="auto"/>
            <w:vAlign w:val="center"/>
          </w:tcPr>
          <w:p>
            <w:pPr>
              <w:spacing w:line="360" w:lineRule="auto"/>
              <w:rPr>
                <w:rFonts w:hAnsi="宋体"/>
                <w:sz w:val="24"/>
              </w:rPr>
            </w:pPr>
            <w:r>
              <w:rPr>
                <w:rFonts w:hint="eastAsia" w:hAnsi="宋体"/>
                <w:sz w:val="24"/>
              </w:rPr>
              <w:t>9.2.</w:t>
            </w:r>
            <w:r>
              <w:rPr>
                <w:rFonts w:hAnsi="宋体"/>
                <w:sz w:val="24"/>
              </w:rPr>
              <w:t>12</w:t>
            </w:r>
            <w:r>
              <w:rPr>
                <w:rFonts w:hint="eastAsia" w:hAnsi="宋体"/>
                <w:sz w:val="24"/>
              </w:rPr>
              <w:t>条</w:t>
            </w:r>
          </w:p>
        </w:tc>
        <w:tc>
          <w:tcPr>
            <w:tcW w:w="3856" w:type="dxa"/>
            <w:shd w:val="clear" w:color="auto" w:fill="auto"/>
            <w:vAlign w:val="center"/>
          </w:tcPr>
          <w:p>
            <w:pPr>
              <w:autoSpaceDE w:val="0"/>
              <w:autoSpaceDN w:val="0"/>
              <w:adjustRightInd w:val="0"/>
              <w:spacing w:line="360" w:lineRule="auto"/>
              <w:jc w:val="left"/>
              <w:rPr>
                <w:rFonts w:hAnsi="宋体"/>
                <w:sz w:val="24"/>
              </w:rPr>
            </w:pPr>
            <w:r>
              <w:rPr>
                <w:rFonts w:hint="eastAsia" w:hAnsi="宋体"/>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shd w:val="clear" w:color="auto" w:fill="auto"/>
            <w:vAlign w:val="center"/>
          </w:tcPr>
          <w:p>
            <w:pPr>
              <w:spacing w:line="360" w:lineRule="auto"/>
              <w:jc w:val="center"/>
              <w:rPr>
                <w:rFonts w:hAnsi="宋体"/>
                <w:sz w:val="24"/>
              </w:rPr>
            </w:pPr>
            <w:r>
              <w:rPr>
                <w:rFonts w:hint="eastAsia" w:hAnsi="宋体"/>
                <w:sz w:val="24"/>
              </w:rPr>
              <w:t>依据材料</w:t>
            </w:r>
          </w:p>
        </w:tc>
        <w:tc>
          <w:tcPr>
            <w:tcW w:w="7588"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设计人员应根据供配电系统设计施工图，结合</w:t>
            </w:r>
            <w:r>
              <w:rPr>
                <w:rFonts w:hAnsi="宋体"/>
                <w:sz w:val="24"/>
              </w:rPr>
              <w:t>实际</w:t>
            </w:r>
            <w:r>
              <w:rPr>
                <w:rFonts w:hint="eastAsia" w:hAnsi="宋体"/>
                <w:sz w:val="24"/>
              </w:rPr>
              <w:t>情况</w:t>
            </w:r>
            <w:r>
              <w:rPr>
                <w:rFonts w:hAnsi="宋体"/>
                <w:sz w:val="24"/>
              </w:rPr>
              <w:t>，</w:t>
            </w:r>
            <w:r>
              <w:rPr>
                <w:rFonts w:hint="eastAsia" w:hAnsi="宋体"/>
                <w:sz w:val="24"/>
              </w:rPr>
              <w:t>填写</w:t>
            </w:r>
            <w:r>
              <w:rPr>
                <w:rFonts w:hAnsi="宋体"/>
                <w:sz w:val="24"/>
              </w:rPr>
              <w:t>此</w:t>
            </w:r>
            <w:r>
              <w:rPr>
                <w:rFonts w:hint="eastAsia" w:hAnsi="宋体"/>
                <w:sz w:val="24"/>
              </w:rPr>
              <w:t>条</w:t>
            </w:r>
            <w:r>
              <w:rPr>
                <w:rFonts w:hAnsi="宋体"/>
                <w:sz w:val="24"/>
              </w:rPr>
              <w:t>内容</w:t>
            </w:r>
            <w:r>
              <w:rPr>
                <w:rFonts w:hint="eastAsia" w:hAnsi="宋体"/>
                <w:sz w:val="24"/>
              </w:rPr>
              <w:t>。</w:t>
            </w:r>
          </w:p>
          <w:p>
            <w:pPr>
              <w:autoSpaceDE w:val="0"/>
              <w:autoSpaceDN w:val="0"/>
              <w:adjustRightInd w:val="0"/>
              <w:spacing w:line="360" w:lineRule="auto"/>
              <w:ind w:firstLine="480" w:firstLineChars="200"/>
              <w:jc w:val="left"/>
              <w:rPr>
                <w:rFonts w:hAnsi="宋体"/>
                <w:sz w:val="24"/>
              </w:rPr>
            </w:pPr>
            <w:r>
              <w:rPr>
                <w:rFonts w:hint="eastAsia" w:hAnsi="宋体"/>
                <w:sz w:val="24"/>
              </w:rPr>
              <w:t>本条两项均属于一星级的要求。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shd w:val="clear" w:color="auto" w:fill="auto"/>
            <w:vAlign w:val="center"/>
          </w:tcPr>
          <w:p>
            <w:pPr>
              <w:autoSpaceDE w:val="0"/>
              <w:autoSpaceDN w:val="0"/>
              <w:adjustRightInd w:val="0"/>
              <w:spacing w:line="360" w:lineRule="auto"/>
              <w:jc w:val="left"/>
              <w:rPr>
                <w:rFonts w:hAnsi="宋体"/>
                <w:sz w:val="24"/>
              </w:rPr>
            </w:pPr>
            <w:r>
              <w:rPr>
                <w:rFonts w:hint="eastAsia" w:hAnsi="宋体"/>
                <w:sz w:val="24"/>
              </w:rPr>
              <w:t>备注</w:t>
            </w:r>
          </w:p>
        </w:tc>
        <w:tc>
          <w:tcPr>
            <w:tcW w:w="7588" w:type="dxa"/>
            <w:gridSpan w:val="3"/>
            <w:shd w:val="clear" w:color="auto" w:fill="auto"/>
          </w:tcPr>
          <w:p>
            <w:pPr>
              <w:autoSpaceDE w:val="0"/>
              <w:autoSpaceDN w:val="0"/>
              <w:adjustRightInd w:val="0"/>
              <w:spacing w:line="360" w:lineRule="auto"/>
              <w:ind w:firstLine="480" w:firstLineChars="200"/>
              <w:jc w:val="left"/>
              <w:rPr>
                <w:rFonts w:hAnsi="宋体"/>
                <w:sz w:val="24"/>
              </w:rPr>
            </w:pPr>
            <w:r>
              <w:rPr>
                <w:rFonts w:hint="eastAsia"/>
                <w:sz w:val="24"/>
              </w:rPr>
              <w:t>本条属于一星级的要求。</w:t>
            </w:r>
          </w:p>
        </w:tc>
      </w:tr>
    </w:tbl>
    <w:p>
      <w:pPr>
        <w:spacing w:line="360" w:lineRule="auto"/>
        <w:rPr>
          <w:rFonts w:hAnsi="宋体"/>
          <w:sz w:val="24"/>
        </w:rPr>
      </w:pPr>
    </w:p>
    <w:p>
      <w:pPr>
        <w:spacing w:line="360" w:lineRule="auto"/>
        <w:jc w:val="left"/>
        <w:rPr>
          <w:rFonts w:hAnsi="宋体"/>
          <w:sz w:val="24"/>
          <w:lang w:val="en-GB"/>
        </w:rPr>
      </w:pPr>
      <w:r>
        <w:rPr>
          <w:rFonts w:hint="eastAsia" w:hAnsi="宋体"/>
          <w:sz w:val="24"/>
          <w:lang w:val="en-GB"/>
        </w:rPr>
        <w:t>19、设置可再生能源发电系统；</w:t>
      </w:r>
    </w:p>
    <w:p>
      <w:pPr>
        <w:spacing w:line="360" w:lineRule="auto"/>
        <w:ind w:firstLine="480" w:firstLineChars="200"/>
        <w:jc w:val="left"/>
        <w:rPr>
          <w:rFonts w:hAnsi="宋体"/>
          <w:sz w:val="24"/>
          <w:lang w:val="en-GB"/>
        </w:rPr>
      </w:pPr>
      <w:r>
        <w:rPr>
          <w:rFonts w:hint="eastAsia" w:hAnsi="宋体"/>
          <w:sz w:val="24"/>
          <w:lang w:val="en-GB"/>
        </w:rPr>
        <w:t>能源种类；</w:t>
      </w:r>
    </w:p>
    <w:p>
      <w:pPr>
        <w:spacing w:line="360" w:lineRule="auto"/>
        <w:ind w:firstLine="480" w:firstLineChars="200"/>
        <w:jc w:val="left"/>
        <w:rPr>
          <w:rFonts w:hAnsi="宋体"/>
          <w:sz w:val="24"/>
          <w:lang w:val="en-GB"/>
        </w:rPr>
      </w:pPr>
      <w:r>
        <w:rPr>
          <w:rFonts w:hint="eastAsia" w:hAnsi="宋体"/>
          <w:sz w:val="24"/>
          <w:lang w:val="en-GB"/>
        </w:rPr>
        <w:t>设置位置</w:t>
      </w:r>
      <w:r>
        <w:rPr>
          <w:rFonts w:hAnsi="宋体"/>
          <w:sz w:val="24"/>
          <w:u w:val="single"/>
          <w:lang w:val="en-GB"/>
        </w:rPr>
        <w:t xml:space="preserve">         </w:t>
      </w:r>
      <w:r>
        <w:rPr>
          <w:rFonts w:hint="eastAsia" w:hAnsi="宋体"/>
          <w:sz w:val="24"/>
          <w:lang w:val="en-GB"/>
        </w:rPr>
        <w:t>；采用并网系统；</w:t>
      </w:r>
    </w:p>
    <w:p>
      <w:pPr>
        <w:spacing w:line="360" w:lineRule="auto"/>
        <w:ind w:firstLine="480" w:firstLineChars="200"/>
        <w:jc w:val="left"/>
        <w:rPr>
          <w:rFonts w:hAnsi="宋体"/>
          <w:sz w:val="24"/>
          <w:lang w:val="en-GB"/>
        </w:rPr>
      </w:pPr>
      <w:r>
        <w:rPr>
          <w:rFonts w:hint="eastAsia" w:hAnsi="宋体"/>
          <w:sz w:val="24"/>
          <w:lang w:val="en-GB"/>
        </w:rPr>
        <w:t>系统峰值发电容量：</w:t>
      </w:r>
      <w:r>
        <w:rPr>
          <w:rFonts w:hAnsi="宋体"/>
          <w:sz w:val="24"/>
          <w:u w:val="single"/>
          <w:lang w:val="en-GB"/>
        </w:rPr>
        <w:t xml:space="preserve">      </w:t>
      </w:r>
      <w:r>
        <w:rPr>
          <w:rFonts w:hint="eastAsia" w:hAnsi="宋体"/>
          <w:sz w:val="24"/>
          <w:lang w:val="en-GB"/>
        </w:rPr>
        <w:t>kWp ；设计年发电量</w:t>
      </w:r>
      <w:r>
        <w:rPr>
          <w:rFonts w:hAnsi="宋体"/>
          <w:sz w:val="24"/>
          <w:u w:val="single"/>
          <w:lang w:val="en-GB"/>
        </w:rPr>
        <w:t xml:space="preserve">        </w:t>
      </w:r>
      <w:r>
        <w:rPr>
          <w:rFonts w:hint="eastAsia" w:hAnsi="宋体"/>
          <w:sz w:val="24"/>
          <w:lang w:val="en-GB"/>
        </w:rPr>
        <w:t>kWh ；</w:t>
      </w:r>
    </w:p>
    <w:p>
      <w:pPr>
        <w:spacing w:line="360" w:lineRule="auto"/>
        <w:ind w:firstLine="480" w:firstLineChars="200"/>
        <w:jc w:val="left"/>
        <w:rPr>
          <w:rFonts w:hAnsi="宋体"/>
          <w:sz w:val="24"/>
          <w:lang w:val="en-GB"/>
        </w:rPr>
      </w:pPr>
      <w:r>
        <w:rPr>
          <w:rFonts w:hint="eastAsia" w:hAnsi="宋体"/>
          <w:sz w:val="24"/>
          <w:lang w:val="en-GB"/>
        </w:rPr>
        <w:t>太阳能光伏电池的种类：</w:t>
      </w:r>
      <w:r>
        <w:rPr>
          <w:rFonts w:hAnsi="宋体"/>
          <w:sz w:val="24"/>
          <w:u w:val="single"/>
          <w:lang w:val="en-GB"/>
        </w:rPr>
        <w:t xml:space="preserve">      </w:t>
      </w:r>
      <w:r>
        <w:rPr>
          <w:rFonts w:hint="eastAsia" w:hAnsi="宋体"/>
          <w:sz w:val="24"/>
          <w:lang w:val="en-GB"/>
        </w:rPr>
        <w:t xml:space="preserve"> ；光伏与建筑结合类型。</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9"/>
        <w:gridCol w:w="76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shd w:val="clear" w:color="auto" w:fill="auto"/>
            <w:vAlign w:val="center"/>
          </w:tcPr>
          <w:p>
            <w:pPr>
              <w:spacing w:line="360" w:lineRule="auto"/>
              <w:jc w:val="center"/>
              <w:rPr>
                <w:rFonts w:hAnsi="宋体"/>
                <w:sz w:val="24"/>
              </w:rPr>
            </w:pPr>
            <w:r>
              <w:rPr>
                <w:rFonts w:hint="eastAsia" w:hAnsi="宋体"/>
                <w:sz w:val="24"/>
              </w:rPr>
              <w:t>依据材料</w:t>
            </w:r>
          </w:p>
        </w:tc>
        <w:tc>
          <w:tcPr>
            <w:tcW w:w="7654" w:type="dxa"/>
            <w:shd w:val="clear" w:color="auto" w:fill="auto"/>
          </w:tcPr>
          <w:p>
            <w:pPr>
              <w:autoSpaceDE w:val="0"/>
              <w:autoSpaceDN w:val="0"/>
              <w:adjustRightInd w:val="0"/>
              <w:spacing w:line="360" w:lineRule="auto"/>
              <w:ind w:firstLine="480" w:firstLineChars="200"/>
              <w:jc w:val="left"/>
              <w:rPr>
                <w:rFonts w:hAnsi="宋体"/>
                <w:sz w:val="24"/>
              </w:rPr>
            </w:pPr>
            <w:r>
              <w:rPr>
                <w:rFonts w:hint="eastAsia" w:hAnsi="宋体"/>
                <w:sz w:val="24"/>
              </w:rPr>
              <w:t>设计人员应根据可再生能源发电系统设计施工图，结合</w:t>
            </w:r>
            <w:r>
              <w:rPr>
                <w:rFonts w:hAnsi="宋体"/>
                <w:sz w:val="24"/>
              </w:rPr>
              <w:t>实际</w:t>
            </w:r>
            <w:r>
              <w:rPr>
                <w:rFonts w:hint="eastAsia" w:hAnsi="宋体"/>
                <w:sz w:val="24"/>
              </w:rPr>
              <w:t>情况</w:t>
            </w:r>
            <w:r>
              <w:rPr>
                <w:rFonts w:hAnsi="宋体"/>
                <w:sz w:val="24"/>
              </w:rPr>
              <w:t>，</w:t>
            </w:r>
            <w:r>
              <w:rPr>
                <w:rFonts w:hint="eastAsia" w:hAnsi="宋体"/>
                <w:sz w:val="24"/>
              </w:rPr>
              <w:t>填写</w:t>
            </w:r>
            <w:r>
              <w:rPr>
                <w:rFonts w:hAnsi="宋体"/>
                <w:sz w:val="24"/>
              </w:rPr>
              <w:t>此</w:t>
            </w:r>
            <w:r>
              <w:rPr>
                <w:rFonts w:hint="eastAsia" w:hAnsi="宋体"/>
                <w:sz w:val="24"/>
              </w:rPr>
              <w:t>条</w:t>
            </w:r>
            <w:r>
              <w:rPr>
                <w:rFonts w:hAnsi="宋体"/>
                <w:sz w:val="24"/>
              </w:rPr>
              <w:t>内容</w:t>
            </w:r>
            <w:r>
              <w:rPr>
                <w:rFonts w:hint="eastAsia" w:hAnsi="宋体"/>
                <w:sz w:val="24"/>
              </w:rPr>
              <w:t>。</w:t>
            </w:r>
          </w:p>
          <w:p>
            <w:pPr>
              <w:spacing w:line="360" w:lineRule="auto"/>
              <w:ind w:firstLine="480" w:firstLineChars="200"/>
              <w:outlineLvl w:val="3"/>
              <w:rPr>
                <w:rFonts w:hAnsi="宋体"/>
                <w:sz w:val="24"/>
              </w:rPr>
            </w:pPr>
            <w:r>
              <w:rPr>
                <w:rFonts w:hint="eastAsia" w:hAnsi="宋体"/>
                <w:sz w:val="24"/>
              </w:rPr>
              <w:t>本条并不要求一定要设置</w:t>
            </w:r>
            <w:r>
              <w:rPr>
                <w:rFonts w:hint="eastAsia" w:hAnsi="宋体"/>
                <w:sz w:val="24"/>
                <w:lang w:val="en-GB"/>
              </w:rPr>
              <w:t>可再生能源</w:t>
            </w:r>
            <w:r>
              <w:rPr>
                <w:rFonts w:hint="eastAsia" w:hAnsi="宋体"/>
                <w:sz w:val="24"/>
              </w:rPr>
              <w:t>发电系统，是否设置应与其他专业的可再生能源利用综合考虑。</w:t>
            </w:r>
          </w:p>
          <w:p>
            <w:pPr>
              <w:spacing w:line="360" w:lineRule="auto"/>
              <w:ind w:firstLine="480" w:firstLineChars="200"/>
              <w:outlineLvl w:val="3"/>
              <w:rPr>
                <w:rFonts w:hAnsi="宋体"/>
                <w:sz w:val="24"/>
                <w:lang w:val="en-GB"/>
              </w:rPr>
            </w:pPr>
            <w:r>
              <w:rPr>
                <w:rFonts w:hint="eastAsia" w:hAnsi="宋体"/>
                <w:sz w:val="24"/>
                <w:lang w:val="en-GB"/>
              </w:rPr>
              <w:t>若没有设置可再生能源发电系统，第一项选“否”，其余选项不填，或删去此条不再列出。</w:t>
            </w:r>
          </w:p>
          <w:p>
            <w:pPr>
              <w:spacing w:line="360" w:lineRule="auto"/>
              <w:ind w:firstLine="480" w:firstLineChars="200"/>
              <w:outlineLvl w:val="3"/>
              <w:rPr>
                <w:rFonts w:hAnsi="宋体"/>
                <w:sz w:val="24"/>
                <w:lang w:val="en-GB"/>
              </w:rPr>
            </w:pPr>
            <w:r>
              <w:rPr>
                <w:rFonts w:hint="eastAsia" w:hAnsi="宋体"/>
                <w:sz w:val="24"/>
                <w:lang w:val="en-GB"/>
              </w:rPr>
              <w:t>设置位置指屋面、立面、阳台等场所。</w:t>
            </w:r>
          </w:p>
          <w:p>
            <w:pPr>
              <w:spacing w:line="360" w:lineRule="auto"/>
              <w:ind w:firstLine="480" w:firstLineChars="200"/>
              <w:outlineLvl w:val="3"/>
              <w:rPr>
                <w:rFonts w:hAnsi="宋体"/>
                <w:sz w:val="24"/>
              </w:rPr>
            </w:pPr>
            <w:r>
              <w:rPr>
                <w:rFonts w:hAnsi="宋体"/>
                <w:sz w:val="24"/>
                <w:lang w:val="en-GB"/>
              </w:rPr>
              <w:t>常用的光伏电池的种类有单晶硅</w:t>
            </w:r>
            <w:r>
              <w:rPr>
                <w:rFonts w:hint="eastAsia" w:hAnsi="宋体"/>
                <w:sz w:val="24"/>
                <w:lang w:val="en-GB"/>
              </w:rPr>
              <w:t>、</w:t>
            </w:r>
            <w:r>
              <w:rPr>
                <w:rFonts w:hAnsi="宋体"/>
                <w:sz w:val="24"/>
                <w:lang w:val="en-GB"/>
              </w:rPr>
              <w:t>多晶硅</w:t>
            </w:r>
            <w:r>
              <w:rPr>
                <w:rFonts w:hint="eastAsia" w:hAnsi="宋体"/>
                <w:sz w:val="24"/>
                <w:lang w:val="en-GB"/>
              </w:rPr>
              <w:t>、薄膜、碲化镉、钙钛矿</w:t>
            </w:r>
            <w:r>
              <w:rPr>
                <w:rFonts w:hAnsi="宋体"/>
                <w:sz w:val="24"/>
                <w:lang w:val="en-GB"/>
              </w:rPr>
              <w:t>等等</w:t>
            </w:r>
            <w:r>
              <w:rPr>
                <w:rFonts w:hint="eastAsia" w:hAnsi="宋体"/>
                <w:sz w:val="24"/>
                <w:lang w:val="en-GB"/>
              </w:rPr>
              <w:t>，还会有新产品不断出现。</w:t>
            </w:r>
            <w:r>
              <w:rPr>
                <w:rFonts w:hAnsi="宋体"/>
                <w:sz w:val="24"/>
                <w:lang w:val="en-GB"/>
              </w:rPr>
              <w:t>按实际采用的情况填写</w:t>
            </w:r>
            <w:r>
              <w:rPr>
                <w:rFonts w:hint="eastAsia" w:hAnsi="宋体"/>
                <w:sz w:val="24"/>
                <w:lang w:val="en-GB"/>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shd w:val="clear" w:color="auto" w:fill="auto"/>
            <w:vAlign w:val="center"/>
          </w:tcPr>
          <w:p>
            <w:pPr>
              <w:autoSpaceDE w:val="0"/>
              <w:autoSpaceDN w:val="0"/>
              <w:adjustRightInd w:val="0"/>
              <w:spacing w:line="360" w:lineRule="auto"/>
              <w:jc w:val="left"/>
              <w:rPr>
                <w:rFonts w:hAnsi="宋体"/>
                <w:sz w:val="24"/>
              </w:rPr>
            </w:pPr>
            <w:r>
              <w:rPr>
                <w:rFonts w:hint="eastAsia" w:hAnsi="宋体"/>
                <w:sz w:val="24"/>
              </w:rPr>
              <w:t>备注</w:t>
            </w:r>
          </w:p>
        </w:tc>
        <w:tc>
          <w:tcPr>
            <w:tcW w:w="7654" w:type="dxa"/>
            <w:shd w:val="clear" w:color="auto" w:fill="auto"/>
          </w:tcPr>
          <w:p>
            <w:pPr>
              <w:autoSpaceDE w:val="0"/>
              <w:autoSpaceDN w:val="0"/>
              <w:adjustRightInd w:val="0"/>
              <w:spacing w:line="360" w:lineRule="auto"/>
              <w:ind w:firstLine="480" w:firstLineChars="200"/>
              <w:jc w:val="left"/>
              <w:rPr>
                <w:rFonts w:hAnsi="宋体"/>
                <w:sz w:val="24"/>
                <w:lang w:val="en-GB"/>
              </w:rPr>
            </w:pPr>
            <w:r>
              <w:rPr>
                <w:rFonts w:hint="eastAsia" w:hAnsi="宋体"/>
                <w:sz w:val="24"/>
              </w:rPr>
              <w:t>在绿色星级评定时，本条为得分项。</w:t>
            </w:r>
            <w:r>
              <w:rPr>
                <w:rFonts w:hint="eastAsia" w:hAnsi="宋体"/>
                <w:sz w:val="24"/>
                <w:lang w:val="en-GB"/>
              </w:rPr>
              <w:t>系统的发电量越大，得分越高。</w:t>
            </w:r>
          </w:p>
          <w:p>
            <w:pPr>
              <w:autoSpaceDE w:val="0"/>
              <w:autoSpaceDN w:val="0"/>
              <w:adjustRightInd w:val="0"/>
              <w:spacing w:line="360" w:lineRule="auto"/>
              <w:ind w:firstLine="480" w:firstLineChars="200"/>
              <w:jc w:val="left"/>
              <w:rPr>
                <w:rFonts w:hAnsi="宋体"/>
                <w:sz w:val="24"/>
              </w:rPr>
            </w:pPr>
            <w:r>
              <w:rPr>
                <w:rFonts w:hAnsi="宋体"/>
                <w:sz w:val="24"/>
              </w:rPr>
              <w:t>当采用可再生能源发电系统时，建议采用并网型系统，这样可充分利用能源，不需装设储能环节，降低成本。</w:t>
            </w:r>
            <w:r>
              <w:rPr>
                <w:rFonts w:hint="eastAsia" w:hAnsi="宋体"/>
                <w:sz w:val="24"/>
              </w:rPr>
              <w:t>一体化设计利于保证工程质量。</w:t>
            </w:r>
          </w:p>
        </w:tc>
      </w:tr>
    </w:tbl>
    <w:p>
      <w:pPr>
        <w:spacing w:line="360" w:lineRule="auto"/>
        <w:rPr>
          <w:rFonts w:hAnsi="宋体"/>
          <w:sz w:val="24"/>
        </w:rPr>
      </w:pPr>
    </w:p>
    <w:p>
      <w:pPr>
        <w:spacing w:line="360" w:lineRule="auto"/>
        <w:jc w:val="left"/>
        <w:rPr>
          <w:rFonts w:hAnsi="宋体"/>
          <w:sz w:val="24"/>
          <w:lang w:val="en-GB"/>
        </w:rPr>
      </w:pPr>
      <w:r>
        <w:rPr>
          <w:rFonts w:hint="eastAsia" w:hAnsi="宋体"/>
          <w:sz w:val="24"/>
          <w:lang w:val="en-GB"/>
        </w:rPr>
        <w:t>20、其它需说明的有关绿色（节能）的设计：</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5"/>
        <w:gridCol w:w="7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5" w:type="dxa"/>
            <w:shd w:val="clear" w:color="auto" w:fill="auto"/>
            <w:vAlign w:val="center"/>
          </w:tcPr>
          <w:p>
            <w:pPr>
              <w:spacing w:line="360" w:lineRule="auto"/>
              <w:jc w:val="center"/>
              <w:rPr>
                <w:rFonts w:hAnsi="宋体"/>
                <w:sz w:val="24"/>
              </w:rPr>
            </w:pPr>
            <w:r>
              <w:rPr>
                <w:rFonts w:hint="eastAsia" w:hAnsi="宋体"/>
                <w:sz w:val="24"/>
              </w:rPr>
              <w:t>依据材料</w:t>
            </w:r>
          </w:p>
        </w:tc>
        <w:tc>
          <w:tcPr>
            <w:tcW w:w="7426" w:type="dxa"/>
            <w:shd w:val="clear" w:color="auto" w:fill="auto"/>
          </w:tcPr>
          <w:p>
            <w:pPr>
              <w:spacing w:line="360" w:lineRule="auto"/>
              <w:ind w:firstLine="480" w:firstLineChars="200"/>
              <w:outlineLvl w:val="3"/>
              <w:rPr>
                <w:rFonts w:hAnsi="宋体"/>
                <w:sz w:val="24"/>
              </w:rPr>
            </w:pPr>
            <w:r>
              <w:rPr>
                <w:rFonts w:hint="eastAsia" w:hAnsi="宋体"/>
                <w:sz w:val="24"/>
              </w:rPr>
              <w:t>设计人员应根据施工图设计，结合</w:t>
            </w:r>
            <w:r>
              <w:rPr>
                <w:rFonts w:hAnsi="宋体"/>
                <w:sz w:val="24"/>
              </w:rPr>
              <w:t>实际</w:t>
            </w:r>
            <w:r>
              <w:rPr>
                <w:rFonts w:hint="eastAsia" w:hAnsi="宋体"/>
                <w:sz w:val="24"/>
              </w:rPr>
              <w:t>情况</w:t>
            </w:r>
            <w:r>
              <w:rPr>
                <w:rFonts w:hAnsi="宋体"/>
                <w:sz w:val="24"/>
              </w:rPr>
              <w:t>，</w:t>
            </w:r>
            <w:r>
              <w:rPr>
                <w:rFonts w:hint="eastAsia" w:hAnsi="宋体"/>
                <w:sz w:val="24"/>
              </w:rPr>
              <w:t>填写</w:t>
            </w:r>
            <w:r>
              <w:rPr>
                <w:rFonts w:hAnsi="宋体"/>
                <w:sz w:val="24"/>
              </w:rPr>
              <w:t>此</w:t>
            </w:r>
            <w:r>
              <w:rPr>
                <w:rFonts w:hint="eastAsia" w:hAnsi="宋体"/>
                <w:sz w:val="24"/>
              </w:rPr>
              <w:t>条</w:t>
            </w:r>
            <w:r>
              <w:rPr>
                <w:rFonts w:hAnsi="宋体"/>
                <w:sz w:val="24"/>
              </w:rPr>
              <w:t>内容</w:t>
            </w:r>
            <w:r>
              <w:rPr>
                <w:rFonts w:hint="eastAsia"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35" w:type="dxa"/>
            <w:shd w:val="clear" w:color="auto" w:fill="auto"/>
            <w:vAlign w:val="center"/>
          </w:tcPr>
          <w:p>
            <w:pPr>
              <w:autoSpaceDE w:val="0"/>
              <w:autoSpaceDN w:val="0"/>
              <w:adjustRightInd w:val="0"/>
              <w:spacing w:line="360" w:lineRule="auto"/>
              <w:jc w:val="left"/>
              <w:rPr>
                <w:rFonts w:hAnsi="宋体"/>
                <w:sz w:val="24"/>
              </w:rPr>
            </w:pPr>
            <w:r>
              <w:rPr>
                <w:rFonts w:hint="eastAsia" w:hAnsi="宋体"/>
                <w:sz w:val="24"/>
              </w:rPr>
              <w:t>备注</w:t>
            </w:r>
          </w:p>
        </w:tc>
        <w:tc>
          <w:tcPr>
            <w:tcW w:w="7426" w:type="dxa"/>
            <w:shd w:val="clear" w:color="auto" w:fill="auto"/>
          </w:tcPr>
          <w:p>
            <w:pPr>
              <w:spacing w:line="360" w:lineRule="auto"/>
              <w:ind w:firstLine="480" w:firstLineChars="200"/>
              <w:outlineLvl w:val="3"/>
              <w:rPr>
                <w:rFonts w:hAnsi="宋体"/>
                <w:sz w:val="24"/>
              </w:rPr>
            </w:pPr>
            <w:r>
              <w:rPr>
                <w:rFonts w:hint="eastAsia" w:hAnsi="宋体"/>
                <w:sz w:val="24"/>
              </w:rPr>
              <w:t>本专篇无法列出所有的节能技术，新的技术也会不断出现。若采用了本专篇以外的新技术，应简要说明，可在星级评定时酌情加分。</w:t>
            </w:r>
          </w:p>
        </w:tc>
      </w:tr>
    </w:tbl>
    <w:p>
      <w:pPr>
        <w:spacing w:line="360" w:lineRule="auto"/>
        <w:rPr>
          <w:rFonts w:hAnsi="宋体"/>
          <w:sz w:val="24"/>
        </w:rPr>
      </w:pPr>
    </w:p>
    <w:p>
      <w:pPr>
        <w:widowControl/>
        <w:spacing w:line="360" w:lineRule="auto"/>
        <w:jc w:val="left"/>
        <w:rPr>
          <w:rFonts w:hAnsi="宋体"/>
          <w:sz w:val="24"/>
        </w:rPr>
      </w:pPr>
      <w:r>
        <w:rPr>
          <w:rFonts w:hAnsi="宋体"/>
          <w:sz w:val="24"/>
        </w:rPr>
        <w:br w:type="page"/>
      </w:r>
    </w:p>
    <w:p>
      <w:pPr>
        <w:snapToGrid w:val="0"/>
        <w:spacing w:line="360" w:lineRule="auto"/>
        <w:jc w:val="left"/>
        <w:rPr>
          <w:rFonts w:ascii="Times New Roman" w:cs="宋体"/>
          <w:color w:val="000000"/>
          <w:kern w:val="0"/>
          <w:sz w:val="24"/>
        </w:rPr>
      </w:pPr>
      <w:r>
        <w:rPr>
          <w:rFonts w:hint="eastAsia" w:ascii="Times New Roman" w:cs="宋体"/>
          <w:color w:val="000000"/>
          <w:kern w:val="0"/>
          <w:sz w:val="24"/>
        </w:rPr>
        <w:t>三、智能化设计技术措施</w:t>
      </w:r>
    </w:p>
    <w:p>
      <w:pPr>
        <w:spacing w:line="360" w:lineRule="auto"/>
        <w:jc w:val="left"/>
        <w:rPr>
          <w:rFonts w:hAnsi="宋体"/>
          <w:sz w:val="24"/>
        </w:rPr>
      </w:pPr>
      <w:r>
        <w:rPr>
          <w:rFonts w:hint="eastAsia" w:hAnsi="宋体"/>
          <w:b/>
          <w:sz w:val="24"/>
        </w:rPr>
        <w:t>控制项内容：</w:t>
      </w:r>
      <w:r>
        <w:rPr>
          <w:rFonts w:hint="eastAsia" w:hAnsi="宋体"/>
          <w:sz w:val="24"/>
        </w:rPr>
        <w:t>本栏各条均为</w:t>
      </w:r>
      <w:r>
        <w:rPr>
          <w:rFonts w:hint="eastAsia" w:hAnsi="宋体"/>
          <w:sz w:val="24"/>
          <w:lang w:val="en-GB"/>
        </w:rPr>
        <w:t>DB33/1092-2021</w:t>
      </w:r>
      <w:r>
        <w:rPr>
          <w:rFonts w:hint="eastAsia" w:hAnsi="宋体"/>
          <w:sz w:val="24"/>
        </w:rPr>
        <w:t>的基本要求，是绿色建筑设计的强制性控制内容，必须逐条满足。在项目实际设计中，若未涉及某一条内容，则不必列写该条。</w:t>
      </w:r>
    </w:p>
    <w:p>
      <w:pPr>
        <w:spacing w:line="360" w:lineRule="auto"/>
        <w:rPr>
          <w:rFonts w:hAnsi="宋体"/>
          <w:sz w:val="24"/>
          <w:lang w:val="en-GB"/>
        </w:rPr>
      </w:pPr>
      <w:r>
        <w:rPr>
          <w:rFonts w:hint="eastAsia" w:hAnsi="宋体"/>
          <w:sz w:val="24"/>
          <w:lang w:val="en-GB"/>
        </w:rPr>
        <w:t>1、建筑设备具有自动监控管理功能。</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7"/>
        <w:gridCol w:w="2149"/>
        <w:gridCol w:w="1573"/>
        <w:gridCol w:w="3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shd w:val="clear" w:color="auto" w:fill="auto"/>
            <w:vAlign w:val="center"/>
          </w:tcPr>
          <w:p>
            <w:pPr>
              <w:widowControl/>
              <w:spacing w:line="360" w:lineRule="auto"/>
              <w:rPr>
                <w:sz w:val="24"/>
              </w:rPr>
            </w:pPr>
            <w:bookmarkStart w:id="57" w:name="_Hlk93503863"/>
            <w:r>
              <w:rPr>
                <w:rFonts w:hint="eastAsia"/>
                <w:sz w:val="24"/>
              </w:rPr>
              <w:t>条文来源</w:t>
            </w:r>
          </w:p>
        </w:tc>
        <w:tc>
          <w:tcPr>
            <w:tcW w:w="2149" w:type="dxa"/>
            <w:shd w:val="clear" w:color="auto" w:fill="auto"/>
            <w:vAlign w:val="center"/>
          </w:tcPr>
          <w:p>
            <w:pPr>
              <w:widowControl/>
              <w:spacing w:line="360" w:lineRule="auto"/>
              <w:rPr>
                <w:sz w:val="24"/>
              </w:rPr>
            </w:pPr>
            <w:r>
              <w:rPr>
                <w:rFonts w:hint="eastAsia"/>
                <w:sz w:val="24"/>
              </w:rPr>
              <w:t>DB33/1092-2021</w:t>
            </w:r>
          </w:p>
        </w:tc>
        <w:tc>
          <w:tcPr>
            <w:tcW w:w="1573" w:type="dxa"/>
            <w:shd w:val="clear" w:color="auto" w:fill="auto"/>
            <w:vAlign w:val="center"/>
          </w:tcPr>
          <w:p>
            <w:pPr>
              <w:widowControl/>
              <w:spacing w:line="360" w:lineRule="auto"/>
              <w:rPr>
                <w:sz w:val="24"/>
              </w:rPr>
            </w:pPr>
            <w:r>
              <w:rPr>
                <w:rFonts w:hint="eastAsia"/>
                <w:sz w:val="24"/>
              </w:rPr>
              <w:t>9.1.7条</w:t>
            </w:r>
          </w:p>
        </w:tc>
        <w:tc>
          <w:tcPr>
            <w:tcW w:w="3865" w:type="dxa"/>
            <w:shd w:val="clear" w:color="auto" w:fill="auto"/>
            <w:vAlign w:val="center"/>
          </w:tcPr>
          <w:p>
            <w:pPr>
              <w:widowControl/>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shd w:val="clear" w:color="auto" w:fill="auto"/>
            <w:vAlign w:val="center"/>
          </w:tcPr>
          <w:p>
            <w:pPr>
              <w:widowControl/>
              <w:spacing w:line="360" w:lineRule="auto"/>
              <w:rPr>
                <w:sz w:val="24"/>
              </w:rPr>
            </w:pPr>
            <w:bookmarkStart w:id="58" w:name="_Hlk93503877"/>
            <w:r>
              <w:rPr>
                <w:rFonts w:hint="eastAsia"/>
                <w:sz w:val="24"/>
              </w:rPr>
              <w:t>依据材料</w:t>
            </w:r>
            <w:bookmarkEnd w:id="58"/>
          </w:p>
        </w:tc>
        <w:tc>
          <w:tcPr>
            <w:tcW w:w="7587" w:type="dxa"/>
            <w:gridSpan w:val="3"/>
            <w:shd w:val="clear" w:color="auto" w:fill="auto"/>
          </w:tcPr>
          <w:p>
            <w:pPr>
              <w:widowControl/>
              <w:spacing w:line="360" w:lineRule="auto"/>
              <w:ind w:firstLine="480" w:firstLineChars="200"/>
              <w:rPr>
                <w:sz w:val="24"/>
              </w:rPr>
            </w:pPr>
            <w:r>
              <w:rPr>
                <w:rFonts w:hint="eastAsia"/>
                <w:sz w:val="24"/>
              </w:rPr>
              <w:t>设计人员应根据智能化系统、建筑设备的监控设计施工图，结合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p>
            <w:pPr>
              <w:widowControl/>
              <w:spacing w:line="360" w:lineRule="auto"/>
              <w:ind w:firstLine="480" w:firstLineChars="200"/>
              <w:rPr>
                <w:sz w:val="24"/>
              </w:rPr>
            </w:pPr>
            <w:r>
              <w:rPr>
                <w:rFonts w:hint="eastAsia"/>
                <w:sz w:val="24"/>
              </w:rPr>
              <w:t>若项目没有设置BA系统，则此条由强电专业设计，删去此条不再列出。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97" w:type="dxa"/>
            <w:shd w:val="clear" w:color="auto" w:fill="auto"/>
            <w:vAlign w:val="center"/>
          </w:tcPr>
          <w:p>
            <w:pPr>
              <w:widowControl/>
              <w:spacing w:line="360" w:lineRule="auto"/>
              <w:rPr>
                <w:sz w:val="24"/>
              </w:rPr>
            </w:pPr>
            <w:r>
              <w:rPr>
                <w:rFonts w:hint="eastAsia"/>
                <w:sz w:val="24"/>
              </w:rPr>
              <w:t>备注</w:t>
            </w:r>
          </w:p>
        </w:tc>
        <w:tc>
          <w:tcPr>
            <w:tcW w:w="7587" w:type="dxa"/>
            <w:gridSpan w:val="3"/>
            <w:shd w:val="clear" w:color="auto" w:fill="auto"/>
          </w:tcPr>
          <w:p>
            <w:pPr>
              <w:widowControl/>
              <w:spacing w:line="360" w:lineRule="auto"/>
              <w:ind w:firstLine="480" w:firstLineChars="200"/>
              <w:rPr>
                <w:sz w:val="24"/>
              </w:rPr>
            </w:pPr>
            <w:r>
              <w:rPr>
                <w:rFonts w:hint="eastAsia"/>
                <w:sz w:val="24"/>
              </w:rPr>
              <w:t>本条的着重点不在于是否设置BAS或建筑设备一体化监控系统，而是强调</w:t>
            </w:r>
            <w:r>
              <w:rPr>
                <w:sz w:val="24"/>
              </w:rPr>
              <w:t>应进行</w:t>
            </w:r>
            <w:r>
              <w:rPr>
                <w:rFonts w:hint="eastAsia"/>
                <w:sz w:val="24"/>
              </w:rPr>
              <w:t>必要的</w:t>
            </w:r>
            <w:r>
              <w:rPr>
                <w:sz w:val="24"/>
              </w:rPr>
              <w:t>监控</w:t>
            </w:r>
            <w:r>
              <w:rPr>
                <w:rFonts w:hint="eastAsia"/>
                <w:sz w:val="24"/>
              </w:rPr>
              <w:t>。对于规模较小的建筑，</w:t>
            </w:r>
            <w:r>
              <w:rPr>
                <w:sz w:val="24"/>
              </w:rPr>
              <w:t>即使未设BA</w:t>
            </w:r>
            <w:r>
              <w:rPr>
                <w:rFonts w:hint="eastAsia"/>
                <w:sz w:val="24"/>
              </w:rPr>
              <w:t>之类的系统</w:t>
            </w:r>
            <w:r>
              <w:rPr>
                <w:sz w:val="24"/>
              </w:rPr>
              <w:t>，也应设置简易有效的监测、控制措施，使其良好、高效地工作，避免浪费能源。</w:t>
            </w:r>
          </w:p>
          <w:p>
            <w:pPr>
              <w:widowControl/>
              <w:spacing w:line="360" w:lineRule="auto"/>
              <w:ind w:firstLine="480" w:firstLineChars="200"/>
              <w:rPr>
                <w:sz w:val="24"/>
              </w:rPr>
            </w:pPr>
            <w:r>
              <w:rPr>
                <w:rFonts w:hint="eastAsia"/>
                <w:sz w:val="24"/>
              </w:rPr>
              <w:t>本条为基本要求，必须满足。</w:t>
            </w:r>
          </w:p>
        </w:tc>
      </w:tr>
      <w:bookmarkEnd w:id="57"/>
    </w:tbl>
    <w:p>
      <w:pPr>
        <w:spacing w:line="360" w:lineRule="auto"/>
        <w:rPr>
          <w:rFonts w:hAnsi="宋体"/>
          <w:sz w:val="24"/>
        </w:rPr>
      </w:pPr>
    </w:p>
    <w:p>
      <w:pPr>
        <w:spacing w:line="360" w:lineRule="auto"/>
        <w:rPr>
          <w:rFonts w:hAnsi="宋体"/>
          <w:sz w:val="24"/>
          <w:lang w:val="en-GB"/>
        </w:rPr>
      </w:pPr>
      <w:r>
        <w:rPr>
          <w:rFonts w:hint="eastAsia" w:hAnsi="宋体"/>
          <w:sz w:val="24"/>
          <w:lang w:val="en-GB"/>
        </w:rPr>
        <w:t>2、设有合理的信息网络系统。</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3"/>
        <w:gridCol w:w="1896"/>
        <w:gridCol w:w="1581"/>
        <w:gridCol w:w="3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3" w:type="dxa"/>
            <w:shd w:val="clear" w:color="auto" w:fill="auto"/>
            <w:vAlign w:val="center"/>
          </w:tcPr>
          <w:p>
            <w:pPr>
              <w:spacing w:line="360" w:lineRule="auto"/>
              <w:jc w:val="center"/>
              <w:rPr>
                <w:rFonts w:hAnsi="宋体"/>
                <w:sz w:val="24"/>
              </w:rPr>
            </w:pPr>
            <w:r>
              <w:rPr>
                <w:rFonts w:hint="eastAsia" w:hAnsi="宋体"/>
                <w:sz w:val="24"/>
              </w:rPr>
              <w:t>条文来源</w:t>
            </w:r>
          </w:p>
        </w:tc>
        <w:tc>
          <w:tcPr>
            <w:tcW w:w="1896" w:type="dxa"/>
            <w:shd w:val="clear" w:color="auto" w:fill="auto"/>
            <w:vAlign w:val="center"/>
          </w:tcPr>
          <w:p>
            <w:pPr>
              <w:spacing w:line="360" w:lineRule="auto"/>
              <w:rPr>
                <w:rFonts w:hAnsi="宋体"/>
                <w:sz w:val="24"/>
              </w:rPr>
            </w:pPr>
            <w:r>
              <w:rPr>
                <w:rFonts w:hint="eastAsia" w:hAnsi="宋体"/>
                <w:sz w:val="24"/>
                <w:lang w:val="en-GB"/>
              </w:rPr>
              <w:t>DB33/1092-2021</w:t>
            </w:r>
          </w:p>
        </w:tc>
        <w:tc>
          <w:tcPr>
            <w:tcW w:w="1581" w:type="dxa"/>
            <w:shd w:val="clear" w:color="auto" w:fill="auto"/>
            <w:vAlign w:val="center"/>
          </w:tcPr>
          <w:p>
            <w:pPr>
              <w:spacing w:line="360" w:lineRule="auto"/>
              <w:rPr>
                <w:rFonts w:hAnsi="宋体"/>
                <w:sz w:val="24"/>
              </w:rPr>
            </w:pPr>
            <w:r>
              <w:rPr>
                <w:rFonts w:hint="eastAsia" w:hAnsi="宋体"/>
                <w:sz w:val="24"/>
              </w:rPr>
              <w:t>9.1.8条</w:t>
            </w:r>
          </w:p>
        </w:tc>
        <w:tc>
          <w:tcPr>
            <w:tcW w:w="3898" w:type="dxa"/>
            <w:shd w:val="clear" w:color="auto" w:fill="auto"/>
            <w:vAlign w:val="center"/>
          </w:tcPr>
          <w:p>
            <w:pPr>
              <w:autoSpaceDE w:val="0"/>
              <w:autoSpaceDN w:val="0"/>
              <w:adjustRightInd w:val="0"/>
              <w:spacing w:line="360" w:lineRule="auto"/>
              <w:rPr>
                <w:rFonts w:hAnsi="宋体"/>
                <w:sz w:val="24"/>
              </w:rPr>
            </w:pPr>
            <w:r>
              <w:rPr>
                <w:rFonts w:hint="eastAsia" w:hAnsi="宋体"/>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3" w:type="dxa"/>
            <w:shd w:val="clear" w:color="auto" w:fill="auto"/>
            <w:vAlign w:val="center"/>
          </w:tcPr>
          <w:p>
            <w:pPr>
              <w:spacing w:line="360" w:lineRule="auto"/>
              <w:jc w:val="center"/>
              <w:rPr>
                <w:rFonts w:hAnsi="宋体"/>
                <w:sz w:val="24"/>
              </w:rPr>
            </w:pPr>
            <w:r>
              <w:rPr>
                <w:rFonts w:hint="eastAsia" w:hAnsi="宋体"/>
                <w:sz w:val="24"/>
              </w:rPr>
              <w:t>依据材料</w:t>
            </w:r>
          </w:p>
        </w:tc>
        <w:tc>
          <w:tcPr>
            <w:tcW w:w="7375" w:type="dxa"/>
            <w:gridSpan w:val="3"/>
            <w:shd w:val="clear" w:color="auto" w:fill="auto"/>
          </w:tcPr>
          <w:p>
            <w:pPr>
              <w:spacing w:line="360" w:lineRule="auto"/>
              <w:ind w:firstLine="480" w:firstLineChars="200"/>
              <w:outlineLvl w:val="3"/>
              <w:rPr>
                <w:rFonts w:hAnsi="宋体"/>
                <w:sz w:val="24"/>
              </w:rPr>
            </w:pPr>
            <w:r>
              <w:rPr>
                <w:rFonts w:hint="eastAsia" w:hAnsi="宋体"/>
                <w:sz w:val="24"/>
              </w:rPr>
              <w:t>设计人员应根据智能化系统设计施工图，结合</w:t>
            </w:r>
            <w:r>
              <w:rPr>
                <w:rFonts w:hAnsi="宋体"/>
                <w:sz w:val="24"/>
              </w:rPr>
              <w:t>实际</w:t>
            </w:r>
            <w:r>
              <w:rPr>
                <w:rFonts w:hint="eastAsia" w:hAnsi="宋体"/>
                <w:sz w:val="24"/>
              </w:rPr>
              <w:t>情况</w:t>
            </w:r>
            <w:r>
              <w:rPr>
                <w:rFonts w:hAnsi="宋体"/>
                <w:sz w:val="24"/>
              </w:rPr>
              <w:t>，</w:t>
            </w:r>
            <w:r>
              <w:rPr>
                <w:rFonts w:hint="eastAsia" w:hAnsi="宋体"/>
                <w:sz w:val="24"/>
              </w:rPr>
              <w:t>填写</w:t>
            </w:r>
            <w:r>
              <w:rPr>
                <w:rFonts w:hAnsi="宋体"/>
                <w:sz w:val="24"/>
              </w:rPr>
              <w:t>此</w:t>
            </w:r>
            <w:r>
              <w:rPr>
                <w:rFonts w:hint="eastAsia" w:hAnsi="宋体"/>
                <w:sz w:val="24"/>
              </w:rPr>
              <w:t>条</w:t>
            </w:r>
            <w:r>
              <w:rPr>
                <w:rFonts w:hAnsi="宋体"/>
                <w:sz w:val="24"/>
              </w:rPr>
              <w:t>内容</w:t>
            </w:r>
            <w:r>
              <w:rPr>
                <w:rFonts w:hint="eastAsia" w:hAnsi="宋体"/>
                <w:sz w:val="24"/>
              </w:rPr>
              <w:t>。</w:t>
            </w:r>
          </w:p>
          <w:p>
            <w:pPr>
              <w:spacing w:line="360" w:lineRule="auto"/>
              <w:ind w:firstLine="480" w:firstLineChars="200"/>
              <w:outlineLvl w:val="3"/>
              <w:rPr>
                <w:rFonts w:hAnsi="宋体"/>
                <w:sz w:val="24"/>
              </w:rPr>
            </w:pPr>
            <w:r>
              <w:rPr>
                <w:rFonts w:hint="eastAsia" w:hAnsi="宋体"/>
                <w:sz w:val="24"/>
              </w:rPr>
              <w:t>本条为控制项，属于基本要求，必须满足。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33" w:type="dxa"/>
            <w:shd w:val="clear" w:color="auto" w:fill="auto"/>
            <w:vAlign w:val="center"/>
          </w:tcPr>
          <w:p>
            <w:pPr>
              <w:autoSpaceDE w:val="0"/>
              <w:autoSpaceDN w:val="0"/>
              <w:adjustRightInd w:val="0"/>
              <w:spacing w:line="360" w:lineRule="auto"/>
              <w:jc w:val="left"/>
              <w:rPr>
                <w:rFonts w:hAnsi="宋体"/>
                <w:sz w:val="24"/>
              </w:rPr>
            </w:pPr>
            <w:r>
              <w:rPr>
                <w:rFonts w:hint="eastAsia" w:hAnsi="宋体"/>
                <w:sz w:val="24"/>
              </w:rPr>
              <w:t>备注</w:t>
            </w:r>
          </w:p>
        </w:tc>
        <w:tc>
          <w:tcPr>
            <w:tcW w:w="7375" w:type="dxa"/>
            <w:gridSpan w:val="3"/>
            <w:shd w:val="clear" w:color="auto" w:fill="auto"/>
          </w:tcPr>
          <w:p>
            <w:pPr>
              <w:spacing w:line="360" w:lineRule="auto"/>
              <w:ind w:firstLine="480" w:firstLineChars="200"/>
              <w:outlineLvl w:val="3"/>
              <w:rPr>
                <w:rFonts w:hAnsi="宋体"/>
                <w:sz w:val="24"/>
              </w:rPr>
            </w:pPr>
            <w:r>
              <w:rPr>
                <w:rFonts w:hint="eastAsia" w:hAnsi="宋体"/>
                <w:sz w:val="24"/>
              </w:rPr>
              <w:t>随着技术、生活水平提高，信息网络系统已成为工作、生活不可或缺的条件。</w:t>
            </w:r>
          </w:p>
          <w:p>
            <w:pPr>
              <w:spacing w:line="360" w:lineRule="auto"/>
              <w:ind w:firstLine="480" w:firstLineChars="200"/>
              <w:outlineLvl w:val="3"/>
              <w:rPr>
                <w:rFonts w:hAnsi="宋体"/>
                <w:sz w:val="24"/>
              </w:rPr>
            </w:pPr>
            <w:r>
              <w:rPr>
                <w:rFonts w:hint="eastAsia"/>
                <w:sz w:val="24"/>
              </w:rPr>
              <w:t>本条属于基本要求，必须满足。</w:t>
            </w:r>
          </w:p>
        </w:tc>
      </w:tr>
    </w:tbl>
    <w:p>
      <w:pPr>
        <w:spacing w:line="360" w:lineRule="auto"/>
        <w:rPr>
          <w:rFonts w:hAnsi="宋体"/>
          <w:sz w:val="24"/>
        </w:rPr>
      </w:pPr>
    </w:p>
    <w:p>
      <w:pPr>
        <w:spacing w:line="360" w:lineRule="auto"/>
        <w:rPr>
          <w:rFonts w:hAnsi="宋体"/>
          <w:sz w:val="24"/>
        </w:rPr>
      </w:pPr>
      <w:r>
        <w:rPr>
          <w:rFonts w:hint="eastAsia" w:hAnsi="宋体"/>
          <w:b/>
          <w:sz w:val="24"/>
        </w:rPr>
        <w:t>一般项内容：</w:t>
      </w:r>
      <w:r>
        <w:rPr>
          <w:rFonts w:hint="eastAsia" w:hAnsi="宋体"/>
          <w:sz w:val="24"/>
        </w:rPr>
        <w:t>本栏各条为</w:t>
      </w:r>
      <w:r>
        <w:rPr>
          <w:rFonts w:hint="eastAsia" w:hAnsi="宋体"/>
          <w:sz w:val="24"/>
          <w:lang w:val="en-GB"/>
        </w:rPr>
        <w:t>DB 33/1092-2021</w:t>
      </w:r>
      <w:r>
        <w:rPr>
          <w:rFonts w:hint="eastAsia" w:hAnsi="宋体"/>
          <w:sz w:val="24"/>
        </w:rPr>
        <w:t>的各星级要求及</w:t>
      </w:r>
      <w:r>
        <w:rPr>
          <w:rFonts w:hint="eastAsia" w:hAnsi="宋体"/>
          <w:sz w:val="24"/>
          <w:lang w:val="en-GB"/>
        </w:rPr>
        <w:t>DB 33/1015-2021的要求</w:t>
      </w:r>
      <w:r>
        <w:rPr>
          <w:rFonts w:hint="eastAsia" w:hAnsi="宋体"/>
          <w:sz w:val="24"/>
        </w:rPr>
        <w:t>，可根据绿色建筑的星级要求、节能要求选择性满足。</w:t>
      </w:r>
    </w:p>
    <w:p>
      <w:pPr>
        <w:spacing w:line="360" w:lineRule="auto"/>
        <w:rPr>
          <w:rFonts w:hAnsi="宋体"/>
          <w:sz w:val="24"/>
        </w:rPr>
      </w:pPr>
    </w:p>
    <w:p>
      <w:pPr>
        <w:spacing w:line="360" w:lineRule="auto"/>
        <w:rPr>
          <w:rFonts w:hAnsi="宋体"/>
          <w:sz w:val="24"/>
        </w:rPr>
      </w:pPr>
    </w:p>
    <w:p>
      <w:pPr>
        <w:spacing w:line="360" w:lineRule="auto"/>
        <w:rPr>
          <w:rFonts w:hAnsi="宋体"/>
          <w:sz w:val="24"/>
          <w:lang w:val="en-GB"/>
        </w:rPr>
      </w:pPr>
      <w:r>
        <w:rPr>
          <w:rFonts w:hint="eastAsia" w:hAnsi="宋体"/>
          <w:sz w:val="24"/>
          <w:lang w:val="en-GB"/>
        </w:rPr>
        <w:t>1、</w:t>
      </w:r>
      <w:r>
        <w:rPr>
          <w:rFonts w:hAnsi="宋体"/>
          <w:sz w:val="24"/>
          <w:lang w:val="en-GB"/>
        </w:rPr>
        <w:t>设置</w:t>
      </w:r>
      <w:r>
        <w:rPr>
          <w:rFonts w:hint="eastAsia" w:hAnsi="宋体"/>
          <w:sz w:val="24"/>
          <w:lang w:val="en-GB"/>
        </w:rPr>
        <w:t>能耗监测系统，对公共设施的</w:t>
      </w:r>
      <w:r>
        <w:rPr>
          <w:rFonts w:hAnsi="宋体"/>
          <w:sz w:val="24"/>
          <w:lang w:val="en-GB"/>
        </w:rPr>
        <w:t>分类用能</w:t>
      </w:r>
      <w:r>
        <w:rPr>
          <w:rFonts w:hint="eastAsia" w:hAnsi="宋体"/>
          <w:sz w:val="24"/>
          <w:lang w:val="en-GB"/>
        </w:rPr>
        <w:t>（用水、用电、用气、用油、冷热量等）进行</w:t>
      </w:r>
      <w:r>
        <w:rPr>
          <w:rFonts w:hAnsi="宋体"/>
          <w:sz w:val="24"/>
          <w:lang w:val="en-GB"/>
        </w:rPr>
        <w:t>计量</w:t>
      </w:r>
      <w:r>
        <w:rPr>
          <w:rFonts w:hint="eastAsia" w:hAnsi="宋体"/>
          <w:sz w:val="24"/>
          <w:lang w:val="en-GB"/>
        </w:rPr>
        <w:t>并设置</w:t>
      </w:r>
      <w:r>
        <w:rPr>
          <w:rFonts w:hAnsi="宋体"/>
          <w:sz w:val="24"/>
          <w:lang w:val="en-GB"/>
        </w:rPr>
        <w:t>数据采集装置</w:t>
      </w:r>
      <w:r>
        <w:rPr>
          <w:rFonts w:hint="eastAsia" w:hAnsi="宋体"/>
          <w:sz w:val="24"/>
          <w:lang w:val="en-GB"/>
        </w:rPr>
        <w:t>。</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3"/>
        <w:gridCol w:w="1896"/>
        <w:gridCol w:w="1576"/>
        <w:gridCol w:w="45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1242" w:type="dxa"/>
            <w:vMerge w:val="restart"/>
            <w:shd w:val="clear" w:color="auto" w:fill="auto"/>
            <w:vAlign w:val="center"/>
          </w:tcPr>
          <w:p>
            <w:pPr>
              <w:spacing w:line="360" w:lineRule="auto"/>
              <w:rPr>
                <w:sz w:val="24"/>
              </w:rPr>
            </w:pPr>
            <w:r>
              <w:rPr>
                <w:rFonts w:hint="eastAsia"/>
                <w:sz w:val="24"/>
              </w:rPr>
              <w:t>条文来源</w:t>
            </w:r>
          </w:p>
        </w:tc>
        <w:tc>
          <w:tcPr>
            <w:tcW w:w="1698" w:type="dxa"/>
            <w:shd w:val="clear" w:color="auto" w:fill="auto"/>
            <w:vAlign w:val="center"/>
          </w:tcPr>
          <w:p>
            <w:pPr>
              <w:spacing w:line="360" w:lineRule="auto"/>
              <w:rPr>
                <w:sz w:val="24"/>
              </w:rPr>
            </w:pPr>
            <w:r>
              <w:rPr>
                <w:rFonts w:hint="eastAsia"/>
                <w:sz w:val="24"/>
                <w:lang w:val="en-GB"/>
              </w:rPr>
              <w:t>DB33/1092-2021</w:t>
            </w:r>
          </w:p>
        </w:tc>
        <w:tc>
          <w:tcPr>
            <w:tcW w:w="1592" w:type="dxa"/>
            <w:shd w:val="clear" w:color="auto" w:fill="auto"/>
            <w:vAlign w:val="center"/>
          </w:tcPr>
          <w:p>
            <w:pPr>
              <w:spacing w:line="360" w:lineRule="auto"/>
              <w:rPr>
                <w:sz w:val="24"/>
              </w:rPr>
            </w:pPr>
            <w:r>
              <w:rPr>
                <w:rFonts w:hint="eastAsia"/>
                <w:sz w:val="24"/>
              </w:rPr>
              <w:t>9.2.</w:t>
            </w:r>
            <w:r>
              <w:rPr>
                <w:sz w:val="24"/>
              </w:rPr>
              <w:t>11</w:t>
            </w:r>
            <w:r>
              <w:rPr>
                <w:rFonts w:hint="eastAsia"/>
                <w:sz w:val="24"/>
              </w:rPr>
              <w:t>条</w:t>
            </w:r>
          </w:p>
        </w:tc>
        <w:tc>
          <w:tcPr>
            <w:tcW w:w="4648" w:type="dxa"/>
            <w:shd w:val="clear" w:color="auto" w:fill="auto"/>
            <w:vAlign w:val="center"/>
          </w:tcPr>
          <w:p>
            <w:pPr>
              <w:spacing w:line="360" w:lineRule="auto"/>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242" w:type="dxa"/>
            <w:vMerge w:val="continue"/>
            <w:shd w:val="clear" w:color="auto" w:fill="auto"/>
            <w:vAlign w:val="center"/>
          </w:tcPr>
          <w:p>
            <w:pPr>
              <w:spacing w:line="360" w:lineRule="auto"/>
              <w:rPr>
                <w:sz w:val="24"/>
              </w:rPr>
            </w:pPr>
          </w:p>
        </w:tc>
        <w:tc>
          <w:tcPr>
            <w:tcW w:w="1698" w:type="dxa"/>
            <w:shd w:val="clear" w:color="auto" w:fill="auto"/>
            <w:vAlign w:val="center"/>
          </w:tcPr>
          <w:p>
            <w:pPr>
              <w:spacing w:line="360" w:lineRule="auto"/>
              <w:rPr>
                <w:sz w:val="24"/>
                <w:lang w:val="en-GB"/>
              </w:rPr>
            </w:pPr>
            <w:r>
              <w:rPr>
                <w:rFonts w:hint="eastAsia"/>
                <w:sz w:val="24"/>
              </w:rPr>
              <w:t>DB33/1015-2021</w:t>
            </w:r>
          </w:p>
        </w:tc>
        <w:tc>
          <w:tcPr>
            <w:tcW w:w="1592" w:type="dxa"/>
            <w:shd w:val="clear" w:color="auto" w:fill="auto"/>
            <w:vAlign w:val="center"/>
          </w:tcPr>
          <w:p>
            <w:pPr>
              <w:spacing w:line="360" w:lineRule="auto"/>
              <w:jc w:val="left"/>
              <w:rPr>
                <w:sz w:val="24"/>
              </w:rPr>
            </w:pPr>
            <w:r>
              <w:rPr>
                <w:rFonts w:hint="eastAsia"/>
                <w:sz w:val="24"/>
              </w:rPr>
              <w:t>8.6.3条、8.6.4条</w:t>
            </w:r>
          </w:p>
        </w:tc>
        <w:tc>
          <w:tcPr>
            <w:tcW w:w="4648" w:type="dxa"/>
            <w:shd w:val="clear" w:color="auto" w:fill="auto"/>
            <w:vAlign w:val="center"/>
          </w:tcPr>
          <w:p>
            <w:pPr>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shd w:val="clear" w:color="auto" w:fill="auto"/>
            <w:vAlign w:val="center"/>
          </w:tcPr>
          <w:p>
            <w:pPr>
              <w:spacing w:line="360" w:lineRule="auto"/>
              <w:rPr>
                <w:sz w:val="24"/>
              </w:rPr>
            </w:pPr>
            <w:r>
              <w:rPr>
                <w:rFonts w:hint="eastAsia"/>
                <w:sz w:val="24"/>
              </w:rPr>
              <w:t>依据材料</w:t>
            </w:r>
          </w:p>
        </w:tc>
        <w:tc>
          <w:tcPr>
            <w:tcW w:w="7938" w:type="dxa"/>
            <w:gridSpan w:val="3"/>
            <w:shd w:val="clear" w:color="auto" w:fill="auto"/>
          </w:tcPr>
          <w:p>
            <w:pPr>
              <w:spacing w:line="360" w:lineRule="auto"/>
              <w:ind w:firstLine="480" w:firstLineChars="200"/>
              <w:rPr>
                <w:sz w:val="24"/>
              </w:rPr>
            </w:pPr>
            <w:r>
              <w:rPr>
                <w:rFonts w:hint="eastAsia"/>
                <w:sz w:val="24"/>
              </w:rPr>
              <w:t>设计人员应根据智能化系统、能耗监测系统的设计施工图，结合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p>
            <w:pPr>
              <w:spacing w:line="360" w:lineRule="auto"/>
              <w:ind w:firstLine="480" w:firstLineChars="200"/>
              <w:rPr>
                <w:sz w:val="24"/>
              </w:rPr>
            </w:pPr>
            <w:r>
              <w:rPr>
                <w:rFonts w:hint="eastAsia"/>
                <w:sz w:val="24"/>
              </w:rPr>
              <w:t>是否设置能耗监测系应根据项目情况、需求综合考虑，具体规定详见规范要求。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shd w:val="clear" w:color="auto" w:fill="auto"/>
            <w:vAlign w:val="center"/>
          </w:tcPr>
          <w:p>
            <w:pPr>
              <w:spacing w:line="360" w:lineRule="auto"/>
              <w:rPr>
                <w:sz w:val="24"/>
              </w:rPr>
            </w:pPr>
            <w:r>
              <w:rPr>
                <w:rFonts w:hint="eastAsia"/>
                <w:sz w:val="24"/>
              </w:rPr>
              <w:t>备注</w:t>
            </w:r>
          </w:p>
        </w:tc>
        <w:tc>
          <w:tcPr>
            <w:tcW w:w="7938" w:type="dxa"/>
            <w:gridSpan w:val="3"/>
            <w:shd w:val="clear" w:color="auto" w:fill="auto"/>
          </w:tcPr>
          <w:p>
            <w:pPr>
              <w:spacing w:line="360" w:lineRule="auto"/>
              <w:ind w:firstLine="480" w:firstLineChars="200"/>
              <w:rPr>
                <w:sz w:val="24"/>
              </w:rPr>
            </w:pPr>
            <w:r>
              <w:rPr>
                <w:rFonts w:hint="eastAsia"/>
                <w:sz w:val="24"/>
              </w:rPr>
              <w:t>能耗监测宜按各功能区域、按管理模式合理设置各计量表，由物业人员管理。在规范规定的条件下，规模较大的项目（总建筑面积不小于10万㎡）应设置远程抄表系统，建立能耗集中计量数据库，较小的项目可采用人工抄表的方式进行监测。</w:t>
            </w:r>
          </w:p>
          <w:p>
            <w:pPr>
              <w:spacing w:line="360" w:lineRule="auto"/>
              <w:ind w:firstLine="480" w:firstLineChars="200"/>
              <w:rPr>
                <w:sz w:val="24"/>
              </w:rPr>
            </w:pPr>
            <w:r>
              <w:rPr>
                <w:rFonts w:hint="eastAsia"/>
                <w:sz w:val="24"/>
              </w:rPr>
              <w:t>本条属于一星级要求。</w:t>
            </w:r>
          </w:p>
        </w:tc>
      </w:tr>
    </w:tbl>
    <w:p>
      <w:pPr>
        <w:spacing w:line="360" w:lineRule="auto"/>
        <w:rPr>
          <w:rFonts w:hAnsi="宋体"/>
          <w:bCs/>
          <w:sz w:val="24"/>
        </w:rPr>
      </w:pPr>
    </w:p>
    <w:p>
      <w:pPr>
        <w:spacing w:line="360" w:lineRule="auto"/>
        <w:ind w:firstLine="200"/>
        <w:rPr>
          <w:rFonts w:asciiTheme="minorEastAsia" w:hAnsiTheme="minorEastAsia" w:eastAsiaTheme="minorEastAsia"/>
          <w:sz w:val="24"/>
          <w:lang w:val="en-GB"/>
        </w:rPr>
      </w:pPr>
      <w:r>
        <w:rPr>
          <w:rFonts w:hint="eastAsia" w:asciiTheme="minorEastAsia" w:hAnsiTheme="minorEastAsia" w:eastAsiaTheme="minorEastAsia"/>
          <w:sz w:val="24"/>
          <w:lang w:val="en-GB"/>
        </w:rPr>
        <w:t>2、设有</w:t>
      </w:r>
      <w:r>
        <w:rPr>
          <w:rFonts w:asciiTheme="minorEastAsia" w:hAnsiTheme="minorEastAsia" w:eastAsiaTheme="minorEastAsia"/>
          <w:sz w:val="24"/>
          <w:lang w:val="en-GB"/>
        </w:rPr>
        <w:t>建筑设备</w:t>
      </w:r>
      <w:r>
        <w:rPr>
          <w:rFonts w:hint="eastAsia" w:asciiTheme="minorEastAsia" w:hAnsiTheme="minorEastAsia" w:eastAsiaTheme="minorEastAsia"/>
          <w:sz w:val="24"/>
          <w:lang w:val="en-GB"/>
        </w:rPr>
        <w:t>监控</w:t>
      </w:r>
      <w:r>
        <w:rPr>
          <w:rFonts w:asciiTheme="minorEastAsia" w:hAnsiTheme="minorEastAsia" w:eastAsiaTheme="minorEastAsia"/>
          <w:sz w:val="24"/>
          <w:lang w:val="en-GB"/>
        </w:rPr>
        <w:t>系统（</w:t>
      </w:r>
      <w:r>
        <w:rPr>
          <w:rFonts w:hint="eastAsia" w:asciiTheme="minorEastAsia" w:hAnsiTheme="minorEastAsia" w:eastAsiaTheme="minorEastAsia"/>
          <w:sz w:val="24"/>
          <w:lang w:val="en-GB"/>
        </w:rPr>
        <w:t>BAS或建筑设备一体化监控系统</w:t>
      </w:r>
      <w:r>
        <w:rPr>
          <w:rFonts w:asciiTheme="minorEastAsia" w:hAnsiTheme="minorEastAsia" w:eastAsiaTheme="minorEastAsia"/>
          <w:sz w:val="24"/>
          <w:lang w:val="en-GB"/>
        </w:rPr>
        <w:t>）</w:t>
      </w:r>
      <w:r>
        <w:rPr>
          <w:rFonts w:hint="eastAsia" w:asciiTheme="minorEastAsia" w:hAnsiTheme="minorEastAsia" w:eastAsiaTheme="minorEastAsia"/>
          <w:sz w:val="24"/>
          <w:lang w:val="en-GB"/>
        </w:rPr>
        <w:t>。</w:t>
      </w:r>
    </w:p>
    <w:p>
      <w:pPr>
        <w:spacing w:line="360" w:lineRule="auto"/>
        <w:ind w:firstLine="200"/>
        <w:rPr>
          <w:rFonts w:asciiTheme="minorEastAsia" w:hAnsiTheme="minorEastAsia" w:eastAsiaTheme="minorEastAsia"/>
          <w:sz w:val="24"/>
          <w:lang w:val="en-GB"/>
        </w:rPr>
      </w:pPr>
      <w:r>
        <w:rPr>
          <w:rFonts w:hint="eastAsia"/>
          <w:sz w:val="24"/>
          <w:lang w:val="en-GB"/>
        </w:rPr>
        <w:t>监控内容简述：</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2"/>
        <w:gridCol w:w="1896"/>
        <w:gridCol w:w="1592"/>
        <w:gridCol w:w="38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772" w:type="dxa"/>
            <w:vMerge w:val="restart"/>
            <w:shd w:val="clear" w:color="auto" w:fill="auto"/>
            <w:vAlign w:val="center"/>
          </w:tcPr>
          <w:p>
            <w:pPr>
              <w:widowControl/>
              <w:spacing w:line="360" w:lineRule="auto"/>
              <w:rPr>
                <w:sz w:val="24"/>
              </w:rPr>
            </w:pPr>
            <w:r>
              <w:rPr>
                <w:rFonts w:hint="eastAsia"/>
                <w:sz w:val="24"/>
              </w:rPr>
              <w:t>条文来源</w:t>
            </w:r>
          </w:p>
        </w:tc>
        <w:tc>
          <w:tcPr>
            <w:tcW w:w="1896" w:type="dxa"/>
            <w:shd w:val="clear" w:color="auto" w:fill="auto"/>
            <w:vAlign w:val="center"/>
          </w:tcPr>
          <w:p>
            <w:pPr>
              <w:widowControl/>
              <w:spacing w:line="360" w:lineRule="auto"/>
              <w:rPr>
                <w:sz w:val="24"/>
              </w:rPr>
            </w:pPr>
            <w:r>
              <w:rPr>
                <w:rFonts w:hint="eastAsia"/>
                <w:sz w:val="24"/>
              </w:rPr>
              <w:t>DB33/1092-2021</w:t>
            </w:r>
          </w:p>
        </w:tc>
        <w:tc>
          <w:tcPr>
            <w:tcW w:w="1592" w:type="dxa"/>
            <w:shd w:val="clear" w:color="auto" w:fill="auto"/>
            <w:vAlign w:val="center"/>
          </w:tcPr>
          <w:p>
            <w:pPr>
              <w:widowControl/>
              <w:spacing w:line="360" w:lineRule="auto"/>
              <w:jc w:val="left"/>
              <w:rPr>
                <w:sz w:val="24"/>
              </w:rPr>
            </w:pPr>
            <w:r>
              <w:rPr>
                <w:rFonts w:hint="eastAsia"/>
                <w:sz w:val="24"/>
              </w:rPr>
              <w:t>9.1.</w:t>
            </w:r>
            <w:r>
              <w:rPr>
                <w:sz w:val="24"/>
              </w:rPr>
              <w:t>7</w:t>
            </w:r>
            <w:r>
              <w:rPr>
                <w:rFonts w:hint="eastAsia"/>
                <w:sz w:val="24"/>
              </w:rPr>
              <w:t>条</w:t>
            </w:r>
          </w:p>
        </w:tc>
        <w:tc>
          <w:tcPr>
            <w:tcW w:w="3890" w:type="dxa"/>
            <w:shd w:val="clear" w:color="auto" w:fill="auto"/>
            <w:vAlign w:val="center"/>
          </w:tcPr>
          <w:p>
            <w:pPr>
              <w:widowControl/>
              <w:spacing w:line="360" w:lineRule="auto"/>
              <w:rPr>
                <w:sz w:val="24"/>
              </w:rPr>
            </w:pPr>
            <w:r>
              <w:rPr>
                <w:rFonts w:hint="eastAsia"/>
                <w:sz w:val="24"/>
              </w:rPr>
              <w:t>基本要求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1772" w:type="dxa"/>
            <w:vMerge w:val="continue"/>
            <w:shd w:val="clear" w:color="auto" w:fill="auto"/>
            <w:vAlign w:val="center"/>
          </w:tcPr>
          <w:p>
            <w:pPr>
              <w:widowControl/>
              <w:spacing w:line="360" w:lineRule="auto"/>
              <w:rPr>
                <w:sz w:val="24"/>
              </w:rPr>
            </w:pPr>
          </w:p>
        </w:tc>
        <w:tc>
          <w:tcPr>
            <w:tcW w:w="1896" w:type="dxa"/>
            <w:shd w:val="clear" w:color="auto" w:fill="auto"/>
            <w:vAlign w:val="center"/>
          </w:tcPr>
          <w:p>
            <w:pPr>
              <w:widowControl/>
              <w:spacing w:line="360" w:lineRule="auto"/>
              <w:rPr>
                <w:sz w:val="24"/>
              </w:rPr>
            </w:pPr>
            <w:r>
              <w:rPr>
                <w:rFonts w:hint="eastAsia"/>
                <w:sz w:val="24"/>
              </w:rPr>
              <w:t>DB33/1015-2021</w:t>
            </w:r>
          </w:p>
        </w:tc>
        <w:tc>
          <w:tcPr>
            <w:tcW w:w="1592" w:type="dxa"/>
            <w:shd w:val="clear" w:color="auto" w:fill="auto"/>
            <w:vAlign w:val="center"/>
          </w:tcPr>
          <w:p>
            <w:pPr>
              <w:widowControl/>
              <w:spacing w:line="360" w:lineRule="auto"/>
              <w:jc w:val="left"/>
              <w:rPr>
                <w:sz w:val="24"/>
              </w:rPr>
            </w:pPr>
            <w:r>
              <w:rPr>
                <w:rFonts w:hint="eastAsia"/>
                <w:sz w:val="24"/>
              </w:rPr>
              <w:t>8.6.1条、8.6.2条</w:t>
            </w:r>
          </w:p>
        </w:tc>
        <w:tc>
          <w:tcPr>
            <w:tcW w:w="3890" w:type="dxa"/>
            <w:shd w:val="clear" w:color="auto" w:fill="auto"/>
            <w:vAlign w:val="center"/>
          </w:tcPr>
          <w:p>
            <w:pPr>
              <w:widowControl/>
              <w:spacing w:line="360" w:lineRule="auto"/>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2" w:type="dxa"/>
            <w:shd w:val="clear" w:color="auto" w:fill="auto"/>
            <w:vAlign w:val="center"/>
          </w:tcPr>
          <w:p>
            <w:pPr>
              <w:widowControl/>
              <w:spacing w:line="360" w:lineRule="auto"/>
              <w:rPr>
                <w:sz w:val="24"/>
              </w:rPr>
            </w:pPr>
            <w:r>
              <w:rPr>
                <w:rFonts w:hint="eastAsia"/>
                <w:sz w:val="24"/>
              </w:rPr>
              <w:t>依据材料</w:t>
            </w:r>
          </w:p>
        </w:tc>
        <w:tc>
          <w:tcPr>
            <w:tcW w:w="7378" w:type="dxa"/>
            <w:gridSpan w:val="3"/>
            <w:shd w:val="clear" w:color="auto" w:fill="auto"/>
          </w:tcPr>
          <w:p>
            <w:pPr>
              <w:widowControl/>
              <w:spacing w:line="360" w:lineRule="auto"/>
              <w:ind w:firstLine="480" w:firstLineChars="200"/>
              <w:rPr>
                <w:sz w:val="24"/>
              </w:rPr>
            </w:pPr>
            <w:r>
              <w:rPr>
                <w:rFonts w:hint="eastAsia"/>
                <w:sz w:val="24"/>
              </w:rPr>
              <w:t>设计人员应根据智能化系统设计施工图，结合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p>
            <w:pPr>
              <w:widowControl/>
              <w:spacing w:line="360" w:lineRule="auto"/>
              <w:ind w:firstLine="480" w:firstLineChars="200"/>
              <w:rPr>
                <w:sz w:val="24"/>
              </w:rPr>
            </w:pPr>
            <w:r>
              <w:rPr>
                <w:rFonts w:hint="eastAsia"/>
                <w:sz w:val="24"/>
              </w:rPr>
              <w:t>本条不要求一定要设置此类</w:t>
            </w:r>
            <w:r>
              <w:rPr>
                <w:sz w:val="24"/>
              </w:rPr>
              <w:t>系统</w:t>
            </w:r>
            <w:r>
              <w:rPr>
                <w:rFonts w:hint="eastAsia"/>
                <w:sz w:val="24"/>
              </w:rPr>
              <w:t>，是否设置应根据项目实际、星级要求综合考虑，具体规定详见上述规范条文。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72" w:type="dxa"/>
            <w:shd w:val="clear" w:color="auto" w:fill="auto"/>
            <w:vAlign w:val="center"/>
          </w:tcPr>
          <w:p>
            <w:pPr>
              <w:widowControl/>
              <w:spacing w:line="360" w:lineRule="auto"/>
              <w:rPr>
                <w:sz w:val="24"/>
              </w:rPr>
            </w:pPr>
            <w:r>
              <w:rPr>
                <w:rFonts w:hint="eastAsia"/>
                <w:sz w:val="24"/>
              </w:rPr>
              <w:t>备注</w:t>
            </w:r>
          </w:p>
        </w:tc>
        <w:tc>
          <w:tcPr>
            <w:tcW w:w="7378" w:type="dxa"/>
            <w:gridSpan w:val="3"/>
            <w:shd w:val="clear" w:color="auto" w:fill="auto"/>
          </w:tcPr>
          <w:p>
            <w:pPr>
              <w:widowControl/>
              <w:spacing w:line="360" w:lineRule="auto"/>
              <w:rPr>
                <w:sz w:val="24"/>
              </w:rPr>
            </w:pPr>
          </w:p>
        </w:tc>
      </w:tr>
    </w:tbl>
    <w:p>
      <w:pPr>
        <w:spacing w:line="360" w:lineRule="auto"/>
        <w:rPr>
          <w:rFonts w:hAnsi="宋体"/>
          <w:bCs/>
          <w:sz w:val="24"/>
        </w:rPr>
      </w:pP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3、根据需要设置合理的智能化服务系统；</w:t>
      </w: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智能化服务系统具有远程监控功能；具有接入智慧城市（城区、社区）的功能。</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7"/>
        <w:gridCol w:w="2234"/>
        <w:gridCol w:w="1525"/>
        <w:gridCol w:w="3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467" w:type="dxa"/>
            <w:vMerge w:val="restart"/>
            <w:shd w:val="clear" w:color="auto" w:fill="auto"/>
            <w:vAlign w:val="center"/>
          </w:tcPr>
          <w:p>
            <w:pPr>
              <w:pStyle w:val="84"/>
              <w:spacing w:line="360" w:lineRule="auto"/>
              <w:rPr>
                <w:sz w:val="24"/>
              </w:rPr>
            </w:pPr>
            <w:r>
              <w:rPr>
                <w:rFonts w:hint="eastAsia"/>
                <w:sz w:val="24"/>
              </w:rPr>
              <w:t>条文来源</w:t>
            </w:r>
          </w:p>
        </w:tc>
        <w:tc>
          <w:tcPr>
            <w:tcW w:w="2234" w:type="dxa"/>
            <w:vMerge w:val="restart"/>
            <w:shd w:val="clear" w:color="auto" w:fill="auto"/>
            <w:vAlign w:val="center"/>
          </w:tcPr>
          <w:p>
            <w:pPr>
              <w:pStyle w:val="84"/>
              <w:spacing w:line="360" w:lineRule="auto"/>
              <w:rPr>
                <w:sz w:val="24"/>
              </w:rPr>
            </w:pPr>
            <w:r>
              <w:rPr>
                <w:rFonts w:hint="eastAsia"/>
                <w:sz w:val="24"/>
              </w:rPr>
              <w:t>DB33/1092-2021</w:t>
            </w:r>
          </w:p>
        </w:tc>
        <w:tc>
          <w:tcPr>
            <w:tcW w:w="1525" w:type="dxa"/>
            <w:shd w:val="clear" w:color="auto" w:fill="auto"/>
            <w:vAlign w:val="center"/>
          </w:tcPr>
          <w:p>
            <w:pPr>
              <w:pStyle w:val="84"/>
              <w:spacing w:line="360" w:lineRule="auto"/>
              <w:rPr>
                <w:sz w:val="24"/>
              </w:rPr>
            </w:pPr>
            <w:r>
              <w:rPr>
                <w:rFonts w:hint="eastAsia"/>
                <w:sz w:val="24"/>
              </w:rPr>
              <w:t>9.2.</w:t>
            </w:r>
            <w:r>
              <w:rPr>
                <w:sz w:val="24"/>
              </w:rPr>
              <w:t>14</w:t>
            </w:r>
            <w:r>
              <w:rPr>
                <w:rFonts w:hint="eastAsia"/>
                <w:sz w:val="24"/>
              </w:rPr>
              <w:t>条</w:t>
            </w:r>
          </w:p>
        </w:tc>
        <w:tc>
          <w:tcPr>
            <w:tcW w:w="3898" w:type="dxa"/>
            <w:shd w:val="clear" w:color="auto" w:fill="auto"/>
            <w:vAlign w:val="center"/>
          </w:tcPr>
          <w:p>
            <w:pPr>
              <w:pStyle w:val="84"/>
              <w:spacing w:line="360" w:lineRule="auto"/>
              <w:jc w:val="left"/>
              <w:rPr>
                <w:sz w:val="24"/>
              </w:rPr>
            </w:pPr>
            <w:r>
              <w:rPr>
                <w:rFonts w:hint="eastAsia"/>
                <w:sz w:val="24"/>
              </w:rPr>
              <w:t>一星级设计要求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467" w:type="dxa"/>
            <w:vMerge w:val="continue"/>
            <w:shd w:val="clear" w:color="auto" w:fill="auto"/>
            <w:vAlign w:val="center"/>
          </w:tcPr>
          <w:p>
            <w:pPr>
              <w:pStyle w:val="84"/>
              <w:spacing w:line="360" w:lineRule="auto"/>
              <w:rPr>
                <w:sz w:val="24"/>
              </w:rPr>
            </w:pPr>
          </w:p>
        </w:tc>
        <w:tc>
          <w:tcPr>
            <w:tcW w:w="2234" w:type="dxa"/>
            <w:vMerge w:val="continue"/>
            <w:shd w:val="clear" w:color="auto" w:fill="auto"/>
            <w:vAlign w:val="center"/>
          </w:tcPr>
          <w:p>
            <w:pPr>
              <w:pStyle w:val="84"/>
              <w:spacing w:line="360" w:lineRule="auto"/>
              <w:rPr>
                <w:sz w:val="24"/>
              </w:rPr>
            </w:pPr>
          </w:p>
        </w:tc>
        <w:tc>
          <w:tcPr>
            <w:tcW w:w="1525" w:type="dxa"/>
            <w:shd w:val="clear" w:color="auto" w:fill="auto"/>
            <w:vAlign w:val="center"/>
          </w:tcPr>
          <w:p>
            <w:pPr>
              <w:pStyle w:val="84"/>
              <w:spacing w:line="360" w:lineRule="auto"/>
              <w:rPr>
                <w:sz w:val="24"/>
              </w:rPr>
            </w:pPr>
            <w:r>
              <w:rPr>
                <w:rFonts w:hint="eastAsia"/>
                <w:sz w:val="24"/>
              </w:rPr>
              <w:t>9.3.8条</w:t>
            </w:r>
          </w:p>
        </w:tc>
        <w:tc>
          <w:tcPr>
            <w:tcW w:w="3898" w:type="dxa"/>
            <w:shd w:val="clear" w:color="auto" w:fill="auto"/>
            <w:vAlign w:val="center"/>
          </w:tcPr>
          <w:p>
            <w:pPr>
              <w:pStyle w:val="84"/>
              <w:spacing w:line="360" w:lineRule="auto"/>
              <w:jc w:val="left"/>
              <w:rPr>
                <w:sz w:val="24"/>
              </w:rPr>
            </w:pPr>
            <w:r>
              <w:rPr>
                <w:rFonts w:hint="eastAsia"/>
                <w:sz w:val="24"/>
              </w:rPr>
              <w:t>二星级设计要求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7" w:type="dxa"/>
            <w:shd w:val="clear" w:color="auto" w:fill="auto"/>
            <w:vAlign w:val="center"/>
          </w:tcPr>
          <w:p>
            <w:pPr>
              <w:pStyle w:val="84"/>
              <w:spacing w:line="360" w:lineRule="auto"/>
              <w:rPr>
                <w:sz w:val="24"/>
              </w:rPr>
            </w:pPr>
            <w:r>
              <w:rPr>
                <w:rFonts w:hint="eastAsia"/>
                <w:sz w:val="24"/>
              </w:rPr>
              <w:t>依据材料</w:t>
            </w:r>
          </w:p>
        </w:tc>
        <w:tc>
          <w:tcPr>
            <w:tcW w:w="7657" w:type="dxa"/>
            <w:gridSpan w:val="3"/>
            <w:shd w:val="clear" w:color="auto" w:fill="auto"/>
          </w:tcPr>
          <w:p>
            <w:pPr>
              <w:pStyle w:val="84"/>
              <w:spacing w:line="360" w:lineRule="auto"/>
              <w:ind w:firstLine="480" w:firstLineChars="200"/>
              <w:jc w:val="left"/>
              <w:rPr>
                <w:sz w:val="24"/>
              </w:rPr>
            </w:pPr>
            <w:r>
              <w:rPr>
                <w:rFonts w:hint="eastAsia"/>
                <w:sz w:val="24"/>
              </w:rPr>
              <w:t>设计人员应根据智能化系统设计施工图，结合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7" w:type="dxa"/>
            <w:shd w:val="clear" w:color="auto" w:fill="auto"/>
            <w:vAlign w:val="center"/>
          </w:tcPr>
          <w:p>
            <w:pPr>
              <w:pStyle w:val="84"/>
              <w:spacing w:line="360" w:lineRule="auto"/>
              <w:rPr>
                <w:sz w:val="24"/>
              </w:rPr>
            </w:pPr>
            <w:r>
              <w:rPr>
                <w:rFonts w:hint="eastAsia"/>
                <w:sz w:val="24"/>
              </w:rPr>
              <w:t>备注</w:t>
            </w:r>
          </w:p>
        </w:tc>
        <w:tc>
          <w:tcPr>
            <w:tcW w:w="7657" w:type="dxa"/>
            <w:gridSpan w:val="3"/>
            <w:shd w:val="clear" w:color="auto" w:fill="auto"/>
          </w:tcPr>
          <w:p>
            <w:pPr>
              <w:pStyle w:val="84"/>
              <w:spacing w:line="360" w:lineRule="auto"/>
              <w:ind w:firstLine="480" w:firstLineChars="200"/>
              <w:jc w:val="left"/>
              <w:rPr>
                <w:sz w:val="24"/>
              </w:rPr>
            </w:pPr>
            <w:r>
              <w:rPr>
                <w:rFonts w:hint="eastAsia"/>
                <w:sz w:val="24"/>
              </w:rPr>
              <w:t>智能化服务系统包括智能家居监控系统、智能环境设备监控系统、智能工作生活服务系统等，可提升工作的安全性、便利性、舒适性、艺术性，实现更加便捷适用的工作环境。智能化服务系统涵盖电器控制、照明控制、安全报警、环境监测、建筑设备控制、工作服务（如会议预约）等等的多种功能，设计可按实际需求实现多种类型的服务功能。公共建筑主要功能房间应设置智能化服务系统终端设备。</w:t>
            </w:r>
          </w:p>
          <w:p>
            <w:pPr>
              <w:pStyle w:val="84"/>
              <w:spacing w:line="360" w:lineRule="auto"/>
              <w:ind w:firstLine="480" w:firstLineChars="200"/>
              <w:jc w:val="left"/>
              <w:rPr>
                <w:sz w:val="24"/>
              </w:rPr>
            </w:pPr>
            <w:r>
              <w:rPr>
                <w:rFonts w:hint="eastAsia"/>
                <w:sz w:val="24"/>
              </w:rPr>
              <w:t>智能化服务系统的控制方式包括电话或网络远程控制、室内外遥控、红外转发以及可编程定时控制等，使用者可通过以太网、移动数据网络等，实现对建筑室内物理环境状况、设备设施状态的监测，以及对环境设备系统的监控、对工作服务平台的访问，从而有效提升服务便捷性。智能化服务系统与智慧城市（城区、社区）平台对接，可有效实现数据共享与互通，提高信息更新与扩充的速度和范围，实现相关各方的互惠互利。</w:t>
            </w:r>
          </w:p>
          <w:p>
            <w:pPr>
              <w:pStyle w:val="84"/>
              <w:spacing w:line="360" w:lineRule="auto"/>
              <w:ind w:firstLine="480" w:firstLineChars="200"/>
              <w:jc w:val="left"/>
              <w:rPr>
                <w:sz w:val="24"/>
              </w:rPr>
            </w:pPr>
            <w:r>
              <w:rPr>
                <w:rFonts w:hint="eastAsia"/>
                <w:sz w:val="24"/>
              </w:rPr>
              <w:t>本条第一项是一星级的要求，第二项是二星级的要求。是否设置应根据项目实际、星级要求综合考虑，具体规定详见上述规范条文。</w:t>
            </w:r>
          </w:p>
        </w:tc>
      </w:tr>
    </w:tbl>
    <w:p>
      <w:pPr>
        <w:spacing w:line="360" w:lineRule="auto"/>
        <w:rPr>
          <w:rFonts w:asciiTheme="minorEastAsia" w:hAnsiTheme="minorEastAsia" w:eastAsiaTheme="minorEastAsia"/>
          <w:sz w:val="24"/>
        </w:rPr>
      </w:pPr>
    </w:p>
    <w:p>
      <w:pPr>
        <w:spacing w:line="360" w:lineRule="auto"/>
        <w:rPr>
          <w:rFonts w:asciiTheme="minorEastAsia" w:hAnsiTheme="minorEastAsia" w:eastAsiaTheme="minorEastAsia"/>
          <w:sz w:val="24"/>
          <w:lang w:val="en-GB"/>
        </w:rPr>
      </w:pPr>
      <w:r>
        <w:rPr>
          <w:rFonts w:hint="eastAsia" w:asciiTheme="minorEastAsia" w:hAnsiTheme="minorEastAsia" w:eastAsiaTheme="minorEastAsia"/>
          <w:sz w:val="24"/>
          <w:lang w:val="en-GB"/>
        </w:rPr>
        <w:t>4、建筑设备管理系统采用大数据分析技术分析并优化设备的运行状态和运行能耗。</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67"/>
        <w:gridCol w:w="2234"/>
        <w:gridCol w:w="1525"/>
        <w:gridCol w:w="3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1467" w:type="dxa"/>
            <w:shd w:val="clear" w:color="auto" w:fill="auto"/>
            <w:vAlign w:val="center"/>
          </w:tcPr>
          <w:p>
            <w:pPr>
              <w:pStyle w:val="84"/>
              <w:spacing w:line="360" w:lineRule="auto"/>
              <w:rPr>
                <w:sz w:val="24"/>
              </w:rPr>
            </w:pPr>
            <w:r>
              <w:rPr>
                <w:rFonts w:hint="eastAsia"/>
                <w:sz w:val="24"/>
              </w:rPr>
              <w:t>条文来源</w:t>
            </w:r>
          </w:p>
        </w:tc>
        <w:tc>
          <w:tcPr>
            <w:tcW w:w="2234" w:type="dxa"/>
            <w:shd w:val="clear" w:color="auto" w:fill="auto"/>
            <w:vAlign w:val="center"/>
          </w:tcPr>
          <w:p>
            <w:pPr>
              <w:pStyle w:val="84"/>
              <w:spacing w:line="360" w:lineRule="auto"/>
              <w:jc w:val="left"/>
              <w:rPr>
                <w:sz w:val="24"/>
              </w:rPr>
            </w:pPr>
            <w:r>
              <w:rPr>
                <w:rFonts w:hint="eastAsia"/>
                <w:sz w:val="24"/>
              </w:rPr>
              <w:t>DB33/1092-2021</w:t>
            </w:r>
          </w:p>
        </w:tc>
        <w:tc>
          <w:tcPr>
            <w:tcW w:w="1525" w:type="dxa"/>
            <w:shd w:val="clear" w:color="auto" w:fill="auto"/>
            <w:vAlign w:val="center"/>
          </w:tcPr>
          <w:p>
            <w:pPr>
              <w:pStyle w:val="84"/>
              <w:spacing w:line="360" w:lineRule="auto"/>
              <w:jc w:val="left"/>
              <w:rPr>
                <w:sz w:val="24"/>
              </w:rPr>
            </w:pPr>
            <w:r>
              <w:rPr>
                <w:rFonts w:hint="eastAsia"/>
                <w:sz w:val="24"/>
              </w:rPr>
              <w:t>9.4.6条</w:t>
            </w:r>
          </w:p>
        </w:tc>
        <w:tc>
          <w:tcPr>
            <w:tcW w:w="3898" w:type="dxa"/>
            <w:shd w:val="clear" w:color="auto" w:fill="auto"/>
            <w:vAlign w:val="center"/>
          </w:tcPr>
          <w:p>
            <w:pPr>
              <w:pStyle w:val="84"/>
              <w:spacing w:line="360" w:lineRule="auto"/>
              <w:jc w:val="left"/>
              <w:rPr>
                <w:sz w:val="24"/>
              </w:rPr>
            </w:pPr>
            <w:r>
              <w:rPr>
                <w:rFonts w:hint="eastAsia"/>
                <w:sz w:val="24"/>
              </w:rPr>
              <w:t>三星级设计要求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7" w:type="dxa"/>
            <w:shd w:val="clear" w:color="auto" w:fill="auto"/>
            <w:vAlign w:val="center"/>
          </w:tcPr>
          <w:p>
            <w:pPr>
              <w:pStyle w:val="84"/>
              <w:spacing w:line="360" w:lineRule="auto"/>
              <w:rPr>
                <w:sz w:val="24"/>
              </w:rPr>
            </w:pPr>
            <w:r>
              <w:rPr>
                <w:rFonts w:hint="eastAsia"/>
                <w:sz w:val="24"/>
              </w:rPr>
              <w:t>依据材料</w:t>
            </w:r>
          </w:p>
        </w:tc>
        <w:tc>
          <w:tcPr>
            <w:tcW w:w="7657" w:type="dxa"/>
            <w:gridSpan w:val="3"/>
            <w:shd w:val="clear" w:color="auto" w:fill="auto"/>
          </w:tcPr>
          <w:p>
            <w:pPr>
              <w:pStyle w:val="84"/>
              <w:spacing w:line="360" w:lineRule="auto"/>
              <w:ind w:firstLine="480" w:firstLineChars="200"/>
              <w:jc w:val="left"/>
              <w:rPr>
                <w:sz w:val="24"/>
              </w:rPr>
            </w:pPr>
            <w:r>
              <w:rPr>
                <w:rFonts w:hint="eastAsia"/>
                <w:sz w:val="24"/>
              </w:rPr>
              <w:t>设计人员应根据智能化系统设计施工图，结合</w:t>
            </w:r>
            <w:r>
              <w:rPr>
                <w:sz w:val="24"/>
              </w:rPr>
              <w:t>实际</w:t>
            </w:r>
            <w:r>
              <w:rPr>
                <w:rFonts w:hint="eastAsia"/>
                <w:sz w:val="24"/>
              </w:rPr>
              <w:t>情况</w:t>
            </w:r>
            <w:r>
              <w:rPr>
                <w:sz w:val="24"/>
              </w:rPr>
              <w:t>，</w:t>
            </w:r>
            <w:r>
              <w:rPr>
                <w:rFonts w:hint="eastAsia"/>
                <w:sz w:val="24"/>
              </w:rPr>
              <w:t>填写</w:t>
            </w:r>
            <w:r>
              <w:rPr>
                <w:sz w:val="24"/>
              </w:rPr>
              <w:t>此</w:t>
            </w:r>
            <w:r>
              <w:rPr>
                <w:rFonts w:hint="eastAsia"/>
                <w:sz w:val="24"/>
              </w:rPr>
              <w:t>条</w:t>
            </w:r>
            <w:r>
              <w:rPr>
                <w:sz w:val="24"/>
              </w:rPr>
              <w:t>内容</w:t>
            </w:r>
            <w:r>
              <w:rPr>
                <w:rFonts w:hint="eastAsia"/>
                <w:sz w:val="24"/>
              </w:rPr>
              <w:t>。</w:t>
            </w:r>
          </w:p>
          <w:p>
            <w:pPr>
              <w:pStyle w:val="84"/>
              <w:spacing w:line="360" w:lineRule="auto"/>
              <w:ind w:firstLine="480" w:firstLineChars="200"/>
              <w:jc w:val="left"/>
              <w:rPr>
                <w:sz w:val="24"/>
              </w:rPr>
            </w:pPr>
            <w:r>
              <w:rPr>
                <w:rFonts w:hint="eastAsia"/>
                <w:sz w:val="24"/>
              </w:rPr>
              <w:t>是否设置应根据项目实际、星级要求综合考虑，具体规定详见上述规范条文。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67" w:type="dxa"/>
            <w:shd w:val="clear" w:color="auto" w:fill="auto"/>
            <w:vAlign w:val="center"/>
          </w:tcPr>
          <w:p>
            <w:pPr>
              <w:pStyle w:val="84"/>
              <w:spacing w:line="360" w:lineRule="auto"/>
              <w:rPr>
                <w:sz w:val="24"/>
              </w:rPr>
            </w:pPr>
            <w:r>
              <w:rPr>
                <w:rFonts w:hint="eastAsia"/>
                <w:sz w:val="24"/>
              </w:rPr>
              <w:t>备注</w:t>
            </w:r>
          </w:p>
        </w:tc>
        <w:tc>
          <w:tcPr>
            <w:tcW w:w="7657" w:type="dxa"/>
            <w:gridSpan w:val="3"/>
            <w:shd w:val="clear" w:color="auto" w:fill="auto"/>
          </w:tcPr>
          <w:p>
            <w:pPr>
              <w:pStyle w:val="84"/>
              <w:spacing w:line="360" w:lineRule="auto"/>
              <w:ind w:firstLine="480" w:firstLineChars="200"/>
              <w:jc w:val="left"/>
              <w:rPr>
                <w:bCs/>
                <w:sz w:val="24"/>
              </w:rPr>
            </w:pPr>
            <w:r>
              <w:rPr>
                <w:rFonts w:hint="eastAsia"/>
                <w:bCs/>
                <w:sz w:val="24"/>
              </w:rPr>
              <w:t>利用大数据，可以分析历史数据，得到设备运行、能耗等随时间变化的规律，或验证采取各种措施后的实际效果；也可与其他同类建筑的同类设备、同类能耗等作横向比较，分析差距和问题并采取针对性措施，提高运行或节能水平。不一而足。</w:t>
            </w:r>
          </w:p>
          <w:p>
            <w:pPr>
              <w:pStyle w:val="84"/>
              <w:spacing w:line="360" w:lineRule="auto"/>
              <w:ind w:firstLine="480" w:firstLineChars="200"/>
              <w:jc w:val="left"/>
              <w:rPr>
                <w:sz w:val="24"/>
              </w:rPr>
            </w:pPr>
            <w:r>
              <w:rPr>
                <w:rFonts w:hint="eastAsia"/>
                <w:sz w:val="24"/>
              </w:rPr>
              <w:t>本条是三星级的要求。</w:t>
            </w:r>
          </w:p>
        </w:tc>
      </w:tr>
    </w:tbl>
    <w:p>
      <w:pPr>
        <w:spacing w:line="360" w:lineRule="auto"/>
        <w:rPr>
          <w:rFonts w:hAnsi="宋体"/>
          <w:sz w:val="24"/>
        </w:rPr>
      </w:pPr>
    </w:p>
    <w:p>
      <w:pPr>
        <w:spacing w:line="360" w:lineRule="auto"/>
        <w:rPr>
          <w:rFonts w:hAnsi="宋体"/>
          <w:sz w:val="24"/>
          <w:lang w:val="en-GB"/>
        </w:rPr>
      </w:pPr>
      <w:r>
        <w:rPr>
          <w:rFonts w:hint="eastAsia" w:hAnsi="宋体"/>
          <w:sz w:val="24"/>
          <w:lang w:val="en-GB"/>
        </w:rPr>
        <w:t>5、其它需说明的有关绿色（节能）的设计：</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9"/>
        <w:gridCol w:w="2092"/>
        <w:gridCol w:w="1525"/>
        <w:gridCol w:w="3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restart"/>
            <w:shd w:val="clear" w:color="auto" w:fill="auto"/>
            <w:vAlign w:val="center"/>
          </w:tcPr>
          <w:p>
            <w:pPr>
              <w:spacing w:line="360" w:lineRule="auto"/>
              <w:jc w:val="center"/>
              <w:rPr>
                <w:rFonts w:hAnsi="宋体"/>
                <w:sz w:val="24"/>
              </w:rPr>
            </w:pPr>
            <w:r>
              <w:rPr>
                <w:rFonts w:hint="eastAsia" w:hAnsi="宋体"/>
                <w:sz w:val="24"/>
              </w:rPr>
              <w:t>条文来源</w:t>
            </w:r>
          </w:p>
        </w:tc>
        <w:tc>
          <w:tcPr>
            <w:tcW w:w="2092" w:type="dxa"/>
            <w:shd w:val="clear" w:color="auto" w:fill="auto"/>
            <w:vAlign w:val="center"/>
          </w:tcPr>
          <w:p>
            <w:pPr>
              <w:spacing w:line="360" w:lineRule="auto"/>
              <w:rPr>
                <w:rFonts w:hAnsi="宋体"/>
                <w:sz w:val="24"/>
              </w:rPr>
            </w:pPr>
            <w:r>
              <w:rPr>
                <w:rFonts w:hint="eastAsia" w:hAnsi="宋体"/>
                <w:sz w:val="24"/>
              </w:rPr>
              <w:t>GB/T 50378-2014</w:t>
            </w:r>
          </w:p>
        </w:tc>
        <w:tc>
          <w:tcPr>
            <w:tcW w:w="1525" w:type="dxa"/>
            <w:shd w:val="clear" w:color="auto" w:fill="auto"/>
            <w:vAlign w:val="center"/>
          </w:tcPr>
          <w:p>
            <w:pPr>
              <w:spacing w:line="360" w:lineRule="auto"/>
              <w:rPr>
                <w:rFonts w:hAnsi="宋体"/>
                <w:sz w:val="24"/>
              </w:rPr>
            </w:pPr>
          </w:p>
        </w:tc>
        <w:tc>
          <w:tcPr>
            <w:tcW w:w="3898" w:type="dxa"/>
            <w:shd w:val="clear" w:color="auto" w:fill="auto"/>
            <w:vAlign w:val="center"/>
          </w:tcPr>
          <w:p>
            <w:pPr>
              <w:autoSpaceDE w:val="0"/>
              <w:autoSpaceDN w:val="0"/>
              <w:adjustRightInd w:val="0"/>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vMerge w:val="continue"/>
            <w:shd w:val="clear" w:color="auto" w:fill="auto"/>
            <w:vAlign w:val="center"/>
          </w:tcPr>
          <w:p>
            <w:pPr>
              <w:spacing w:line="360" w:lineRule="auto"/>
              <w:jc w:val="center"/>
              <w:rPr>
                <w:rFonts w:hAnsi="宋体"/>
                <w:sz w:val="24"/>
              </w:rPr>
            </w:pPr>
          </w:p>
        </w:tc>
        <w:tc>
          <w:tcPr>
            <w:tcW w:w="2092" w:type="dxa"/>
            <w:shd w:val="clear" w:color="auto" w:fill="auto"/>
            <w:vAlign w:val="center"/>
          </w:tcPr>
          <w:p>
            <w:pPr>
              <w:spacing w:line="360" w:lineRule="auto"/>
              <w:rPr>
                <w:rFonts w:hAnsi="宋体"/>
                <w:sz w:val="24"/>
              </w:rPr>
            </w:pPr>
            <w:r>
              <w:rPr>
                <w:rFonts w:hint="eastAsia" w:hAnsi="宋体"/>
                <w:sz w:val="24"/>
                <w:lang w:val="en-GB"/>
              </w:rPr>
              <w:t>DB33/1092-2021</w:t>
            </w:r>
          </w:p>
        </w:tc>
        <w:tc>
          <w:tcPr>
            <w:tcW w:w="1525" w:type="dxa"/>
            <w:shd w:val="clear" w:color="auto" w:fill="auto"/>
            <w:vAlign w:val="center"/>
          </w:tcPr>
          <w:p>
            <w:pPr>
              <w:spacing w:line="360" w:lineRule="auto"/>
              <w:rPr>
                <w:rFonts w:hAnsi="宋体"/>
                <w:sz w:val="24"/>
              </w:rPr>
            </w:pPr>
          </w:p>
        </w:tc>
        <w:tc>
          <w:tcPr>
            <w:tcW w:w="3898" w:type="dxa"/>
            <w:shd w:val="clear" w:color="auto" w:fill="auto"/>
            <w:vAlign w:val="center"/>
          </w:tcPr>
          <w:p>
            <w:pPr>
              <w:spacing w:line="360" w:lineRule="auto"/>
              <w:rPr>
                <w:rFonts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09" w:type="dxa"/>
            <w:shd w:val="clear" w:color="auto" w:fill="auto"/>
            <w:vAlign w:val="center"/>
          </w:tcPr>
          <w:p>
            <w:pPr>
              <w:spacing w:line="360" w:lineRule="auto"/>
              <w:jc w:val="center"/>
              <w:rPr>
                <w:rFonts w:hAnsi="宋体"/>
                <w:sz w:val="24"/>
              </w:rPr>
            </w:pPr>
            <w:r>
              <w:rPr>
                <w:rFonts w:hint="eastAsia" w:hAnsi="宋体"/>
                <w:sz w:val="24"/>
              </w:rPr>
              <w:t>依据材料</w:t>
            </w:r>
          </w:p>
        </w:tc>
        <w:tc>
          <w:tcPr>
            <w:tcW w:w="7515" w:type="dxa"/>
            <w:gridSpan w:val="3"/>
            <w:shd w:val="clear" w:color="auto" w:fill="auto"/>
          </w:tcPr>
          <w:p>
            <w:pPr>
              <w:spacing w:line="360" w:lineRule="auto"/>
              <w:ind w:firstLine="480" w:firstLineChars="200"/>
              <w:jc w:val="left"/>
              <w:outlineLvl w:val="3"/>
              <w:rPr>
                <w:rFonts w:hAnsi="宋体"/>
                <w:sz w:val="24"/>
              </w:rPr>
            </w:pPr>
            <w:r>
              <w:rPr>
                <w:rFonts w:hint="eastAsia" w:hAnsi="宋体"/>
                <w:sz w:val="24"/>
              </w:rPr>
              <w:t>设计人员应根据施工图设计，结合</w:t>
            </w:r>
            <w:r>
              <w:rPr>
                <w:rFonts w:hAnsi="宋体"/>
                <w:sz w:val="24"/>
              </w:rPr>
              <w:t>实际</w:t>
            </w:r>
            <w:r>
              <w:rPr>
                <w:rFonts w:hint="eastAsia" w:hAnsi="宋体"/>
                <w:sz w:val="24"/>
              </w:rPr>
              <w:t>情况</w:t>
            </w:r>
            <w:r>
              <w:rPr>
                <w:rFonts w:hAnsi="宋体"/>
                <w:sz w:val="24"/>
              </w:rPr>
              <w:t>，</w:t>
            </w:r>
            <w:r>
              <w:rPr>
                <w:rFonts w:hint="eastAsia" w:hAnsi="宋体"/>
                <w:sz w:val="24"/>
              </w:rPr>
              <w:t>填写</w:t>
            </w:r>
            <w:r>
              <w:rPr>
                <w:rFonts w:hAnsi="宋体"/>
                <w:sz w:val="24"/>
              </w:rPr>
              <w:t>此</w:t>
            </w:r>
            <w:r>
              <w:rPr>
                <w:rFonts w:hint="eastAsia" w:hAnsi="宋体"/>
                <w:sz w:val="24"/>
              </w:rPr>
              <w:t>条</w:t>
            </w:r>
            <w:r>
              <w:rPr>
                <w:rFonts w:hAnsi="宋体"/>
                <w:sz w:val="24"/>
              </w:rPr>
              <w:t>内容</w:t>
            </w:r>
            <w:r>
              <w:rPr>
                <w:rFonts w:hint="eastAsia"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609" w:type="dxa"/>
            <w:shd w:val="clear" w:color="auto" w:fill="auto"/>
            <w:vAlign w:val="center"/>
          </w:tcPr>
          <w:p>
            <w:pPr>
              <w:autoSpaceDE w:val="0"/>
              <w:autoSpaceDN w:val="0"/>
              <w:adjustRightInd w:val="0"/>
              <w:spacing w:line="360" w:lineRule="auto"/>
              <w:jc w:val="center"/>
              <w:rPr>
                <w:rFonts w:hAnsi="宋体"/>
                <w:sz w:val="24"/>
              </w:rPr>
            </w:pPr>
            <w:r>
              <w:rPr>
                <w:rFonts w:hint="eastAsia" w:hAnsi="宋体"/>
                <w:sz w:val="24"/>
              </w:rPr>
              <w:t>备注</w:t>
            </w:r>
          </w:p>
        </w:tc>
        <w:tc>
          <w:tcPr>
            <w:tcW w:w="7515" w:type="dxa"/>
            <w:gridSpan w:val="3"/>
            <w:shd w:val="clear" w:color="auto" w:fill="auto"/>
          </w:tcPr>
          <w:p>
            <w:pPr>
              <w:spacing w:line="360" w:lineRule="auto"/>
              <w:ind w:firstLine="480" w:firstLineChars="200"/>
              <w:jc w:val="left"/>
              <w:outlineLvl w:val="3"/>
              <w:rPr>
                <w:rFonts w:hAnsi="宋体"/>
                <w:sz w:val="24"/>
              </w:rPr>
            </w:pPr>
            <w:r>
              <w:rPr>
                <w:rFonts w:hint="eastAsia" w:hAnsi="宋体"/>
                <w:sz w:val="24"/>
              </w:rPr>
              <w:t>本专篇无法列出所有的节能技术，新的技术也会不断出现。若采用了本专篇以外的新技术，应简要说明，可在星级评定时酌情加分。</w:t>
            </w:r>
          </w:p>
        </w:tc>
      </w:tr>
    </w:tbl>
    <w:p>
      <w:pPr>
        <w:pStyle w:val="63"/>
        <w:rPr>
          <w:lang w:val="en-GB"/>
        </w:rPr>
      </w:pPr>
    </w:p>
    <w:sectPr>
      <w:headerReference r:id="rId14" w:type="default"/>
      <w:pgSz w:w="11907" w:h="16839"/>
      <w:pgMar w:top="1800" w:right="1440" w:bottom="1800" w:left="1440" w:header="851" w:footer="992" w:gutter="0"/>
      <w:cols w:space="63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Cambria">
    <w:altName w:val="Noto Sans Syriac Eastern"/>
    <w:panose1 w:val="02040503050406030204"/>
    <w:charset w:val="00"/>
    <w:family w:val="roman"/>
    <w:pitch w:val="default"/>
    <w:sig w:usb0="00000000" w:usb1="00000000" w:usb2="00000000" w:usb3="00000000" w:csb0="0000019F" w:csb1="00000000"/>
  </w:font>
  <w:font w:name="PMingLiU">
    <w:altName w:val="文泉驿微米黑"/>
    <w:panose1 w:val="02020500000000000000"/>
    <w:charset w:val="88"/>
    <w:family w:val="roman"/>
    <w:pitch w:val="default"/>
    <w:sig w:usb0="00000000" w:usb1="00000000" w:usb2="00000016" w:usb3="00000000" w:csb0="00100001" w:csb1="00000000"/>
  </w:font>
  <w:font w:name="Century">
    <w:altName w:val="DejaVu Serif"/>
    <w:panose1 w:val="02040604050505020304"/>
    <w:charset w:val="00"/>
    <w:family w:val="roman"/>
    <w:pitch w:val="default"/>
    <w:sig w:usb0="00000000" w:usb1="00000000" w:usb2="00000000" w:usb3="00000000" w:csb0="0000009F" w:csb1="00000000"/>
  </w:font>
  <w:font w:name="MS Mincho">
    <w:altName w:val="宋体"/>
    <w:panose1 w:val="02020609040205080304"/>
    <w:charset w:val="80"/>
    <w:family w:val="modern"/>
    <w:pitch w:val="default"/>
    <w:sig w:usb0="00000000" w:usb1="00000000" w:usb2="00000012" w:usb3="00000000" w:csb0="0002009F" w:csb1="00000000"/>
  </w:font>
  <w:font w:name="Tahoma">
    <w:altName w:val="DejaVu Sans"/>
    <w:panose1 w:val="020B0604030504040204"/>
    <w:charset w:val="00"/>
    <w:family w:val="swiss"/>
    <w:pitch w:val="default"/>
    <w:sig w:usb0="00000000" w:usb1="00000000" w:usb2="00000029" w:usb3="00000000" w:csb0="000101FF" w:csb1="00000000"/>
  </w:font>
  <w:font w:name="Verdana">
    <w:altName w:val="DejaVu Sans"/>
    <w:panose1 w:val="020B0604030504040204"/>
    <w:charset w:val="00"/>
    <w:family w:val="swiss"/>
    <w:pitch w:val="default"/>
    <w:sig w:usb0="00000000" w:usb1="00000000" w:usb2="00000010" w:usb3="00000000" w:csb0="0000019F" w:csb1="00000000"/>
  </w:font>
  <w:font w:name="等线">
    <w:altName w:val="微软雅黑"/>
    <w:panose1 w:val="00000000000000000000"/>
    <w:charset w:val="86"/>
    <w:family w:val="auto"/>
    <w:pitch w:val="default"/>
    <w:sig w:usb0="00000000" w:usb1="00000000" w:usb2="00000016" w:usb3="00000000" w:csb0="0004000F"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HiddenHorzOCR">
    <w:altName w:val="宋体"/>
    <w:panose1 w:val="00000000000000000000"/>
    <w:charset w:val="80"/>
    <w:family w:val="auto"/>
    <w:pitch w:val="default"/>
    <w:sig w:usb0="00000000" w:usb1="00000000" w:usb2="00000010" w:usb3="00000000" w:csb0="00020000" w:csb1="00000000"/>
  </w:font>
  <w:font w:name="MS Gothic">
    <w:altName w:val="宋体"/>
    <w:panose1 w:val="020B0609070205080204"/>
    <w:charset w:val="80"/>
    <w:family w:val="modern"/>
    <w:pitch w:val="default"/>
    <w:sig w:usb0="00000000" w:usb1="00000000" w:usb2="00000012" w:usb3="00000000" w:csb0="0002009F" w:csb1="00000000"/>
  </w:font>
  <w:font w:name="DejaVu Sans">
    <w:panose1 w:val="020B0603030804020204"/>
    <w:charset w:val="00"/>
    <w:family w:val="auto"/>
    <w:pitch w:val="default"/>
    <w:sig w:usb0="E7006EFF" w:usb1="D200FDFF" w:usb2="0A246029" w:usb3="0400200C" w:csb0="600001FF" w:csb1="DFFF0000"/>
  </w:font>
  <w:font w:name="NanumGothic">
    <w:panose1 w:val="020D0604000000000000"/>
    <w:charset w:val="81"/>
    <w:family w:val="auto"/>
    <w:pitch w:val="default"/>
    <w:sig w:usb0="900002A7" w:usb1="29D7FCFB" w:usb2="00000010" w:usb3="00000000" w:csb0="00080001" w:csb1="00000000"/>
  </w:font>
  <w:font w:name="Noto Sans Syriac Eastern">
    <w:panose1 w:val="02040503050306020203"/>
    <w:charset w:val="86"/>
    <w:family w:val="auto"/>
    <w:pitch w:val="default"/>
    <w:sig w:usb0="00000000" w:usb1="00000000" w:usb2="00000080" w:usb3="00000000" w:csb0="203E0161" w:csb1="D7FF0000"/>
  </w:font>
  <w:font w:name="方正宋体S-超大字符集">
    <w:panose1 w:val="02000000000000000000"/>
    <w:charset w:val="86"/>
    <w:family w:val="auto"/>
    <w:pitch w:val="default"/>
    <w:sig w:usb0="00000001" w:usb1="0800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52971708"/>
    </w:sdtPr>
    <w:sdtContent>
      <w:p>
        <w:pPr>
          <w:pStyle w:val="29"/>
          <w:ind w:firstLine="480"/>
          <w:jc w:val="center"/>
        </w:pPr>
        <w:r>
          <w:fldChar w:fldCharType="begin"/>
        </w:r>
        <w:r>
          <w:instrText xml:space="preserve">PAGE   \* MERGEFORMAT</w:instrText>
        </w:r>
        <w:r>
          <w:fldChar w:fldCharType="separate"/>
        </w:r>
        <w:r>
          <w:rPr>
            <w:lang w:val="zh-CN"/>
          </w:rPr>
          <w:t>21</w:t>
        </w:r>
        <w:r>
          <w:rPr>
            <w:lang w:val="zh-C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60451828"/>
    </w:sdtPr>
    <w:sdtContent>
      <w:p>
        <w:pPr>
          <w:pStyle w:val="28"/>
          <w:jc w:val="center"/>
        </w:pPr>
        <w:r>
          <w:fldChar w:fldCharType="begin"/>
        </w:r>
        <w:r>
          <w:instrText xml:space="preserve"> PAGE   \* MERGEFORMAT </w:instrText>
        </w:r>
        <w:r>
          <w:fldChar w:fldCharType="separate"/>
        </w:r>
        <w:r>
          <w:rPr>
            <w:lang w:val="zh-CN"/>
          </w:rPr>
          <w:t>49</w:t>
        </w:r>
        <w:r>
          <w:rPr>
            <w:lang w:val="zh-CN"/>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szCs w:val="3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ind w:firstLine="1084" w:firstLineChars="300"/>
      <w:jc w:val="left"/>
      <w:rPr>
        <w:rFonts w:hAnsi="宋体"/>
        <w:b/>
        <w:sz w:val="36"/>
        <w:szCs w:val="36"/>
      </w:rPr>
    </w:pPr>
    <w:r>
      <w:rPr>
        <w:rFonts w:hint="eastAsia" w:hAnsi="宋体"/>
        <w:b/>
        <w:sz w:val="36"/>
        <w:szCs w:val="36"/>
      </w:rPr>
      <w:t xml:space="preserve">                               民用建筑绿色与节能设计施工图专篇（居住建筑）-总表</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Fonts w:hAnsi="宋体"/>
        <w:b/>
        <w:sz w:val="36"/>
        <w:szCs w:val="36"/>
      </w:rPr>
    </w:pPr>
    <w:r>
      <w:rPr>
        <w:rFonts w:hint="eastAsia" w:hAnsi="宋体"/>
        <w:b/>
        <w:sz w:val="36"/>
        <w:szCs w:val="36"/>
      </w:rPr>
      <w:t>民用建筑绿色与节能设计施工图专篇（居住建筑）-建筑专业</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Fonts w:hAnsi="宋体"/>
        <w:b/>
        <w:sz w:val="36"/>
        <w:szCs w:val="36"/>
      </w:rPr>
    </w:pPr>
    <w:r>
      <w:rPr>
        <w:rFonts w:hint="eastAsia" w:hAnsi="宋体"/>
        <w:b/>
        <w:sz w:val="36"/>
        <w:szCs w:val="36"/>
      </w:rPr>
      <w:t>民用建筑绿色与节能设计施工图专篇（居住建筑）-结构专业</w:t>
    </w:r>
  </w:p>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Fonts w:hAnsi="宋体"/>
        <w:b/>
        <w:sz w:val="36"/>
        <w:szCs w:val="36"/>
      </w:rPr>
    </w:pPr>
    <w:r>
      <w:rPr>
        <w:rFonts w:hint="eastAsia" w:hAnsi="宋体"/>
        <w:b/>
        <w:sz w:val="36"/>
        <w:szCs w:val="36"/>
      </w:rPr>
      <w:t>民用建筑绿色与节能设计施工图专篇（居住建筑）-给排水专业</w:t>
    </w: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Fonts w:hAnsi="宋体"/>
        <w:b/>
        <w:sz w:val="36"/>
        <w:szCs w:val="36"/>
      </w:rPr>
    </w:pPr>
    <w:r>
      <w:rPr>
        <w:rFonts w:hint="eastAsia" w:hAnsi="宋体"/>
        <w:b/>
        <w:sz w:val="36"/>
        <w:szCs w:val="36"/>
      </w:rPr>
      <w:t>民用建筑绿色与节能设计施工图专篇（居住建筑）-暖通专业</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rFonts w:hAnsi="宋体"/>
        <w:b/>
        <w:sz w:val="36"/>
        <w:szCs w:val="36"/>
      </w:rPr>
    </w:pPr>
    <w:r>
      <w:rPr>
        <w:rFonts w:hint="eastAsia" w:hAnsi="宋体"/>
        <w:b/>
        <w:sz w:val="36"/>
        <w:szCs w:val="36"/>
      </w:rPr>
      <w:t>民用建筑绿色与节能设计施工图专篇（居住建筑）-电气与智能化专业</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rPr>
        <w:szCs w:val="36"/>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62"/>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pStyle w:val="160"/>
      <w:suff w:val="nothing"/>
      <w:lvlText w:val="%1%2.%3.%4.%5.%6　"/>
      <w:lvlJc w:val="left"/>
      <w:pPr>
        <w:ind w:left="0" w:firstLine="0"/>
      </w:pPr>
      <w:rPr>
        <w:rFonts w:hint="eastAsia" w:ascii="黑体" w:hAnsi="Times New Roman" w:eastAsia="黑体"/>
        <w:b w:val="0"/>
        <w:i w:val="0"/>
        <w:sz w:val="21"/>
      </w:rPr>
    </w:lvl>
    <w:lvl w:ilvl="6" w:tentative="0">
      <w:start w:val="1"/>
      <w:numFmt w:val="decimal"/>
      <w:pStyle w:val="15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4F55797"/>
    <w:multiLevelType w:val="multilevel"/>
    <w:tmpl w:val="04F55797"/>
    <w:lvl w:ilvl="0" w:tentative="0">
      <w:start w:val="3"/>
      <w:numFmt w:val="decimal"/>
      <w:lvlText w:val="%1."/>
      <w:lvlJc w:val="left"/>
      <w:pPr>
        <w:ind w:left="360" w:hanging="360"/>
      </w:pPr>
      <w:rPr>
        <w:rFonts w:hint="default" w:asciiTheme="minorEastAsia" w:hAnsiTheme="minorEastAsia" w:eastAsiaTheme="minorEastAsia"/>
        <w:b/>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AE367E9"/>
    <w:multiLevelType w:val="multilevel"/>
    <w:tmpl w:val="0AE367E9"/>
    <w:lvl w:ilvl="0" w:tentative="0">
      <w:start w:val="1"/>
      <w:numFmt w:val="none"/>
      <w:pStyle w:val="159"/>
      <w:lvlText w:val="%1示例"/>
      <w:lvlJc w:val="left"/>
      <w:pPr>
        <w:tabs>
          <w:tab w:val="left" w:pos="1120"/>
        </w:tabs>
        <w:ind w:left="0" w:firstLine="400"/>
      </w:pPr>
      <w:rPr>
        <w:rFonts w:hint="eastAsia" w:ascii="宋体"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12BD0D87"/>
    <w:multiLevelType w:val="multilevel"/>
    <w:tmpl w:val="12BD0D8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DD621C3"/>
    <w:multiLevelType w:val="multilevel"/>
    <w:tmpl w:val="2DD621C3"/>
    <w:lvl w:ilvl="0" w:tentative="0">
      <w:start w:val="1"/>
      <w:numFmt w:val="decimal"/>
      <w:lvlText w:val="%1."/>
      <w:lvlJc w:val="left"/>
      <w:pPr>
        <w:ind w:left="704" w:hanging="420"/>
      </w:p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5">
    <w:nsid w:val="2FC13B22"/>
    <w:multiLevelType w:val="multilevel"/>
    <w:tmpl w:val="2FC13B22"/>
    <w:lvl w:ilvl="0" w:tentative="0">
      <w:start w:val="1"/>
      <w:numFmt w:val="decimal"/>
      <w:lvlText w:val="%1."/>
      <w:lvlJc w:val="left"/>
      <w:pPr>
        <w:ind w:left="780" w:hanging="420"/>
      </w:p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abstractNum w:abstractNumId="6">
    <w:nsid w:val="31AE3016"/>
    <w:multiLevelType w:val="multilevel"/>
    <w:tmpl w:val="31AE3016"/>
    <w:lvl w:ilvl="0" w:tentative="0">
      <w:start w:val="1"/>
      <w:numFmt w:val="decimal"/>
      <w:lvlText w:val="%1."/>
      <w:lvlJc w:val="left"/>
      <w:pPr>
        <w:ind w:left="704" w:hanging="420"/>
      </w:p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7">
    <w:nsid w:val="3B0D12E6"/>
    <w:multiLevelType w:val="multilevel"/>
    <w:tmpl w:val="3B0D12E6"/>
    <w:lvl w:ilvl="0" w:tentative="0">
      <w:start w:val="1"/>
      <w:numFmt w:val="decimal"/>
      <w:lvlText w:val="%1."/>
      <w:lvlJc w:val="left"/>
      <w:pPr>
        <w:ind w:left="70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407E65F9"/>
    <w:multiLevelType w:val="multilevel"/>
    <w:tmpl w:val="407E65F9"/>
    <w:lvl w:ilvl="0" w:tentative="0">
      <w:start w:val="1"/>
      <w:numFmt w:val="none"/>
      <w:pStyle w:val="157"/>
      <w:lvlText w:val="%1·　"/>
      <w:lvlJc w:val="left"/>
      <w:pPr>
        <w:tabs>
          <w:tab w:val="left" w:pos="1140"/>
        </w:tabs>
        <w:ind w:left="737" w:hanging="317"/>
      </w:pPr>
      <w:rPr>
        <w:rFonts w:hint="eastAsia" w:ascii="宋体" w:hAnsi="Times New Roman" w:eastAsia="宋体"/>
        <w:b w:val="0"/>
        <w:i w:val="0"/>
        <w:sz w:val="21"/>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9">
    <w:nsid w:val="43880823"/>
    <w:multiLevelType w:val="multilevel"/>
    <w:tmpl w:val="43880823"/>
    <w:lvl w:ilvl="0" w:tentative="0">
      <w:start w:val="1"/>
      <w:numFmt w:val="decimal"/>
      <w:lvlText w:val="%1."/>
      <w:lvlJc w:val="left"/>
      <w:pPr>
        <w:ind w:left="704"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496E4D7B"/>
    <w:multiLevelType w:val="multilevel"/>
    <w:tmpl w:val="496E4D7B"/>
    <w:lvl w:ilvl="0" w:tentative="0">
      <w:start w:val="1"/>
      <w:numFmt w:val="none"/>
      <w:pStyle w:val="166"/>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4B0A158F"/>
    <w:multiLevelType w:val="multilevel"/>
    <w:tmpl w:val="4B0A158F"/>
    <w:lvl w:ilvl="0" w:tentative="0">
      <w:start w:val="1"/>
      <w:numFmt w:val="decimal"/>
      <w:lvlText w:val="%1."/>
      <w:lvlJc w:val="left"/>
      <w:pPr>
        <w:ind w:left="420" w:hanging="420"/>
      </w:pPr>
      <w:rPr>
        <w:rFonts w:hint="eastAsia" w:eastAsia="宋体" w:asciiTheme="minorEastAsia" w:hAnsiTheme="minorEastAsia"/>
        <w:b/>
        <w:bCs/>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57C2AF5"/>
    <w:multiLevelType w:val="multilevel"/>
    <w:tmpl w:val="557C2AF5"/>
    <w:lvl w:ilvl="0" w:tentative="0">
      <w:start w:val="1"/>
      <w:numFmt w:val="decimal"/>
      <w:pStyle w:val="164"/>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3">
    <w:nsid w:val="5927069D"/>
    <w:multiLevelType w:val="multilevel"/>
    <w:tmpl w:val="5927069D"/>
    <w:lvl w:ilvl="0" w:tentative="0">
      <w:start w:val="1"/>
      <w:numFmt w:val="decimal"/>
      <w:pStyle w:val="172"/>
      <w:lvlText w:val="（%1）"/>
      <w:lvlJc w:val="left"/>
      <w:pPr>
        <w:tabs>
          <w:tab w:val="left" w:pos="0"/>
        </w:tabs>
        <w:ind w:left="0" w:firstLine="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4">
    <w:nsid w:val="5D861640"/>
    <w:multiLevelType w:val="multilevel"/>
    <w:tmpl w:val="5D861640"/>
    <w:lvl w:ilvl="0" w:tentative="0">
      <w:start w:val="5"/>
      <w:numFmt w:val="decimal"/>
      <w:lvlText w:val="%1"/>
      <w:lvlJc w:val="left"/>
      <w:pPr>
        <w:ind w:left="360" w:hanging="360"/>
      </w:pPr>
      <w:rPr>
        <w:rFonts w:hint="default"/>
      </w:rPr>
    </w:lvl>
    <w:lvl w:ilvl="1" w:tentative="0">
      <w:start w:val="4"/>
      <w:numFmt w:val="decimal"/>
      <w:lvlText w:val="%1.%2"/>
      <w:lvlJc w:val="left"/>
      <w:pPr>
        <w:ind w:left="360" w:hanging="36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080" w:hanging="108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440" w:hanging="1440"/>
      </w:pPr>
      <w:rPr>
        <w:rFonts w:hint="default"/>
      </w:rPr>
    </w:lvl>
  </w:abstractNum>
  <w:abstractNum w:abstractNumId="15">
    <w:nsid w:val="62A8A77C"/>
    <w:multiLevelType w:val="singleLevel"/>
    <w:tmpl w:val="62A8A77C"/>
    <w:lvl w:ilvl="0" w:tentative="0">
      <w:start w:val="1"/>
      <w:numFmt w:val="chineseCounting"/>
      <w:lvlText w:val="（%1）"/>
      <w:lvlJc w:val="left"/>
    </w:lvl>
  </w:abstractNum>
  <w:abstractNum w:abstractNumId="16">
    <w:nsid w:val="646260FA"/>
    <w:multiLevelType w:val="multilevel"/>
    <w:tmpl w:val="646260FA"/>
    <w:lvl w:ilvl="0" w:tentative="0">
      <w:start w:val="1"/>
      <w:numFmt w:val="decimal"/>
      <w:pStyle w:val="163"/>
      <w:suff w:val="nothing"/>
      <w:lvlText w:val="表%1　"/>
      <w:lvlJc w:val="left"/>
      <w:pPr>
        <w:ind w:left="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7">
    <w:nsid w:val="657D3FBC"/>
    <w:multiLevelType w:val="multilevel"/>
    <w:tmpl w:val="657D3FBC"/>
    <w:lvl w:ilvl="0" w:tentative="0">
      <w:start w:val="1"/>
      <w:numFmt w:val="upperLetter"/>
      <w:suff w:val="nothing"/>
      <w:lvlText w:val="附　录　%1"/>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pStyle w:val="149"/>
      <w:suff w:val="nothing"/>
      <w:lvlText w:val="%1.%2.%3.%4　"/>
      <w:lvlJc w:val="left"/>
      <w:pPr>
        <w:ind w:left="0" w:firstLine="0"/>
      </w:pPr>
      <w:rPr>
        <w:rFonts w:hint="eastAsia" w:ascii="黑体" w:hAnsi="Times New Roman" w:eastAsia="黑体"/>
        <w:b w:val="0"/>
        <w:i w:val="0"/>
        <w:sz w:val="21"/>
      </w:rPr>
    </w:lvl>
    <w:lvl w:ilvl="4" w:tentative="0">
      <w:start w:val="1"/>
      <w:numFmt w:val="decimal"/>
      <w:pStyle w:val="150"/>
      <w:suff w:val="nothing"/>
      <w:lvlText w:val="%1.%2.%3.%4.%5　"/>
      <w:lvlJc w:val="left"/>
      <w:pPr>
        <w:ind w:left="0" w:firstLine="0"/>
      </w:pPr>
      <w:rPr>
        <w:rFonts w:hint="eastAsia" w:ascii="黑体" w:hAnsi="Times New Roman" w:eastAsia="黑体"/>
        <w:b w:val="0"/>
        <w:i w:val="0"/>
        <w:sz w:val="21"/>
      </w:rPr>
    </w:lvl>
    <w:lvl w:ilvl="5" w:tentative="0">
      <w:start w:val="1"/>
      <w:numFmt w:val="decimal"/>
      <w:pStyle w:val="151"/>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8">
    <w:nsid w:val="6DBF04F4"/>
    <w:multiLevelType w:val="multilevel"/>
    <w:tmpl w:val="6DBF04F4"/>
    <w:lvl w:ilvl="0" w:tentative="0">
      <w:start w:val="1"/>
      <w:numFmt w:val="none"/>
      <w:pStyle w:val="165"/>
      <w:lvlText w:val="%1注："/>
      <w:lvlJc w:val="left"/>
      <w:pPr>
        <w:tabs>
          <w:tab w:val="left" w:pos="1140"/>
        </w:tabs>
        <w:ind w:left="840" w:hanging="42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6F1431A9"/>
    <w:multiLevelType w:val="multilevel"/>
    <w:tmpl w:val="6F1431A9"/>
    <w:lvl w:ilvl="0" w:tentative="0">
      <w:start w:val="1"/>
      <w:numFmt w:val="decimal"/>
      <w:pStyle w:val="87"/>
      <w:lvlText w:val="%1."/>
      <w:lvlJc w:val="left"/>
      <w:pPr>
        <w:ind w:left="425" w:hanging="425"/>
      </w:pPr>
      <w:rPr>
        <w:rFonts w:hint="eastAsia"/>
        <w:b/>
        <w:sz w:val="21"/>
        <w:szCs w:val="21"/>
      </w:rPr>
    </w:lvl>
    <w:lvl w:ilvl="1" w:tentative="0">
      <w:start w:val="1"/>
      <w:numFmt w:val="decimal"/>
      <w:pStyle w:val="88"/>
      <w:lvlText w:val="%1.%2"/>
      <w:lvlJc w:val="left"/>
      <w:pPr>
        <w:ind w:left="992" w:hanging="567"/>
      </w:pPr>
      <w:rPr>
        <w:rFonts w:hint="eastAsia" w:cs="Times New Roman"/>
        <w:b w:val="0"/>
        <w:bCs/>
        <w:i w:val="0"/>
        <w:iCs w:val="0"/>
        <w:caps w:val="0"/>
        <w:smallCaps w:val="0"/>
        <w:strike w:val="0"/>
        <w:dstrike w:val="0"/>
        <w:vanish w:val="0"/>
        <w:color w:val="auto"/>
        <w:spacing w:val="0"/>
        <w:position w:val="0"/>
        <w:u w:val="none"/>
        <w:vertAlign w:val="baseline"/>
      </w:rPr>
    </w:lvl>
    <w:lvl w:ilvl="2" w:tentative="0">
      <w:start w:val="1"/>
      <w:numFmt w:val="decimal"/>
      <w:pStyle w:val="89"/>
      <w:lvlText w:val="%1.%2.%3"/>
      <w:lvlJc w:val="left"/>
      <w:pPr>
        <w:ind w:left="1418" w:hanging="567"/>
      </w:pPr>
      <w:rPr>
        <w:rFonts w:hint="eastAsia"/>
        <w:color w:val="auto"/>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0">
    <w:nsid w:val="744A7EAB"/>
    <w:multiLevelType w:val="multilevel"/>
    <w:tmpl w:val="744A7EAB"/>
    <w:lvl w:ilvl="0" w:tentative="0">
      <w:start w:val="1"/>
      <w:numFmt w:val="decimal"/>
      <w:lvlText w:val="（%1）"/>
      <w:lvlJc w:val="left"/>
      <w:pPr>
        <w:ind w:left="720" w:hanging="720"/>
      </w:pPr>
      <w:rPr>
        <w:rFonts w:hint="default"/>
      </w:rPr>
    </w:lvl>
    <w:lvl w:ilvl="1" w:tentative="0">
      <w:start w:val="1"/>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76933334"/>
    <w:multiLevelType w:val="multilevel"/>
    <w:tmpl w:val="76933334"/>
    <w:lvl w:ilvl="0" w:tentative="0">
      <w:start w:val="1"/>
      <w:numFmt w:val="none"/>
      <w:pStyle w:val="156"/>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2">
    <w:nsid w:val="76E5114C"/>
    <w:multiLevelType w:val="multilevel"/>
    <w:tmpl w:val="76E5114C"/>
    <w:lvl w:ilvl="0" w:tentative="0">
      <w:start w:val="1"/>
      <w:numFmt w:val="decimal"/>
      <w:pStyle w:val="143"/>
      <w:lvlText w:val="%1"/>
      <w:lvlJc w:val="left"/>
      <w:pPr>
        <w:ind w:left="1063" w:hanging="420"/>
      </w:pPr>
      <w:rPr>
        <w:rFonts w:ascii="黑体" w:hAnsi="Times New Roman" w:eastAsia="黑体" w:cs="Times New Roman"/>
        <w:b/>
      </w:rPr>
    </w:lvl>
    <w:lvl w:ilvl="1" w:tentative="0">
      <w:start w:val="1"/>
      <w:numFmt w:val="lowerLetter"/>
      <w:pStyle w:val="142"/>
      <w:lvlText w:val="%2)"/>
      <w:lvlJc w:val="left"/>
      <w:pPr>
        <w:ind w:left="1483" w:hanging="420"/>
      </w:pPr>
    </w:lvl>
    <w:lvl w:ilvl="2" w:tentative="0">
      <w:start w:val="1"/>
      <w:numFmt w:val="lowerRoman"/>
      <w:lvlText w:val="%3."/>
      <w:lvlJc w:val="right"/>
      <w:pPr>
        <w:ind w:left="1903" w:hanging="420"/>
      </w:pPr>
    </w:lvl>
    <w:lvl w:ilvl="3" w:tentative="0">
      <w:start w:val="1"/>
      <w:numFmt w:val="decimal"/>
      <w:lvlText w:val="%4."/>
      <w:lvlJc w:val="left"/>
      <w:pPr>
        <w:ind w:left="2323" w:hanging="420"/>
      </w:pPr>
    </w:lvl>
    <w:lvl w:ilvl="4" w:tentative="0">
      <w:start w:val="1"/>
      <w:numFmt w:val="lowerLetter"/>
      <w:lvlText w:val="%5)"/>
      <w:lvlJc w:val="left"/>
      <w:pPr>
        <w:ind w:left="2743" w:hanging="420"/>
      </w:pPr>
    </w:lvl>
    <w:lvl w:ilvl="5" w:tentative="0">
      <w:start w:val="1"/>
      <w:numFmt w:val="lowerRoman"/>
      <w:lvlText w:val="%6."/>
      <w:lvlJc w:val="right"/>
      <w:pPr>
        <w:ind w:left="3163" w:hanging="420"/>
      </w:pPr>
    </w:lvl>
    <w:lvl w:ilvl="6" w:tentative="0">
      <w:start w:val="1"/>
      <w:numFmt w:val="decimal"/>
      <w:lvlText w:val="%7."/>
      <w:lvlJc w:val="left"/>
      <w:pPr>
        <w:ind w:left="3583" w:hanging="420"/>
      </w:pPr>
    </w:lvl>
    <w:lvl w:ilvl="7" w:tentative="0">
      <w:start w:val="1"/>
      <w:numFmt w:val="lowerLetter"/>
      <w:lvlText w:val="%8)"/>
      <w:lvlJc w:val="left"/>
      <w:pPr>
        <w:ind w:left="4003" w:hanging="420"/>
      </w:pPr>
    </w:lvl>
    <w:lvl w:ilvl="8" w:tentative="0">
      <w:start w:val="1"/>
      <w:numFmt w:val="lowerRoman"/>
      <w:lvlText w:val="%9."/>
      <w:lvlJc w:val="right"/>
      <w:pPr>
        <w:ind w:left="4423" w:hanging="420"/>
      </w:pPr>
    </w:lvl>
  </w:abstractNum>
  <w:abstractNum w:abstractNumId="23">
    <w:nsid w:val="79563A83"/>
    <w:multiLevelType w:val="multilevel"/>
    <w:tmpl w:val="79563A83"/>
    <w:lvl w:ilvl="0" w:tentative="0">
      <w:start w:val="1"/>
      <w:numFmt w:val="decimal"/>
      <w:lvlText w:val="%1."/>
      <w:lvlJc w:val="left"/>
      <w:pPr>
        <w:ind w:left="704" w:hanging="420"/>
      </w:pPr>
      <w:rPr>
        <w:rFonts w:hint="eastAsia"/>
        <w:sz w:val="21"/>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num w:numId="1">
    <w:abstractNumId w:val="19"/>
  </w:num>
  <w:num w:numId="2">
    <w:abstractNumId w:val="22"/>
  </w:num>
  <w:num w:numId="3">
    <w:abstractNumId w:val="17"/>
  </w:num>
  <w:num w:numId="4">
    <w:abstractNumId w:val="21"/>
  </w:num>
  <w:num w:numId="5">
    <w:abstractNumId w:val="8"/>
  </w:num>
  <w:num w:numId="6">
    <w:abstractNumId w:val="0"/>
  </w:num>
  <w:num w:numId="7">
    <w:abstractNumId w:val="2"/>
  </w:num>
  <w:num w:numId="8">
    <w:abstractNumId w:val="16"/>
  </w:num>
  <w:num w:numId="9">
    <w:abstractNumId w:val="12"/>
  </w:num>
  <w:num w:numId="10">
    <w:abstractNumId w:val="18"/>
  </w:num>
  <w:num w:numId="11">
    <w:abstractNumId w:val="10"/>
  </w:num>
  <w:num w:numId="12">
    <w:abstractNumId w:val="13"/>
  </w:num>
  <w:num w:numId="13">
    <w:abstractNumId w:val="4"/>
  </w:num>
  <w:num w:numId="14">
    <w:abstractNumId w:val="11"/>
    <w:lvlOverride w:ilvl="0">
      <w:startOverride w:val="1"/>
    </w:lvlOverride>
  </w:num>
  <w:num w:numId="15">
    <w:abstractNumId w:val="11"/>
    <w:lvlOverride w:ilvl="0">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num>
  <w:num w:numId="19">
    <w:abstractNumId w:val="11"/>
    <w:lvlOverride w:ilvl="0">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num>
  <w:num w:numId="26">
    <w:abstractNumId w:val="11"/>
    <w:lvlOverride w:ilvl="0">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11"/>
    <w:lvlOverride w:ilvl="0">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9"/>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num>
  <w:num w:numId="37">
    <w:abstractNumId w:val="11"/>
    <w:lvlOverride w:ilvl="0">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1"/>
    <w:lvlOverride w:ilvl="0">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5"/>
  </w:num>
  <w:num w:numId="43">
    <w:abstractNumId w:val="20"/>
  </w:num>
  <w:num w:numId="44">
    <w:abstractNumId w:val="1"/>
  </w:num>
  <w:num w:numId="45">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hideSpellingErrors/>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1NWNlYzEyN2NlNzMwODg4ZDE4ZGNhNDQ2ZmU5ZWYifQ=="/>
  </w:docVars>
  <w:rsids>
    <w:rsidRoot w:val="00172A27"/>
    <w:rsid w:val="000004E1"/>
    <w:rsid w:val="00000639"/>
    <w:rsid w:val="00001145"/>
    <w:rsid w:val="00001148"/>
    <w:rsid w:val="0000161E"/>
    <w:rsid w:val="00001D41"/>
    <w:rsid w:val="00001EF7"/>
    <w:rsid w:val="000020C7"/>
    <w:rsid w:val="0000250F"/>
    <w:rsid w:val="00002DC0"/>
    <w:rsid w:val="0000459D"/>
    <w:rsid w:val="000045AB"/>
    <w:rsid w:val="000073B9"/>
    <w:rsid w:val="00011D44"/>
    <w:rsid w:val="000123DD"/>
    <w:rsid w:val="00012D84"/>
    <w:rsid w:val="000135A6"/>
    <w:rsid w:val="00013B7D"/>
    <w:rsid w:val="0001432B"/>
    <w:rsid w:val="00014933"/>
    <w:rsid w:val="00014B42"/>
    <w:rsid w:val="00015294"/>
    <w:rsid w:val="0001533F"/>
    <w:rsid w:val="00017B12"/>
    <w:rsid w:val="00017B1C"/>
    <w:rsid w:val="00021741"/>
    <w:rsid w:val="0002214B"/>
    <w:rsid w:val="00023E61"/>
    <w:rsid w:val="000249FA"/>
    <w:rsid w:val="00026A19"/>
    <w:rsid w:val="00026D63"/>
    <w:rsid w:val="000315D6"/>
    <w:rsid w:val="00032A54"/>
    <w:rsid w:val="00033B62"/>
    <w:rsid w:val="00034D9F"/>
    <w:rsid w:val="00034F41"/>
    <w:rsid w:val="00036145"/>
    <w:rsid w:val="00037FE0"/>
    <w:rsid w:val="0004127C"/>
    <w:rsid w:val="0004215D"/>
    <w:rsid w:val="000446A4"/>
    <w:rsid w:val="00045885"/>
    <w:rsid w:val="00045AC4"/>
    <w:rsid w:val="0004614D"/>
    <w:rsid w:val="000474AD"/>
    <w:rsid w:val="000478EF"/>
    <w:rsid w:val="00047B36"/>
    <w:rsid w:val="00051243"/>
    <w:rsid w:val="00051FE4"/>
    <w:rsid w:val="0005233D"/>
    <w:rsid w:val="0005252C"/>
    <w:rsid w:val="00052B1E"/>
    <w:rsid w:val="00052C32"/>
    <w:rsid w:val="00054DC7"/>
    <w:rsid w:val="000556EB"/>
    <w:rsid w:val="0005581C"/>
    <w:rsid w:val="00055E47"/>
    <w:rsid w:val="00055F71"/>
    <w:rsid w:val="00060B54"/>
    <w:rsid w:val="00060ECD"/>
    <w:rsid w:val="0006162A"/>
    <w:rsid w:val="000616A9"/>
    <w:rsid w:val="00061EA4"/>
    <w:rsid w:val="00063763"/>
    <w:rsid w:val="00064ACD"/>
    <w:rsid w:val="00064CD5"/>
    <w:rsid w:val="000658DF"/>
    <w:rsid w:val="00065B99"/>
    <w:rsid w:val="00066342"/>
    <w:rsid w:val="00066F8C"/>
    <w:rsid w:val="00070F56"/>
    <w:rsid w:val="00071107"/>
    <w:rsid w:val="0007114E"/>
    <w:rsid w:val="000716A3"/>
    <w:rsid w:val="000744C0"/>
    <w:rsid w:val="0007532C"/>
    <w:rsid w:val="00075D25"/>
    <w:rsid w:val="0008052B"/>
    <w:rsid w:val="0008168B"/>
    <w:rsid w:val="00082269"/>
    <w:rsid w:val="00084033"/>
    <w:rsid w:val="00086346"/>
    <w:rsid w:val="000863B9"/>
    <w:rsid w:val="00086722"/>
    <w:rsid w:val="00086F6E"/>
    <w:rsid w:val="00086FDD"/>
    <w:rsid w:val="0008759E"/>
    <w:rsid w:val="00087DD0"/>
    <w:rsid w:val="00090530"/>
    <w:rsid w:val="0009054B"/>
    <w:rsid w:val="00090EAF"/>
    <w:rsid w:val="00091B4E"/>
    <w:rsid w:val="00092603"/>
    <w:rsid w:val="00092889"/>
    <w:rsid w:val="00093DBF"/>
    <w:rsid w:val="00093EBD"/>
    <w:rsid w:val="00093F64"/>
    <w:rsid w:val="00095C1A"/>
    <w:rsid w:val="00095EF2"/>
    <w:rsid w:val="000972C4"/>
    <w:rsid w:val="00097F9E"/>
    <w:rsid w:val="000A272A"/>
    <w:rsid w:val="000A3997"/>
    <w:rsid w:val="000A4228"/>
    <w:rsid w:val="000A5E2A"/>
    <w:rsid w:val="000A6938"/>
    <w:rsid w:val="000A69B7"/>
    <w:rsid w:val="000A6AC9"/>
    <w:rsid w:val="000A6B2C"/>
    <w:rsid w:val="000A7233"/>
    <w:rsid w:val="000A79D8"/>
    <w:rsid w:val="000B1519"/>
    <w:rsid w:val="000B334C"/>
    <w:rsid w:val="000B3401"/>
    <w:rsid w:val="000B456E"/>
    <w:rsid w:val="000B5292"/>
    <w:rsid w:val="000B5AD7"/>
    <w:rsid w:val="000B5EB9"/>
    <w:rsid w:val="000B7120"/>
    <w:rsid w:val="000B760E"/>
    <w:rsid w:val="000B7CAC"/>
    <w:rsid w:val="000C0FAA"/>
    <w:rsid w:val="000C1515"/>
    <w:rsid w:val="000C37A6"/>
    <w:rsid w:val="000C3E96"/>
    <w:rsid w:val="000C4EF7"/>
    <w:rsid w:val="000C61ED"/>
    <w:rsid w:val="000C62B2"/>
    <w:rsid w:val="000C64F1"/>
    <w:rsid w:val="000C6722"/>
    <w:rsid w:val="000C6A98"/>
    <w:rsid w:val="000C6C51"/>
    <w:rsid w:val="000C6E50"/>
    <w:rsid w:val="000D058A"/>
    <w:rsid w:val="000D0C3B"/>
    <w:rsid w:val="000D175B"/>
    <w:rsid w:val="000D1B5A"/>
    <w:rsid w:val="000D249B"/>
    <w:rsid w:val="000D2868"/>
    <w:rsid w:val="000D325E"/>
    <w:rsid w:val="000D3D71"/>
    <w:rsid w:val="000D45F7"/>
    <w:rsid w:val="000D47A9"/>
    <w:rsid w:val="000D5D7E"/>
    <w:rsid w:val="000D5E35"/>
    <w:rsid w:val="000D7003"/>
    <w:rsid w:val="000D74A5"/>
    <w:rsid w:val="000D7E2F"/>
    <w:rsid w:val="000E149A"/>
    <w:rsid w:val="000E1C31"/>
    <w:rsid w:val="000E31CC"/>
    <w:rsid w:val="000E4444"/>
    <w:rsid w:val="000E4779"/>
    <w:rsid w:val="000E6B40"/>
    <w:rsid w:val="000E6C08"/>
    <w:rsid w:val="000E719F"/>
    <w:rsid w:val="000F0449"/>
    <w:rsid w:val="000F0C58"/>
    <w:rsid w:val="000F1CF0"/>
    <w:rsid w:val="000F31F2"/>
    <w:rsid w:val="000F34A0"/>
    <w:rsid w:val="000F3CCA"/>
    <w:rsid w:val="000F4029"/>
    <w:rsid w:val="000F4465"/>
    <w:rsid w:val="000F4F01"/>
    <w:rsid w:val="00101F56"/>
    <w:rsid w:val="001026F1"/>
    <w:rsid w:val="0010305B"/>
    <w:rsid w:val="00103955"/>
    <w:rsid w:val="001040E1"/>
    <w:rsid w:val="001058BF"/>
    <w:rsid w:val="00112825"/>
    <w:rsid w:val="001129F3"/>
    <w:rsid w:val="00113B51"/>
    <w:rsid w:val="00113EE4"/>
    <w:rsid w:val="0011478D"/>
    <w:rsid w:val="00114DD6"/>
    <w:rsid w:val="00115929"/>
    <w:rsid w:val="0011632D"/>
    <w:rsid w:val="00117674"/>
    <w:rsid w:val="00120BB1"/>
    <w:rsid w:val="00122118"/>
    <w:rsid w:val="001246B1"/>
    <w:rsid w:val="00124997"/>
    <w:rsid w:val="00125568"/>
    <w:rsid w:val="001278C2"/>
    <w:rsid w:val="00130061"/>
    <w:rsid w:val="00131071"/>
    <w:rsid w:val="001320F2"/>
    <w:rsid w:val="001327DE"/>
    <w:rsid w:val="00132BE4"/>
    <w:rsid w:val="001354C1"/>
    <w:rsid w:val="00136838"/>
    <w:rsid w:val="00137A2F"/>
    <w:rsid w:val="00141593"/>
    <w:rsid w:val="00142056"/>
    <w:rsid w:val="0014242A"/>
    <w:rsid w:val="00142BB6"/>
    <w:rsid w:val="00142EC2"/>
    <w:rsid w:val="0014327B"/>
    <w:rsid w:val="001434EA"/>
    <w:rsid w:val="001440C0"/>
    <w:rsid w:val="00144B84"/>
    <w:rsid w:val="00145987"/>
    <w:rsid w:val="001467DB"/>
    <w:rsid w:val="0015034B"/>
    <w:rsid w:val="001524A7"/>
    <w:rsid w:val="00152D11"/>
    <w:rsid w:val="00153D66"/>
    <w:rsid w:val="001548E8"/>
    <w:rsid w:val="00155827"/>
    <w:rsid w:val="00157251"/>
    <w:rsid w:val="001573A9"/>
    <w:rsid w:val="00157DD2"/>
    <w:rsid w:val="00161B71"/>
    <w:rsid w:val="00161F05"/>
    <w:rsid w:val="00162233"/>
    <w:rsid w:val="001627D4"/>
    <w:rsid w:val="0016289D"/>
    <w:rsid w:val="001636C0"/>
    <w:rsid w:val="001649D8"/>
    <w:rsid w:val="001655A8"/>
    <w:rsid w:val="00165E80"/>
    <w:rsid w:val="00166444"/>
    <w:rsid w:val="001668EB"/>
    <w:rsid w:val="00166D2C"/>
    <w:rsid w:val="00166EDD"/>
    <w:rsid w:val="00166F0E"/>
    <w:rsid w:val="00167059"/>
    <w:rsid w:val="00167A56"/>
    <w:rsid w:val="00172A27"/>
    <w:rsid w:val="001736B0"/>
    <w:rsid w:val="00173964"/>
    <w:rsid w:val="00174F4A"/>
    <w:rsid w:val="00176227"/>
    <w:rsid w:val="00176A13"/>
    <w:rsid w:val="00177699"/>
    <w:rsid w:val="00177D7B"/>
    <w:rsid w:val="001808B4"/>
    <w:rsid w:val="00180E23"/>
    <w:rsid w:val="001813F5"/>
    <w:rsid w:val="00181A84"/>
    <w:rsid w:val="001834B6"/>
    <w:rsid w:val="00184C3C"/>
    <w:rsid w:val="00185B7C"/>
    <w:rsid w:val="00190EC5"/>
    <w:rsid w:val="00191BFF"/>
    <w:rsid w:val="00192898"/>
    <w:rsid w:val="001941B5"/>
    <w:rsid w:val="001951B5"/>
    <w:rsid w:val="00196A24"/>
    <w:rsid w:val="00196CD8"/>
    <w:rsid w:val="00197284"/>
    <w:rsid w:val="00197DA3"/>
    <w:rsid w:val="001A0551"/>
    <w:rsid w:val="001A0CF8"/>
    <w:rsid w:val="001A20D1"/>
    <w:rsid w:val="001A22F7"/>
    <w:rsid w:val="001A25C4"/>
    <w:rsid w:val="001A3BD7"/>
    <w:rsid w:val="001A4DD1"/>
    <w:rsid w:val="001A5073"/>
    <w:rsid w:val="001A5BF9"/>
    <w:rsid w:val="001A656C"/>
    <w:rsid w:val="001A65F0"/>
    <w:rsid w:val="001A6B41"/>
    <w:rsid w:val="001A6DE6"/>
    <w:rsid w:val="001A6EB5"/>
    <w:rsid w:val="001A79E5"/>
    <w:rsid w:val="001B0D1F"/>
    <w:rsid w:val="001B1267"/>
    <w:rsid w:val="001B13B0"/>
    <w:rsid w:val="001B1A98"/>
    <w:rsid w:val="001B2DCF"/>
    <w:rsid w:val="001B348B"/>
    <w:rsid w:val="001B3690"/>
    <w:rsid w:val="001B371F"/>
    <w:rsid w:val="001B3827"/>
    <w:rsid w:val="001B39D5"/>
    <w:rsid w:val="001B3EDF"/>
    <w:rsid w:val="001B607D"/>
    <w:rsid w:val="001B6724"/>
    <w:rsid w:val="001B7C12"/>
    <w:rsid w:val="001C0A42"/>
    <w:rsid w:val="001C1A27"/>
    <w:rsid w:val="001C378C"/>
    <w:rsid w:val="001C4275"/>
    <w:rsid w:val="001C57B5"/>
    <w:rsid w:val="001C6FAD"/>
    <w:rsid w:val="001C7123"/>
    <w:rsid w:val="001D0306"/>
    <w:rsid w:val="001D30DF"/>
    <w:rsid w:val="001D3971"/>
    <w:rsid w:val="001D481C"/>
    <w:rsid w:val="001D4C63"/>
    <w:rsid w:val="001D541D"/>
    <w:rsid w:val="001D5F98"/>
    <w:rsid w:val="001D719C"/>
    <w:rsid w:val="001D7241"/>
    <w:rsid w:val="001E0D69"/>
    <w:rsid w:val="001E1369"/>
    <w:rsid w:val="001E1CE1"/>
    <w:rsid w:val="001E5149"/>
    <w:rsid w:val="001E69B6"/>
    <w:rsid w:val="001F0B41"/>
    <w:rsid w:val="001F1BFE"/>
    <w:rsid w:val="001F2A32"/>
    <w:rsid w:val="001F3480"/>
    <w:rsid w:val="001F430B"/>
    <w:rsid w:val="001F4E75"/>
    <w:rsid w:val="001F57F4"/>
    <w:rsid w:val="001F5E5C"/>
    <w:rsid w:val="001F63E0"/>
    <w:rsid w:val="001F7023"/>
    <w:rsid w:val="001F7243"/>
    <w:rsid w:val="001F7B94"/>
    <w:rsid w:val="001F7C6C"/>
    <w:rsid w:val="001F7EBE"/>
    <w:rsid w:val="0020003C"/>
    <w:rsid w:val="002005D4"/>
    <w:rsid w:val="00200804"/>
    <w:rsid w:val="002019BE"/>
    <w:rsid w:val="00204471"/>
    <w:rsid w:val="0020515B"/>
    <w:rsid w:val="00205F17"/>
    <w:rsid w:val="002106B8"/>
    <w:rsid w:val="00210BB4"/>
    <w:rsid w:val="00210FF7"/>
    <w:rsid w:val="002118B4"/>
    <w:rsid w:val="002128DA"/>
    <w:rsid w:val="002129B1"/>
    <w:rsid w:val="0021360E"/>
    <w:rsid w:val="00213CAD"/>
    <w:rsid w:val="002161FC"/>
    <w:rsid w:val="00216550"/>
    <w:rsid w:val="002204B6"/>
    <w:rsid w:val="00221BF1"/>
    <w:rsid w:val="00222365"/>
    <w:rsid w:val="00222BAA"/>
    <w:rsid w:val="0022312F"/>
    <w:rsid w:val="0022373D"/>
    <w:rsid w:val="00224A07"/>
    <w:rsid w:val="00224AF6"/>
    <w:rsid w:val="00224D2E"/>
    <w:rsid w:val="00225FFC"/>
    <w:rsid w:val="00226589"/>
    <w:rsid w:val="00226EA2"/>
    <w:rsid w:val="00227EA4"/>
    <w:rsid w:val="002316BE"/>
    <w:rsid w:val="00232B16"/>
    <w:rsid w:val="00233D8F"/>
    <w:rsid w:val="00236CE1"/>
    <w:rsid w:val="00237655"/>
    <w:rsid w:val="00237CA0"/>
    <w:rsid w:val="002406A4"/>
    <w:rsid w:val="002408D7"/>
    <w:rsid w:val="00241210"/>
    <w:rsid w:val="00241817"/>
    <w:rsid w:val="0024248F"/>
    <w:rsid w:val="002437DD"/>
    <w:rsid w:val="00244170"/>
    <w:rsid w:val="00246CE2"/>
    <w:rsid w:val="0024716E"/>
    <w:rsid w:val="00247D6F"/>
    <w:rsid w:val="00251355"/>
    <w:rsid w:val="00252A9A"/>
    <w:rsid w:val="0025364E"/>
    <w:rsid w:val="002544B2"/>
    <w:rsid w:val="002568E2"/>
    <w:rsid w:val="002569AE"/>
    <w:rsid w:val="00257612"/>
    <w:rsid w:val="0026004B"/>
    <w:rsid w:val="00260D2A"/>
    <w:rsid w:val="0026237B"/>
    <w:rsid w:val="002632BF"/>
    <w:rsid w:val="002636AD"/>
    <w:rsid w:val="00263803"/>
    <w:rsid w:val="0026433E"/>
    <w:rsid w:val="00264D56"/>
    <w:rsid w:val="0026505C"/>
    <w:rsid w:val="002650B1"/>
    <w:rsid w:val="002652AC"/>
    <w:rsid w:val="002701FB"/>
    <w:rsid w:val="00271227"/>
    <w:rsid w:val="0027426A"/>
    <w:rsid w:val="0027485B"/>
    <w:rsid w:val="0027599F"/>
    <w:rsid w:val="00275D51"/>
    <w:rsid w:val="002769C5"/>
    <w:rsid w:val="00277EBB"/>
    <w:rsid w:val="00277F42"/>
    <w:rsid w:val="002805C2"/>
    <w:rsid w:val="00280936"/>
    <w:rsid w:val="00280B84"/>
    <w:rsid w:val="00282DBD"/>
    <w:rsid w:val="00282EC0"/>
    <w:rsid w:val="00284535"/>
    <w:rsid w:val="00284E66"/>
    <w:rsid w:val="00285166"/>
    <w:rsid w:val="00290035"/>
    <w:rsid w:val="00290BCC"/>
    <w:rsid w:val="0029107B"/>
    <w:rsid w:val="00291DD8"/>
    <w:rsid w:val="00292007"/>
    <w:rsid w:val="002932E5"/>
    <w:rsid w:val="00293552"/>
    <w:rsid w:val="00293D6D"/>
    <w:rsid w:val="002945F4"/>
    <w:rsid w:val="00297C3D"/>
    <w:rsid w:val="002A04CE"/>
    <w:rsid w:val="002A0676"/>
    <w:rsid w:val="002A0FC1"/>
    <w:rsid w:val="002A1D73"/>
    <w:rsid w:val="002A4FA4"/>
    <w:rsid w:val="002A4FC2"/>
    <w:rsid w:val="002A57E1"/>
    <w:rsid w:val="002A6B27"/>
    <w:rsid w:val="002A7618"/>
    <w:rsid w:val="002B019E"/>
    <w:rsid w:val="002B040F"/>
    <w:rsid w:val="002B199B"/>
    <w:rsid w:val="002B2339"/>
    <w:rsid w:val="002B3DDE"/>
    <w:rsid w:val="002B3DEF"/>
    <w:rsid w:val="002B58DC"/>
    <w:rsid w:val="002B780A"/>
    <w:rsid w:val="002B7874"/>
    <w:rsid w:val="002C0CC6"/>
    <w:rsid w:val="002C1C1F"/>
    <w:rsid w:val="002C3106"/>
    <w:rsid w:val="002C43BE"/>
    <w:rsid w:val="002C5934"/>
    <w:rsid w:val="002C7A50"/>
    <w:rsid w:val="002C7CBE"/>
    <w:rsid w:val="002C7D94"/>
    <w:rsid w:val="002D182A"/>
    <w:rsid w:val="002D2438"/>
    <w:rsid w:val="002D2AE5"/>
    <w:rsid w:val="002D3F85"/>
    <w:rsid w:val="002D48D5"/>
    <w:rsid w:val="002D5093"/>
    <w:rsid w:val="002D5358"/>
    <w:rsid w:val="002D54F1"/>
    <w:rsid w:val="002D783F"/>
    <w:rsid w:val="002E005C"/>
    <w:rsid w:val="002E0D3A"/>
    <w:rsid w:val="002E213A"/>
    <w:rsid w:val="002E2405"/>
    <w:rsid w:val="002E2418"/>
    <w:rsid w:val="002E269D"/>
    <w:rsid w:val="002E2E56"/>
    <w:rsid w:val="002E2FBC"/>
    <w:rsid w:val="002E39FE"/>
    <w:rsid w:val="002E4E39"/>
    <w:rsid w:val="002E5F4C"/>
    <w:rsid w:val="002E621D"/>
    <w:rsid w:val="002E67EF"/>
    <w:rsid w:val="002E6CED"/>
    <w:rsid w:val="002E6ED2"/>
    <w:rsid w:val="002E74E8"/>
    <w:rsid w:val="002E7CB9"/>
    <w:rsid w:val="002F0B87"/>
    <w:rsid w:val="002F0C0A"/>
    <w:rsid w:val="002F2A08"/>
    <w:rsid w:val="002F2DA6"/>
    <w:rsid w:val="002F378D"/>
    <w:rsid w:val="002F4815"/>
    <w:rsid w:val="002F5934"/>
    <w:rsid w:val="002F5B04"/>
    <w:rsid w:val="002F7D87"/>
    <w:rsid w:val="00300770"/>
    <w:rsid w:val="00301A19"/>
    <w:rsid w:val="00301B91"/>
    <w:rsid w:val="00302017"/>
    <w:rsid w:val="00302258"/>
    <w:rsid w:val="003029F0"/>
    <w:rsid w:val="003039B4"/>
    <w:rsid w:val="0030413B"/>
    <w:rsid w:val="003044D2"/>
    <w:rsid w:val="00307C2B"/>
    <w:rsid w:val="003115D7"/>
    <w:rsid w:val="003116DB"/>
    <w:rsid w:val="003134D2"/>
    <w:rsid w:val="00313753"/>
    <w:rsid w:val="00313902"/>
    <w:rsid w:val="00316D04"/>
    <w:rsid w:val="003176FE"/>
    <w:rsid w:val="00320857"/>
    <w:rsid w:val="003215B8"/>
    <w:rsid w:val="00322C9E"/>
    <w:rsid w:val="003230EC"/>
    <w:rsid w:val="003256C0"/>
    <w:rsid w:val="00327010"/>
    <w:rsid w:val="003277B1"/>
    <w:rsid w:val="00327B70"/>
    <w:rsid w:val="0033052C"/>
    <w:rsid w:val="003309EF"/>
    <w:rsid w:val="003314CE"/>
    <w:rsid w:val="0033261C"/>
    <w:rsid w:val="00333281"/>
    <w:rsid w:val="003335A5"/>
    <w:rsid w:val="003338E1"/>
    <w:rsid w:val="003339CD"/>
    <w:rsid w:val="003340AE"/>
    <w:rsid w:val="0033447E"/>
    <w:rsid w:val="00334AA9"/>
    <w:rsid w:val="003352C5"/>
    <w:rsid w:val="003369EE"/>
    <w:rsid w:val="00336E58"/>
    <w:rsid w:val="003403CC"/>
    <w:rsid w:val="0034212A"/>
    <w:rsid w:val="00343950"/>
    <w:rsid w:val="0034428F"/>
    <w:rsid w:val="00344856"/>
    <w:rsid w:val="0034498C"/>
    <w:rsid w:val="003450E2"/>
    <w:rsid w:val="0034560E"/>
    <w:rsid w:val="00345727"/>
    <w:rsid w:val="00345945"/>
    <w:rsid w:val="003462B4"/>
    <w:rsid w:val="00346304"/>
    <w:rsid w:val="003471E7"/>
    <w:rsid w:val="003473A8"/>
    <w:rsid w:val="00350639"/>
    <w:rsid w:val="003513B5"/>
    <w:rsid w:val="003514D5"/>
    <w:rsid w:val="00353C9C"/>
    <w:rsid w:val="003547E8"/>
    <w:rsid w:val="00356325"/>
    <w:rsid w:val="003564D3"/>
    <w:rsid w:val="003577F0"/>
    <w:rsid w:val="00357E6A"/>
    <w:rsid w:val="0036004C"/>
    <w:rsid w:val="00360E6D"/>
    <w:rsid w:val="00361AB1"/>
    <w:rsid w:val="00362BEC"/>
    <w:rsid w:val="00363242"/>
    <w:rsid w:val="00363335"/>
    <w:rsid w:val="003633A0"/>
    <w:rsid w:val="00365411"/>
    <w:rsid w:val="00367D31"/>
    <w:rsid w:val="00367FAA"/>
    <w:rsid w:val="00370D7B"/>
    <w:rsid w:val="00371149"/>
    <w:rsid w:val="00372722"/>
    <w:rsid w:val="00373734"/>
    <w:rsid w:val="00373909"/>
    <w:rsid w:val="003746B1"/>
    <w:rsid w:val="00374A37"/>
    <w:rsid w:val="00374B9E"/>
    <w:rsid w:val="00375289"/>
    <w:rsid w:val="00376C57"/>
    <w:rsid w:val="0037714F"/>
    <w:rsid w:val="003771F4"/>
    <w:rsid w:val="00381353"/>
    <w:rsid w:val="003818D8"/>
    <w:rsid w:val="0038324F"/>
    <w:rsid w:val="00385222"/>
    <w:rsid w:val="00386256"/>
    <w:rsid w:val="00386BF3"/>
    <w:rsid w:val="003875D7"/>
    <w:rsid w:val="00391A3B"/>
    <w:rsid w:val="00393ABC"/>
    <w:rsid w:val="00394B8E"/>
    <w:rsid w:val="003956E3"/>
    <w:rsid w:val="00395B76"/>
    <w:rsid w:val="00395B7A"/>
    <w:rsid w:val="00396BEE"/>
    <w:rsid w:val="00396E03"/>
    <w:rsid w:val="003976D8"/>
    <w:rsid w:val="003A0784"/>
    <w:rsid w:val="003A12F3"/>
    <w:rsid w:val="003A2DAD"/>
    <w:rsid w:val="003A3DF6"/>
    <w:rsid w:val="003A3E34"/>
    <w:rsid w:val="003A4603"/>
    <w:rsid w:val="003A51B8"/>
    <w:rsid w:val="003A5BAA"/>
    <w:rsid w:val="003A5CA3"/>
    <w:rsid w:val="003A698A"/>
    <w:rsid w:val="003A7F6F"/>
    <w:rsid w:val="003B01B9"/>
    <w:rsid w:val="003B0A9E"/>
    <w:rsid w:val="003B0B04"/>
    <w:rsid w:val="003B1B8A"/>
    <w:rsid w:val="003B26A0"/>
    <w:rsid w:val="003B2D4E"/>
    <w:rsid w:val="003B2FC9"/>
    <w:rsid w:val="003B3E58"/>
    <w:rsid w:val="003B4A58"/>
    <w:rsid w:val="003B4B5D"/>
    <w:rsid w:val="003B4CDD"/>
    <w:rsid w:val="003B6A43"/>
    <w:rsid w:val="003B6F77"/>
    <w:rsid w:val="003B7063"/>
    <w:rsid w:val="003B749B"/>
    <w:rsid w:val="003C0D90"/>
    <w:rsid w:val="003C0E6C"/>
    <w:rsid w:val="003C18EE"/>
    <w:rsid w:val="003C29D1"/>
    <w:rsid w:val="003C2E21"/>
    <w:rsid w:val="003C3D83"/>
    <w:rsid w:val="003C4B22"/>
    <w:rsid w:val="003C621F"/>
    <w:rsid w:val="003C6484"/>
    <w:rsid w:val="003C6538"/>
    <w:rsid w:val="003C6972"/>
    <w:rsid w:val="003C6BA4"/>
    <w:rsid w:val="003C6F48"/>
    <w:rsid w:val="003D174E"/>
    <w:rsid w:val="003D22B0"/>
    <w:rsid w:val="003D320B"/>
    <w:rsid w:val="003D39AA"/>
    <w:rsid w:val="003D4C7F"/>
    <w:rsid w:val="003D6475"/>
    <w:rsid w:val="003D64DA"/>
    <w:rsid w:val="003D6764"/>
    <w:rsid w:val="003D6B1D"/>
    <w:rsid w:val="003D72D9"/>
    <w:rsid w:val="003D7533"/>
    <w:rsid w:val="003D7D1A"/>
    <w:rsid w:val="003E15C0"/>
    <w:rsid w:val="003E26E3"/>
    <w:rsid w:val="003E3C2D"/>
    <w:rsid w:val="003E49E4"/>
    <w:rsid w:val="003E4B2B"/>
    <w:rsid w:val="003E654F"/>
    <w:rsid w:val="003E72D0"/>
    <w:rsid w:val="003E7BBC"/>
    <w:rsid w:val="003F11D0"/>
    <w:rsid w:val="003F1729"/>
    <w:rsid w:val="003F5280"/>
    <w:rsid w:val="003F57EA"/>
    <w:rsid w:val="003F6839"/>
    <w:rsid w:val="003F6ABD"/>
    <w:rsid w:val="003F6B8B"/>
    <w:rsid w:val="003F6EB8"/>
    <w:rsid w:val="00400370"/>
    <w:rsid w:val="00400B2E"/>
    <w:rsid w:val="00400D61"/>
    <w:rsid w:val="00400F66"/>
    <w:rsid w:val="004011A7"/>
    <w:rsid w:val="004021AE"/>
    <w:rsid w:val="00402727"/>
    <w:rsid w:val="004030AC"/>
    <w:rsid w:val="0040432E"/>
    <w:rsid w:val="00405052"/>
    <w:rsid w:val="00405112"/>
    <w:rsid w:val="0040783F"/>
    <w:rsid w:val="00407ED2"/>
    <w:rsid w:val="0041042A"/>
    <w:rsid w:val="0041088E"/>
    <w:rsid w:val="00410A90"/>
    <w:rsid w:val="00410B5E"/>
    <w:rsid w:val="00410FA6"/>
    <w:rsid w:val="00412307"/>
    <w:rsid w:val="00412A48"/>
    <w:rsid w:val="00412F42"/>
    <w:rsid w:val="0041358F"/>
    <w:rsid w:val="00415F70"/>
    <w:rsid w:val="004167E3"/>
    <w:rsid w:val="004202FD"/>
    <w:rsid w:val="004209F6"/>
    <w:rsid w:val="00420A80"/>
    <w:rsid w:val="0042320A"/>
    <w:rsid w:val="004234D4"/>
    <w:rsid w:val="0042368A"/>
    <w:rsid w:val="004236C1"/>
    <w:rsid w:val="0042794B"/>
    <w:rsid w:val="004304C4"/>
    <w:rsid w:val="0043295B"/>
    <w:rsid w:val="00435675"/>
    <w:rsid w:val="00435DA1"/>
    <w:rsid w:val="00436D81"/>
    <w:rsid w:val="004374E4"/>
    <w:rsid w:val="0044236E"/>
    <w:rsid w:val="004434BF"/>
    <w:rsid w:val="004439F9"/>
    <w:rsid w:val="00445354"/>
    <w:rsid w:val="00445CBF"/>
    <w:rsid w:val="004474B4"/>
    <w:rsid w:val="00447821"/>
    <w:rsid w:val="004505FD"/>
    <w:rsid w:val="00450E51"/>
    <w:rsid w:val="004510A5"/>
    <w:rsid w:val="00451261"/>
    <w:rsid w:val="004518F5"/>
    <w:rsid w:val="00451B76"/>
    <w:rsid w:val="00454849"/>
    <w:rsid w:val="004552C9"/>
    <w:rsid w:val="00455406"/>
    <w:rsid w:val="0045654F"/>
    <w:rsid w:val="00457018"/>
    <w:rsid w:val="004575CD"/>
    <w:rsid w:val="0046061F"/>
    <w:rsid w:val="00460C43"/>
    <w:rsid w:val="0046155E"/>
    <w:rsid w:val="00461E93"/>
    <w:rsid w:val="00463C2A"/>
    <w:rsid w:val="004640FF"/>
    <w:rsid w:val="004649BC"/>
    <w:rsid w:val="00465EF8"/>
    <w:rsid w:val="00466A55"/>
    <w:rsid w:val="0046746A"/>
    <w:rsid w:val="00467E67"/>
    <w:rsid w:val="0047077E"/>
    <w:rsid w:val="00470951"/>
    <w:rsid w:val="00470F5A"/>
    <w:rsid w:val="00472926"/>
    <w:rsid w:val="00475D7C"/>
    <w:rsid w:val="00476040"/>
    <w:rsid w:val="004761B6"/>
    <w:rsid w:val="00476B29"/>
    <w:rsid w:val="00476C36"/>
    <w:rsid w:val="004771A1"/>
    <w:rsid w:val="00477387"/>
    <w:rsid w:val="0048011A"/>
    <w:rsid w:val="00480EEC"/>
    <w:rsid w:val="00482322"/>
    <w:rsid w:val="00485C02"/>
    <w:rsid w:val="00485C29"/>
    <w:rsid w:val="00487639"/>
    <w:rsid w:val="00487939"/>
    <w:rsid w:val="00491098"/>
    <w:rsid w:val="004919E8"/>
    <w:rsid w:val="004929B8"/>
    <w:rsid w:val="00492D55"/>
    <w:rsid w:val="00492F44"/>
    <w:rsid w:val="00492FA4"/>
    <w:rsid w:val="004930AE"/>
    <w:rsid w:val="00493BA3"/>
    <w:rsid w:val="004940DE"/>
    <w:rsid w:val="004957AC"/>
    <w:rsid w:val="004A09D0"/>
    <w:rsid w:val="004A0D4F"/>
    <w:rsid w:val="004A12F9"/>
    <w:rsid w:val="004A1D19"/>
    <w:rsid w:val="004A2768"/>
    <w:rsid w:val="004A33D4"/>
    <w:rsid w:val="004A36DB"/>
    <w:rsid w:val="004A4921"/>
    <w:rsid w:val="004A4A3E"/>
    <w:rsid w:val="004A7FE9"/>
    <w:rsid w:val="004B0783"/>
    <w:rsid w:val="004B0800"/>
    <w:rsid w:val="004B08A5"/>
    <w:rsid w:val="004B0CA8"/>
    <w:rsid w:val="004B1DCC"/>
    <w:rsid w:val="004B2C0B"/>
    <w:rsid w:val="004B3CAB"/>
    <w:rsid w:val="004B3D85"/>
    <w:rsid w:val="004B40B3"/>
    <w:rsid w:val="004B43FB"/>
    <w:rsid w:val="004B493D"/>
    <w:rsid w:val="004B5028"/>
    <w:rsid w:val="004B694C"/>
    <w:rsid w:val="004B69D2"/>
    <w:rsid w:val="004B6DF3"/>
    <w:rsid w:val="004B7575"/>
    <w:rsid w:val="004C26FC"/>
    <w:rsid w:val="004C52DC"/>
    <w:rsid w:val="004C5C7F"/>
    <w:rsid w:val="004C6A20"/>
    <w:rsid w:val="004C6D9A"/>
    <w:rsid w:val="004C7031"/>
    <w:rsid w:val="004D18D9"/>
    <w:rsid w:val="004D35C2"/>
    <w:rsid w:val="004D51B8"/>
    <w:rsid w:val="004D652A"/>
    <w:rsid w:val="004E0943"/>
    <w:rsid w:val="004E0DB3"/>
    <w:rsid w:val="004E2864"/>
    <w:rsid w:val="004E5309"/>
    <w:rsid w:val="004E556E"/>
    <w:rsid w:val="004F0C4A"/>
    <w:rsid w:val="004F0F06"/>
    <w:rsid w:val="004F0FC6"/>
    <w:rsid w:val="004F1005"/>
    <w:rsid w:val="004F1045"/>
    <w:rsid w:val="004F261E"/>
    <w:rsid w:val="004F3417"/>
    <w:rsid w:val="004F4B0C"/>
    <w:rsid w:val="004F4CBD"/>
    <w:rsid w:val="004F5208"/>
    <w:rsid w:val="004F54FD"/>
    <w:rsid w:val="004F5C2C"/>
    <w:rsid w:val="004F6C4F"/>
    <w:rsid w:val="004F7ED4"/>
    <w:rsid w:val="00501022"/>
    <w:rsid w:val="00502169"/>
    <w:rsid w:val="00502CC8"/>
    <w:rsid w:val="00502D6A"/>
    <w:rsid w:val="00503367"/>
    <w:rsid w:val="0050583C"/>
    <w:rsid w:val="00507130"/>
    <w:rsid w:val="00510E72"/>
    <w:rsid w:val="0051172E"/>
    <w:rsid w:val="00512C00"/>
    <w:rsid w:val="0051379D"/>
    <w:rsid w:val="00513938"/>
    <w:rsid w:val="005152F0"/>
    <w:rsid w:val="005164F6"/>
    <w:rsid w:val="00520D90"/>
    <w:rsid w:val="00521120"/>
    <w:rsid w:val="00521600"/>
    <w:rsid w:val="00523014"/>
    <w:rsid w:val="005237C5"/>
    <w:rsid w:val="005252BB"/>
    <w:rsid w:val="00525926"/>
    <w:rsid w:val="0052676F"/>
    <w:rsid w:val="00530BDD"/>
    <w:rsid w:val="005311C9"/>
    <w:rsid w:val="00532B2F"/>
    <w:rsid w:val="0053411C"/>
    <w:rsid w:val="00534311"/>
    <w:rsid w:val="00534906"/>
    <w:rsid w:val="00535B12"/>
    <w:rsid w:val="00535B2E"/>
    <w:rsid w:val="00535C8A"/>
    <w:rsid w:val="00537F52"/>
    <w:rsid w:val="0054086C"/>
    <w:rsid w:val="00540B4C"/>
    <w:rsid w:val="00540BEE"/>
    <w:rsid w:val="00540CBF"/>
    <w:rsid w:val="00540F1A"/>
    <w:rsid w:val="0054117D"/>
    <w:rsid w:val="00543ADC"/>
    <w:rsid w:val="00545295"/>
    <w:rsid w:val="005454A2"/>
    <w:rsid w:val="005459DA"/>
    <w:rsid w:val="00545B2C"/>
    <w:rsid w:val="00546116"/>
    <w:rsid w:val="005464C5"/>
    <w:rsid w:val="00546628"/>
    <w:rsid w:val="005477DE"/>
    <w:rsid w:val="005508ED"/>
    <w:rsid w:val="00554994"/>
    <w:rsid w:val="00554A57"/>
    <w:rsid w:val="005550C5"/>
    <w:rsid w:val="00556287"/>
    <w:rsid w:val="005562FF"/>
    <w:rsid w:val="00557445"/>
    <w:rsid w:val="00560068"/>
    <w:rsid w:val="00560808"/>
    <w:rsid w:val="00560C8F"/>
    <w:rsid w:val="00561458"/>
    <w:rsid w:val="00561C56"/>
    <w:rsid w:val="00561DDC"/>
    <w:rsid w:val="00561EE6"/>
    <w:rsid w:val="00562873"/>
    <w:rsid w:val="00563401"/>
    <w:rsid w:val="005634C1"/>
    <w:rsid w:val="00564058"/>
    <w:rsid w:val="005655B8"/>
    <w:rsid w:val="0056718D"/>
    <w:rsid w:val="00567708"/>
    <w:rsid w:val="00567931"/>
    <w:rsid w:val="00567FFB"/>
    <w:rsid w:val="00570FEC"/>
    <w:rsid w:val="0057199D"/>
    <w:rsid w:val="00571EC9"/>
    <w:rsid w:val="00572DBA"/>
    <w:rsid w:val="00573047"/>
    <w:rsid w:val="005732C5"/>
    <w:rsid w:val="005734AE"/>
    <w:rsid w:val="005743B7"/>
    <w:rsid w:val="005744D6"/>
    <w:rsid w:val="00574A4A"/>
    <w:rsid w:val="005770E1"/>
    <w:rsid w:val="00577144"/>
    <w:rsid w:val="00580BAC"/>
    <w:rsid w:val="00580D85"/>
    <w:rsid w:val="00580F37"/>
    <w:rsid w:val="00582D54"/>
    <w:rsid w:val="005836CF"/>
    <w:rsid w:val="005838AD"/>
    <w:rsid w:val="0058410B"/>
    <w:rsid w:val="00584777"/>
    <w:rsid w:val="00584DCF"/>
    <w:rsid w:val="00585380"/>
    <w:rsid w:val="0058566F"/>
    <w:rsid w:val="005863C7"/>
    <w:rsid w:val="00590633"/>
    <w:rsid w:val="005910FC"/>
    <w:rsid w:val="005924FC"/>
    <w:rsid w:val="005925AD"/>
    <w:rsid w:val="00592931"/>
    <w:rsid w:val="00592DA6"/>
    <w:rsid w:val="0059332A"/>
    <w:rsid w:val="0059385A"/>
    <w:rsid w:val="00594E73"/>
    <w:rsid w:val="0059542F"/>
    <w:rsid w:val="00595B41"/>
    <w:rsid w:val="0059726A"/>
    <w:rsid w:val="005A02C9"/>
    <w:rsid w:val="005A11A0"/>
    <w:rsid w:val="005A1498"/>
    <w:rsid w:val="005A1E2A"/>
    <w:rsid w:val="005A22FF"/>
    <w:rsid w:val="005A35CA"/>
    <w:rsid w:val="005A63DF"/>
    <w:rsid w:val="005A6959"/>
    <w:rsid w:val="005B0724"/>
    <w:rsid w:val="005B0EFC"/>
    <w:rsid w:val="005B1253"/>
    <w:rsid w:val="005B21A2"/>
    <w:rsid w:val="005B2574"/>
    <w:rsid w:val="005B2C37"/>
    <w:rsid w:val="005B329A"/>
    <w:rsid w:val="005B3D37"/>
    <w:rsid w:val="005B4420"/>
    <w:rsid w:val="005B4592"/>
    <w:rsid w:val="005B610C"/>
    <w:rsid w:val="005B62ED"/>
    <w:rsid w:val="005B6BC5"/>
    <w:rsid w:val="005B7213"/>
    <w:rsid w:val="005B735C"/>
    <w:rsid w:val="005C0DE7"/>
    <w:rsid w:val="005C149A"/>
    <w:rsid w:val="005C1C31"/>
    <w:rsid w:val="005C4586"/>
    <w:rsid w:val="005C47E9"/>
    <w:rsid w:val="005C5B48"/>
    <w:rsid w:val="005C5DAD"/>
    <w:rsid w:val="005C66C5"/>
    <w:rsid w:val="005C71D8"/>
    <w:rsid w:val="005C77B7"/>
    <w:rsid w:val="005D135A"/>
    <w:rsid w:val="005D19A2"/>
    <w:rsid w:val="005D22B0"/>
    <w:rsid w:val="005D2C9B"/>
    <w:rsid w:val="005D419A"/>
    <w:rsid w:val="005D4463"/>
    <w:rsid w:val="005D54B3"/>
    <w:rsid w:val="005E320E"/>
    <w:rsid w:val="005E3904"/>
    <w:rsid w:val="005E3DB9"/>
    <w:rsid w:val="005E4DE9"/>
    <w:rsid w:val="005E5A84"/>
    <w:rsid w:val="005F0177"/>
    <w:rsid w:val="005F04BF"/>
    <w:rsid w:val="005F1DF1"/>
    <w:rsid w:val="005F41B2"/>
    <w:rsid w:val="005F47E9"/>
    <w:rsid w:val="0060040B"/>
    <w:rsid w:val="006007E7"/>
    <w:rsid w:val="00600F8F"/>
    <w:rsid w:val="00600F9B"/>
    <w:rsid w:val="00602072"/>
    <w:rsid w:val="00602DD6"/>
    <w:rsid w:val="00603292"/>
    <w:rsid w:val="00603910"/>
    <w:rsid w:val="00603CBF"/>
    <w:rsid w:val="006048F7"/>
    <w:rsid w:val="00605861"/>
    <w:rsid w:val="0060597E"/>
    <w:rsid w:val="006071E6"/>
    <w:rsid w:val="00614CC9"/>
    <w:rsid w:val="00616621"/>
    <w:rsid w:val="00616A79"/>
    <w:rsid w:val="0062159A"/>
    <w:rsid w:val="00621F2F"/>
    <w:rsid w:val="00622994"/>
    <w:rsid w:val="006231ED"/>
    <w:rsid w:val="006259D2"/>
    <w:rsid w:val="00625F1B"/>
    <w:rsid w:val="00626386"/>
    <w:rsid w:val="006263D1"/>
    <w:rsid w:val="00626440"/>
    <w:rsid w:val="00626733"/>
    <w:rsid w:val="00626D76"/>
    <w:rsid w:val="006274EA"/>
    <w:rsid w:val="00627E47"/>
    <w:rsid w:val="00630027"/>
    <w:rsid w:val="00630A6A"/>
    <w:rsid w:val="0063362B"/>
    <w:rsid w:val="00634760"/>
    <w:rsid w:val="006349D8"/>
    <w:rsid w:val="00635AA7"/>
    <w:rsid w:val="00635FAF"/>
    <w:rsid w:val="006365DB"/>
    <w:rsid w:val="00636E43"/>
    <w:rsid w:val="00636F23"/>
    <w:rsid w:val="006376F4"/>
    <w:rsid w:val="00637BFD"/>
    <w:rsid w:val="00637D20"/>
    <w:rsid w:val="00640871"/>
    <w:rsid w:val="00640D4D"/>
    <w:rsid w:val="00641AB1"/>
    <w:rsid w:val="0064240C"/>
    <w:rsid w:val="00643BC4"/>
    <w:rsid w:val="006446A9"/>
    <w:rsid w:val="00644A24"/>
    <w:rsid w:val="00645239"/>
    <w:rsid w:val="00645A49"/>
    <w:rsid w:val="00646BE4"/>
    <w:rsid w:val="00646FA8"/>
    <w:rsid w:val="00647F92"/>
    <w:rsid w:val="00651B03"/>
    <w:rsid w:val="00652085"/>
    <w:rsid w:val="006536F2"/>
    <w:rsid w:val="00653B2F"/>
    <w:rsid w:val="006547B9"/>
    <w:rsid w:val="0065489E"/>
    <w:rsid w:val="00654C8F"/>
    <w:rsid w:val="006556EB"/>
    <w:rsid w:val="0065634C"/>
    <w:rsid w:val="00657366"/>
    <w:rsid w:val="00657590"/>
    <w:rsid w:val="00657972"/>
    <w:rsid w:val="00657B57"/>
    <w:rsid w:val="00660FD9"/>
    <w:rsid w:val="006619A7"/>
    <w:rsid w:val="00662133"/>
    <w:rsid w:val="006627A0"/>
    <w:rsid w:val="00662C99"/>
    <w:rsid w:val="00662FD5"/>
    <w:rsid w:val="00663B40"/>
    <w:rsid w:val="00664200"/>
    <w:rsid w:val="00664244"/>
    <w:rsid w:val="00664279"/>
    <w:rsid w:val="00665E91"/>
    <w:rsid w:val="00666179"/>
    <w:rsid w:val="00666E3A"/>
    <w:rsid w:val="00667F50"/>
    <w:rsid w:val="00670446"/>
    <w:rsid w:val="00670675"/>
    <w:rsid w:val="00671112"/>
    <w:rsid w:val="006727F7"/>
    <w:rsid w:val="006730BE"/>
    <w:rsid w:val="00673BDC"/>
    <w:rsid w:val="006744A6"/>
    <w:rsid w:val="00675CB7"/>
    <w:rsid w:val="00676264"/>
    <w:rsid w:val="00676641"/>
    <w:rsid w:val="00677285"/>
    <w:rsid w:val="00680861"/>
    <w:rsid w:val="00681E11"/>
    <w:rsid w:val="00682404"/>
    <w:rsid w:val="00683121"/>
    <w:rsid w:val="006848B3"/>
    <w:rsid w:val="006857DC"/>
    <w:rsid w:val="00686CDE"/>
    <w:rsid w:val="00687027"/>
    <w:rsid w:val="00687D7F"/>
    <w:rsid w:val="00687F12"/>
    <w:rsid w:val="00687F1C"/>
    <w:rsid w:val="006906FD"/>
    <w:rsid w:val="00690F1A"/>
    <w:rsid w:val="0069145F"/>
    <w:rsid w:val="006919EA"/>
    <w:rsid w:val="00692517"/>
    <w:rsid w:val="00692C51"/>
    <w:rsid w:val="00693060"/>
    <w:rsid w:val="00694D12"/>
    <w:rsid w:val="00694F52"/>
    <w:rsid w:val="006953E8"/>
    <w:rsid w:val="00695EEC"/>
    <w:rsid w:val="00696B1C"/>
    <w:rsid w:val="00696D1D"/>
    <w:rsid w:val="0069722E"/>
    <w:rsid w:val="006972AA"/>
    <w:rsid w:val="00697DD3"/>
    <w:rsid w:val="006A1521"/>
    <w:rsid w:val="006A16AC"/>
    <w:rsid w:val="006A1D85"/>
    <w:rsid w:val="006A1E04"/>
    <w:rsid w:val="006A2021"/>
    <w:rsid w:val="006A27D4"/>
    <w:rsid w:val="006A2D43"/>
    <w:rsid w:val="006A3439"/>
    <w:rsid w:val="006A36B5"/>
    <w:rsid w:val="006A5E21"/>
    <w:rsid w:val="006A71F0"/>
    <w:rsid w:val="006A7EAF"/>
    <w:rsid w:val="006B3855"/>
    <w:rsid w:val="006B3BBD"/>
    <w:rsid w:val="006B4261"/>
    <w:rsid w:val="006B6DAA"/>
    <w:rsid w:val="006B7DD8"/>
    <w:rsid w:val="006C029E"/>
    <w:rsid w:val="006C0AF5"/>
    <w:rsid w:val="006C0B21"/>
    <w:rsid w:val="006C1425"/>
    <w:rsid w:val="006C35B4"/>
    <w:rsid w:val="006C3C0C"/>
    <w:rsid w:val="006C5AB8"/>
    <w:rsid w:val="006C70B7"/>
    <w:rsid w:val="006D0067"/>
    <w:rsid w:val="006D1D61"/>
    <w:rsid w:val="006D3845"/>
    <w:rsid w:val="006D38D4"/>
    <w:rsid w:val="006D4C84"/>
    <w:rsid w:val="006D54E7"/>
    <w:rsid w:val="006D606F"/>
    <w:rsid w:val="006D6BA3"/>
    <w:rsid w:val="006D7DBF"/>
    <w:rsid w:val="006E0C10"/>
    <w:rsid w:val="006E0E9C"/>
    <w:rsid w:val="006E264C"/>
    <w:rsid w:val="006E2A59"/>
    <w:rsid w:val="006E2E2A"/>
    <w:rsid w:val="006E3692"/>
    <w:rsid w:val="006E4A96"/>
    <w:rsid w:val="006E65F0"/>
    <w:rsid w:val="006E67E4"/>
    <w:rsid w:val="006E717A"/>
    <w:rsid w:val="006F06E8"/>
    <w:rsid w:val="006F0C87"/>
    <w:rsid w:val="006F1414"/>
    <w:rsid w:val="006F16C3"/>
    <w:rsid w:val="006F1BDC"/>
    <w:rsid w:val="006F2C8F"/>
    <w:rsid w:val="006F3CF1"/>
    <w:rsid w:val="006F4A94"/>
    <w:rsid w:val="006F5E89"/>
    <w:rsid w:val="006F6E19"/>
    <w:rsid w:val="0070085C"/>
    <w:rsid w:val="00700DBB"/>
    <w:rsid w:val="00703A1E"/>
    <w:rsid w:val="00704543"/>
    <w:rsid w:val="00704C13"/>
    <w:rsid w:val="00707E4D"/>
    <w:rsid w:val="00711279"/>
    <w:rsid w:val="00711D5F"/>
    <w:rsid w:val="007121E8"/>
    <w:rsid w:val="00712525"/>
    <w:rsid w:val="007129B4"/>
    <w:rsid w:val="00712B7A"/>
    <w:rsid w:val="0071355B"/>
    <w:rsid w:val="00713E16"/>
    <w:rsid w:val="007151EC"/>
    <w:rsid w:val="00716191"/>
    <w:rsid w:val="00717B82"/>
    <w:rsid w:val="007200C0"/>
    <w:rsid w:val="007202CF"/>
    <w:rsid w:val="00720681"/>
    <w:rsid w:val="007236FB"/>
    <w:rsid w:val="00723F96"/>
    <w:rsid w:val="0072488E"/>
    <w:rsid w:val="00724EC9"/>
    <w:rsid w:val="0072513F"/>
    <w:rsid w:val="00725EA0"/>
    <w:rsid w:val="007302C3"/>
    <w:rsid w:val="00730E80"/>
    <w:rsid w:val="0073136C"/>
    <w:rsid w:val="00733031"/>
    <w:rsid w:val="00733925"/>
    <w:rsid w:val="007347DE"/>
    <w:rsid w:val="0073627A"/>
    <w:rsid w:val="00736CBC"/>
    <w:rsid w:val="00736CFB"/>
    <w:rsid w:val="0073761A"/>
    <w:rsid w:val="00740682"/>
    <w:rsid w:val="00741176"/>
    <w:rsid w:val="007411B3"/>
    <w:rsid w:val="00741229"/>
    <w:rsid w:val="00741568"/>
    <w:rsid w:val="007416DC"/>
    <w:rsid w:val="007420D2"/>
    <w:rsid w:val="00742ED1"/>
    <w:rsid w:val="00744BD6"/>
    <w:rsid w:val="00747E78"/>
    <w:rsid w:val="00750214"/>
    <w:rsid w:val="00751550"/>
    <w:rsid w:val="00752C12"/>
    <w:rsid w:val="00753379"/>
    <w:rsid w:val="0075354A"/>
    <w:rsid w:val="0075360B"/>
    <w:rsid w:val="00755084"/>
    <w:rsid w:val="00755522"/>
    <w:rsid w:val="00755E1D"/>
    <w:rsid w:val="00760992"/>
    <w:rsid w:val="00760B46"/>
    <w:rsid w:val="00761DBD"/>
    <w:rsid w:val="00763344"/>
    <w:rsid w:val="00763FA2"/>
    <w:rsid w:val="00764110"/>
    <w:rsid w:val="007642B8"/>
    <w:rsid w:val="00765AAB"/>
    <w:rsid w:val="007700EB"/>
    <w:rsid w:val="00770AAA"/>
    <w:rsid w:val="00771DD5"/>
    <w:rsid w:val="00771F4D"/>
    <w:rsid w:val="007724A0"/>
    <w:rsid w:val="007725AB"/>
    <w:rsid w:val="0077461A"/>
    <w:rsid w:val="00775599"/>
    <w:rsid w:val="00775B41"/>
    <w:rsid w:val="007761F0"/>
    <w:rsid w:val="00777479"/>
    <w:rsid w:val="00777482"/>
    <w:rsid w:val="00777577"/>
    <w:rsid w:val="00783CE5"/>
    <w:rsid w:val="00786026"/>
    <w:rsid w:val="00787220"/>
    <w:rsid w:val="00792FC8"/>
    <w:rsid w:val="0079301C"/>
    <w:rsid w:val="0079303A"/>
    <w:rsid w:val="007937F8"/>
    <w:rsid w:val="007942D9"/>
    <w:rsid w:val="00794932"/>
    <w:rsid w:val="00794A1B"/>
    <w:rsid w:val="00796659"/>
    <w:rsid w:val="00797670"/>
    <w:rsid w:val="007A029D"/>
    <w:rsid w:val="007A1117"/>
    <w:rsid w:val="007A132B"/>
    <w:rsid w:val="007A274E"/>
    <w:rsid w:val="007A28F9"/>
    <w:rsid w:val="007A619B"/>
    <w:rsid w:val="007A67FB"/>
    <w:rsid w:val="007A6917"/>
    <w:rsid w:val="007B0B69"/>
    <w:rsid w:val="007B0FBA"/>
    <w:rsid w:val="007B10CC"/>
    <w:rsid w:val="007B1D9A"/>
    <w:rsid w:val="007B1E73"/>
    <w:rsid w:val="007B2932"/>
    <w:rsid w:val="007B3F3F"/>
    <w:rsid w:val="007B638F"/>
    <w:rsid w:val="007B65AC"/>
    <w:rsid w:val="007B6AC5"/>
    <w:rsid w:val="007B734F"/>
    <w:rsid w:val="007C0130"/>
    <w:rsid w:val="007C557B"/>
    <w:rsid w:val="007C7ACB"/>
    <w:rsid w:val="007D06C0"/>
    <w:rsid w:val="007D1431"/>
    <w:rsid w:val="007D37C1"/>
    <w:rsid w:val="007D38D6"/>
    <w:rsid w:val="007D4653"/>
    <w:rsid w:val="007D51DA"/>
    <w:rsid w:val="007E10BD"/>
    <w:rsid w:val="007E206E"/>
    <w:rsid w:val="007E4CB6"/>
    <w:rsid w:val="007E4EC4"/>
    <w:rsid w:val="007E51C6"/>
    <w:rsid w:val="007E57C3"/>
    <w:rsid w:val="007E7064"/>
    <w:rsid w:val="007E754B"/>
    <w:rsid w:val="007E7754"/>
    <w:rsid w:val="007E788F"/>
    <w:rsid w:val="007E7CAD"/>
    <w:rsid w:val="007F0042"/>
    <w:rsid w:val="007F06A1"/>
    <w:rsid w:val="007F11F1"/>
    <w:rsid w:val="007F189C"/>
    <w:rsid w:val="007F1D39"/>
    <w:rsid w:val="007F3850"/>
    <w:rsid w:val="00800B39"/>
    <w:rsid w:val="008027A0"/>
    <w:rsid w:val="00803096"/>
    <w:rsid w:val="008042F5"/>
    <w:rsid w:val="00804648"/>
    <w:rsid w:val="008049DC"/>
    <w:rsid w:val="00805EAB"/>
    <w:rsid w:val="008064F3"/>
    <w:rsid w:val="00806532"/>
    <w:rsid w:val="0080728B"/>
    <w:rsid w:val="00807618"/>
    <w:rsid w:val="00811443"/>
    <w:rsid w:val="008115AE"/>
    <w:rsid w:val="008124EE"/>
    <w:rsid w:val="00812EA3"/>
    <w:rsid w:val="008136C3"/>
    <w:rsid w:val="00816C03"/>
    <w:rsid w:val="00820A51"/>
    <w:rsid w:val="00821B88"/>
    <w:rsid w:val="008225CE"/>
    <w:rsid w:val="008229B1"/>
    <w:rsid w:val="00823514"/>
    <w:rsid w:val="00826A8A"/>
    <w:rsid w:val="0082795B"/>
    <w:rsid w:val="00830347"/>
    <w:rsid w:val="00830623"/>
    <w:rsid w:val="00830674"/>
    <w:rsid w:val="00831812"/>
    <w:rsid w:val="00831827"/>
    <w:rsid w:val="00832D2D"/>
    <w:rsid w:val="00833F06"/>
    <w:rsid w:val="00834142"/>
    <w:rsid w:val="00836212"/>
    <w:rsid w:val="00836E56"/>
    <w:rsid w:val="00840902"/>
    <w:rsid w:val="00840A9A"/>
    <w:rsid w:val="00840C3A"/>
    <w:rsid w:val="00841888"/>
    <w:rsid w:val="008421E3"/>
    <w:rsid w:val="0084252D"/>
    <w:rsid w:val="008426C3"/>
    <w:rsid w:val="008442DD"/>
    <w:rsid w:val="00844ADA"/>
    <w:rsid w:val="00844D3F"/>
    <w:rsid w:val="008462E4"/>
    <w:rsid w:val="00846C52"/>
    <w:rsid w:val="008514D0"/>
    <w:rsid w:val="0085151E"/>
    <w:rsid w:val="00851E28"/>
    <w:rsid w:val="00853339"/>
    <w:rsid w:val="0085408D"/>
    <w:rsid w:val="00854AA6"/>
    <w:rsid w:val="00854FE1"/>
    <w:rsid w:val="0085644F"/>
    <w:rsid w:val="00856D93"/>
    <w:rsid w:val="00856F53"/>
    <w:rsid w:val="008577A5"/>
    <w:rsid w:val="00857E46"/>
    <w:rsid w:val="00860AA5"/>
    <w:rsid w:val="00860C54"/>
    <w:rsid w:val="00861D1A"/>
    <w:rsid w:val="0086487B"/>
    <w:rsid w:val="00864B07"/>
    <w:rsid w:val="008669ED"/>
    <w:rsid w:val="008704EC"/>
    <w:rsid w:val="00870892"/>
    <w:rsid w:val="0087092B"/>
    <w:rsid w:val="00870A46"/>
    <w:rsid w:val="00870DFE"/>
    <w:rsid w:val="008710EA"/>
    <w:rsid w:val="00871346"/>
    <w:rsid w:val="0087144A"/>
    <w:rsid w:val="0087167A"/>
    <w:rsid w:val="0087168C"/>
    <w:rsid w:val="008719DD"/>
    <w:rsid w:val="00871E1C"/>
    <w:rsid w:val="00871F47"/>
    <w:rsid w:val="00873AFA"/>
    <w:rsid w:val="00874B59"/>
    <w:rsid w:val="00875389"/>
    <w:rsid w:val="00875522"/>
    <w:rsid w:val="00875A8E"/>
    <w:rsid w:val="00876894"/>
    <w:rsid w:val="00876D48"/>
    <w:rsid w:val="00877043"/>
    <w:rsid w:val="00877755"/>
    <w:rsid w:val="00882A1D"/>
    <w:rsid w:val="0088546C"/>
    <w:rsid w:val="008865FB"/>
    <w:rsid w:val="0088668B"/>
    <w:rsid w:val="00887484"/>
    <w:rsid w:val="008913EC"/>
    <w:rsid w:val="00891A33"/>
    <w:rsid w:val="00891A74"/>
    <w:rsid w:val="0089268B"/>
    <w:rsid w:val="008931F8"/>
    <w:rsid w:val="00895436"/>
    <w:rsid w:val="00895C74"/>
    <w:rsid w:val="00896904"/>
    <w:rsid w:val="008969FD"/>
    <w:rsid w:val="00896E1B"/>
    <w:rsid w:val="008A107D"/>
    <w:rsid w:val="008A1734"/>
    <w:rsid w:val="008A2283"/>
    <w:rsid w:val="008A22F1"/>
    <w:rsid w:val="008A271C"/>
    <w:rsid w:val="008A3883"/>
    <w:rsid w:val="008A4144"/>
    <w:rsid w:val="008A47DE"/>
    <w:rsid w:val="008A4DA3"/>
    <w:rsid w:val="008A51ED"/>
    <w:rsid w:val="008A5AE3"/>
    <w:rsid w:val="008A6CEB"/>
    <w:rsid w:val="008A6DFE"/>
    <w:rsid w:val="008A799D"/>
    <w:rsid w:val="008B1302"/>
    <w:rsid w:val="008B18DC"/>
    <w:rsid w:val="008B20CD"/>
    <w:rsid w:val="008B3114"/>
    <w:rsid w:val="008B31CA"/>
    <w:rsid w:val="008B3EFF"/>
    <w:rsid w:val="008B41FF"/>
    <w:rsid w:val="008B49B2"/>
    <w:rsid w:val="008B5A4D"/>
    <w:rsid w:val="008B7852"/>
    <w:rsid w:val="008B7AE0"/>
    <w:rsid w:val="008C0421"/>
    <w:rsid w:val="008C04C2"/>
    <w:rsid w:val="008C091D"/>
    <w:rsid w:val="008C0C4D"/>
    <w:rsid w:val="008C2584"/>
    <w:rsid w:val="008C31C7"/>
    <w:rsid w:val="008C32CC"/>
    <w:rsid w:val="008C41A3"/>
    <w:rsid w:val="008C4727"/>
    <w:rsid w:val="008C64B7"/>
    <w:rsid w:val="008C6BDA"/>
    <w:rsid w:val="008C6D51"/>
    <w:rsid w:val="008C7C71"/>
    <w:rsid w:val="008D1F51"/>
    <w:rsid w:val="008D23AB"/>
    <w:rsid w:val="008D37BA"/>
    <w:rsid w:val="008D49F9"/>
    <w:rsid w:val="008D4BD3"/>
    <w:rsid w:val="008D58BF"/>
    <w:rsid w:val="008D70B7"/>
    <w:rsid w:val="008E046E"/>
    <w:rsid w:val="008E0D0A"/>
    <w:rsid w:val="008E1015"/>
    <w:rsid w:val="008E1994"/>
    <w:rsid w:val="008E1DC2"/>
    <w:rsid w:val="008E1DF0"/>
    <w:rsid w:val="008E40E6"/>
    <w:rsid w:val="008E4491"/>
    <w:rsid w:val="008E4C86"/>
    <w:rsid w:val="008E5552"/>
    <w:rsid w:val="008F07C3"/>
    <w:rsid w:val="008F1377"/>
    <w:rsid w:val="008F3900"/>
    <w:rsid w:val="008F3D87"/>
    <w:rsid w:val="008F518B"/>
    <w:rsid w:val="00901E9B"/>
    <w:rsid w:val="009029D2"/>
    <w:rsid w:val="00902C9D"/>
    <w:rsid w:val="00902CBB"/>
    <w:rsid w:val="00902E37"/>
    <w:rsid w:val="00903027"/>
    <w:rsid w:val="009034BB"/>
    <w:rsid w:val="00903E7B"/>
    <w:rsid w:val="009046A7"/>
    <w:rsid w:val="009048B4"/>
    <w:rsid w:val="009064EC"/>
    <w:rsid w:val="00906E5E"/>
    <w:rsid w:val="00907786"/>
    <w:rsid w:val="009078D7"/>
    <w:rsid w:val="009103A6"/>
    <w:rsid w:val="00910539"/>
    <w:rsid w:val="009127C1"/>
    <w:rsid w:val="00913784"/>
    <w:rsid w:val="0091381C"/>
    <w:rsid w:val="00913855"/>
    <w:rsid w:val="009155F1"/>
    <w:rsid w:val="00916138"/>
    <w:rsid w:val="009169D8"/>
    <w:rsid w:val="00916F8A"/>
    <w:rsid w:val="00917672"/>
    <w:rsid w:val="00921CAB"/>
    <w:rsid w:val="00922B59"/>
    <w:rsid w:val="009233B2"/>
    <w:rsid w:val="00924A87"/>
    <w:rsid w:val="00924BB1"/>
    <w:rsid w:val="00924D18"/>
    <w:rsid w:val="00925FA4"/>
    <w:rsid w:val="00927076"/>
    <w:rsid w:val="0093071E"/>
    <w:rsid w:val="00931085"/>
    <w:rsid w:val="0093251E"/>
    <w:rsid w:val="00932D3C"/>
    <w:rsid w:val="00932D76"/>
    <w:rsid w:val="00933611"/>
    <w:rsid w:val="009349A9"/>
    <w:rsid w:val="00935F5A"/>
    <w:rsid w:val="00936968"/>
    <w:rsid w:val="0094043D"/>
    <w:rsid w:val="00940C4C"/>
    <w:rsid w:val="00941685"/>
    <w:rsid w:val="00941D8D"/>
    <w:rsid w:val="009430FB"/>
    <w:rsid w:val="0094335E"/>
    <w:rsid w:val="00946281"/>
    <w:rsid w:val="00946B98"/>
    <w:rsid w:val="00950F26"/>
    <w:rsid w:val="00951B8B"/>
    <w:rsid w:val="009526F1"/>
    <w:rsid w:val="00952718"/>
    <w:rsid w:val="009542D5"/>
    <w:rsid w:val="009545C4"/>
    <w:rsid w:val="00954601"/>
    <w:rsid w:val="009570CA"/>
    <w:rsid w:val="009578D3"/>
    <w:rsid w:val="00957C31"/>
    <w:rsid w:val="00957DF6"/>
    <w:rsid w:val="0096021D"/>
    <w:rsid w:val="00960D31"/>
    <w:rsid w:val="00960D6E"/>
    <w:rsid w:val="00961E62"/>
    <w:rsid w:val="00962B63"/>
    <w:rsid w:val="00963540"/>
    <w:rsid w:val="009636F9"/>
    <w:rsid w:val="00963E27"/>
    <w:rsid w:val="0096576B"/>
    <w:rsid w:val="009678A5"/>
    <w:rsid w:val="0097015F"/>
    <w:rsid w:val="0097034B"/>
    <w:rsid w:val="00970476"/>
    <w:rsid w:val="00970478"/>
    <w:rsid w:val="00970D38"/>
    <w:rsid w:val="009725F6"/>
    <w:rsid w:val="0097275E"/>
    <w:rsid w:val="00972AB0"/>
    <w:rsid w:val="00973042"/>
    <w:rsid w:val="009739BA"/>
    <w:rsid w:val="0097498B"/>
    <w:rsid w:val="009759F8"/>
    <w:rsid w:val="00975E0E"/>
    <w:rsid w:val="00976B48"/>
    <w:rsid w:val="00977027"/>
    <w:rsid w:val="00983BA9"/>
    <w:rsid w:val="0098452E"/>
    <w:rsid w:val="00985035"/>
    <w:rsid w:val="00985480"/>
    <w:rsid w:val="0098568D"/>
    <w:rsid w:val="00985FD6"/>
    <w:rsid w:val="00987248"/>
    <w:rsid w:val="009877BD"/>
    <w:rsid w:val="00992553"/>
    <w:rsid w:val="00993D11"/>
    <w:rsid w:val="00993EA9"/>
    <w:rsid w:val="009942B7"/>
    <w:rsid w:val="009942BE"/>
    <w:rsid w:val="009943EB"/>
    <w:rsid w:val="0099475C"/>
    <w:rsid w:val="009947C1"/>
    <w:rsid w:val="0099576B"/>
    <w:rsid w:val="00996C24"/>
    <w:rsid w:val="00997752"/>
    <w:rsid w:val="009A0326"/>
    <w:rsid w:val="009A0C1C"/>
    <w:rsid w:val="009A1B4B"/>
    <w:rsid w:val="009A3021"/>
    <w:rsid w:val="009A33AE"/>
    <w:rsid w:val="009A347F"/>
    <w:rsid w:val="009A4612"/>
    <w:rsid w:val="009A4B02"/>
    <w:rsid w:val="009A5955"/>
    <w:rsid w:val="009A5B7C"/>
    <w:rsid w:val="009A5F60"/>
    <w:rsid w:val="009A7C87"/>
    <w:rsid w:val="009B2891"/>
    <w:rsid w:val="009B36C7"/>
    <w:rsid w:val="009B3D09"/>
    <w:rsid w:val="009B44D6"/>
    <w:rsid w:val="009B4CFF"/>
    <w:rsid w:val="009B4E4F"/>
    <w:rsid w:val="009B51AB"/>
    <w:rsid w:val="009B5938"/>
    <w:rsid w:val="009C04F3"/>
    <w:rsid w:val="009C12A9"/>
    <w:rsid w:val="009C1EC9"/>
    <w:rsid w:val="009C2D4F"/>
    <w:rsid w:val="009C2EA7"/>
    <w:rsid w:val="009C4640"/>
    <w:rsid w:val="009C721F"/>
    <w:rsid w:val="009C7418"/>
    <w:rsid w:val="009D007A"/>
    <w:rsid w:val="009D19F8"/>
    <w:rsid w:val="009D3B99"/>
    <w:rsid w:val="009D4B12"/>
    <w:rsid w:val="009D5141"/>
    <w:rsid w:val="009D5486"/>
    <w:rsid w:val="009D6236"/>
    <w:rsid w:val="009D63B9"/>
    <w:rsid w:val="009D65E5"/>
    <w:rsid w:val="009D74F2"/>
    <w:rsid w:val="009E1918"/>
    <w:rsid w:val="009E21E2"/>
    <w:rsid w:val="009E2BB6"/>
    <w:rsid w:val="009E3373"/>
    <w:rsid w:val="009E411E"/>
    <w:rsid w:val="009E564A"/>
    <w:rsid w:val="009E5757"/>
    <w:rsid w:val="009E6671"/>
    <w:rsid w:val="009E66A8"/>
    <w:rsid w:val="009E7605"/>
    <w:rsid w:val="009F0B4D"/>
    <w:rsid w:val="009F0E8C"/>
    <w:rsid w:val="009F133E"/>
    <w:rsid w:val="009F2863"/>
    <w:rsid w:val="009F3CCC"/>
    <w:rsid w:val="009F3E02"/>
    <w:rsid w:val="009F4D1A"/>
    <w:rsid w:val="009F51CB"/>
    <w:rsid w:val="009F5B0E"/>
    <w:rsid w:val="009F6638"/>
    <w:rsid w:val="009F68CF"/>
    <w:rsid w:val="00A000E6"/>
    <w:rsid w:val="00A00B04"/>
    <w:rsid w:val="00A0161F"/>
    <w:rsid w:val="00A01EF7"/>
    <w:rsid w:val="00A01F54"/>
    <w:rsid w:val="00A02B13"/>
    <w:rsid w:val="00A0375D"/>
    <w:rsid w:val="00A0412B"/>
    <w:rsid w:val="00A05CBA"/>
    <w:rsid w:val="00A05D4E"/>
    <w:rsid w:val="00A07AF3"/>
    <w:rsid w:val="00A07F61"/>
    <w:rsid w:val="00A1018D"/>
    <w:rsid w:val="00A10B21"/>
    <w:rsid w:val="00A10E28"/>
    <w:rsid w:val="00A114B1"/>
    <w:rsid w:val="00A11DC0"/>
    <w:rsid w:val="00A130B3"/>
    <w:rsid w:val="00A13EF9"/>
    <w:rsid w:val="00A14DD9"/>
    <w:rsid w:val="00A14E0E"/>
    <w:rsid w:val="00A16538"/>
    <w:rsid w:val="00A17CE6"/>
    <w:rsid w:val="00A17DF5"/>
    <w:rsid w:val="00A17E5B"/>
    <w:rsid w:val="00A207DC"/>
    <w:rsid w:val="00A22502"/>
    <w:rsid w:val="00A22F00"/>
    <w:rsid w:val="00A24C03"/>
    <w:rsid w:val="00A24C7F"/>
    <w:rsid w:val="00A253BC"/>
    <w:rsid w:val="00A30F62"/>
    <w:rsid w:val="00A312B0"/>
    <w:rsid w:val="00A31C17"/>
    <w:rsid w:val="00A31CEC"/>
    <w:rsid w:val="00A343D0"/>
    <w:rsid w:val="00A355FF"/>
    <w:rsid w:val="00A36020"/>
    <w:rsid w:val="00A36346"/>
    <w:rsid w:val="00A368DB"/>
    <w:rsid w:val="00A37A93"/>
    <w:rsid w:val="00A40BC5"/>
    <w:rsid w:val="00A41A9D"/>
    <w:rsid w:val="00A4407B"/>
    <w:rsid w:val="00A44539"/>
    <w:rsid w:val="00A44543"/>
    <w:rsid w:val="00A462BF"/>
    <w:rsid w:val="00A5232B"/>
    <w:rsid w:val="00A527CD"/>
    <w:rsid w:val="00A53618"/>
    <w:rsid w:val="00A546DA"/>
    <w:rsid w:val="00A546DD"/>
    <w:rsid w:val="00A555BE"/>
    <w:rsid w:val="00A5570E"/>
    <w:rsid w:val="00A564BD"/>
    <w:rsid w:val="00A57F38"/>
    <w:rsid w:val="00A61791"/>
    <w:rsid w:val="00A62DE7"/>
    <w:rsid w:val="00A6410B"/>
    <w:rsid w:val="00A65034"/>
    <w:rsid w:val="00A658BE"/>
    <w:rsid w:val="00A714B2"/>
    <w:rsid w:val="00A72BDF"/>
    <w:rsid w:val="00A72F20"/>
    <w:rsid w:val="00A730B0"/>
    <w:rsid w:val="00A73B4A"/>
    <w:rsid w:val="00A74A00"/>
    <w:rsid w:val="00A766F3"/>
    <w:rsid w:val="00A774B8"/>
    <w:rsid w:val="00A8085A"/>
    <w:rsid w:val="00A80C8A"/>
    <w:rsid w:val="00A80CAD"/>
    <w:rsid w:val="00A80E3E"/>
    <w:rsid w:val="00A81FE6"/>
    <w:rsid w:val="00A82EC7"/>
    <w:rsid w:val="00A83112"/>
    <w:rsid w:val="00A8318F"/>
    <w:rsid w:val="00A8354C"/>
    <w:rsid w:val="00A8428F"/>
    <w:rsid w:val="00A846AF"/>
    <w:rsid w:val="00A84B62"/>
    <w:rsid w:val="00A851A5"/>
    <w:rsid w:val="00A8647F"/>
    <w:rsid w:val="00A865FF"/>
    <w:rsid w:val="00A86A34"/>
    <w:rsid w:val="00A86E86"/>
    <w:rsid w:val="00A872CC"/>
    <w:rsid w:val="00A87CE4"/>
    <w:rsid w:val="00A901E7"/>
    <w:rsid w:val="00A920BE"/>
    <w:rsid w:val="00A92EE9"/>
    <w:rsid w:val="00A93414"/>
    <w:rsid w:val="00A93501"/>
    <w:rsid w:val="00A94804"/>
    <w:rsid w:val="00A9526C"/>
    <w:rsid w:val="00A95F83"/>
    <w:rsid w:val="00A96C31"/>
    <w:rsid w:val="00AA3182"/>
    <w:rsid w:val="00AA33C9"/>
    <w:rsid w:val="00AA402A"/>
    <w:rsid w:val="00AA4385"/>
    <w:rsid w:val="00AA5E84"/>
    <w:rsid w:val="00AA6F03"/>
    <w:rsid w:val="00AA77E0"/>
    <w:rsid w:val="00AA7832"/>
    <w:rsid w:val="00AB0DC7"/>
    <w:rsid w:val="00AB10CB"/>
    <w:rsid w:val="00AB293D"/>
    <w:rsid w:val="00AB5EDC"/>
    <w:rsid w:val="00AB64B5"/>
    <w:rsid w:val="00AB6B8B"/>
    <w:rsid w:val="00AB6CB8"/>
    <w:rsid w:val="00AB760A"/>
    <w:rsid w:val="00AC1121"/>
    <w:rsid w:val="00AC1F4E"/>
    <w:rsid w:val="00AC25E5"/>
    <w:rsid w:val="00AC5455"/>
    <w:rsid w:val="00AC5E54"/>
    <w:rsid w:val="00AD0758"/>
    <w:rsid w:val="00AD0AF5"/>
    <w:rsid w:val="00AD134E"/>
    <w:rsid w:val="00AD2393"/>
    <w:rsid w:val="00AD2423"/>
    <w:rsid w:val="00AD2D10"/>
    <w:rsid w:val="00AD2F2F"/>
    <w:rsid w:val="00AD2FAA"/>
    <w:rsid w:val="00AD31DD"/>
    <w:rsid w:val="00AD5662"/>
    <w:rsid w:val="00AD5735"/>
    <w:rsid w:val="00AD62F2"/>
    <w:rsid w:val="00AD7A7E"/>
    <w:rsid w:val="00AE0402"/>
    <w:rsid w:val="00AE11BA"/>
    <w:rsid w:val="00AE2935"/>
    <w:rsid w:val="00AE2AA0"/>
    <w:rsid w:val="00AE2BC2"/>
    <w:rsid w:val="00AE3121"/>
    <w:rsid w:val="00AE3E73"/>
    <w:rsid w:val="00AE59C6"/>
    <w:rsid w:val="00AE59FB"/>
    <w:rsid w:val="00AE6720"/>
    <w:rsid w:val="00AE6E3C"/>
    <w:rsid w:val="00AE7751"/>
    <w:rsid w:val="00AF07BF"/>
    <w:rsid w:val="00AF0E8D"/>
    <w:rsid w:val="00AF2767"/>
    <w:rsid w:val="00AF28CD"/>
    <w:rsid w:val="00AF2CCB"/>
    <w:rsid w:val="00AF3DD3"/>
    <w:rsid w:val="00AF3F6D"/>
    <w:rsid w:val="00AF73E0"/>
    <w:rsid w:val="00AF7438"/>
    <w:rsid w:val="00B00953"/>
    <w:rsid w:val="00B015D4"/>
    <w:rsid w:val="00B01AE2"/>
    <w:rsid w:val="00B01B04"/>
    <w:rsid w:val="00B029DE"/>
    <w:rsid w:val="00B02CCC"/>
    <w:rsid w:val="00B0337F"/>
    <w:rsid w:val="00B0435B"/>
    <w:rsid w:val="00B04686"/>
    <w:rsid w:val="00B05260"/>
    <w:rsid w:val="00B055DA"/>
    <w:rsid w:val="00B06607"/>
    <w:rsid w:val="00B10288"/>
    <w:rsid w:val="00B102EF"/>
    <w:rsid w:val="00B10912"/>
    <w:rsid w:val="00B12AC3"/>
    <w:rsid w:val="00B12C9C"/>
    <w:rsid w:val="00B1488A"/>
    <w:rsid w:val="00B14E7D"/>
    <w:rsid w:val="00B152BE"/>
    <w:rsid w:val="00B16371"/>
    <w:rsid w:val="00B16DEB"/>
    <w:rsid w:val="00B16E35"/>
    <w:rsid w:val="00B20F6F"/>
    <w:rsid w:val="00B21651"/>
    <w:rsid w:val="00B221C0"/>
    <w:rsid w:val="00B2305D"/>
    <w:rsid w:val="00B2372C"/>
    <w:rsid w:val="00B23D86"/>
    <w:rsid w:val="00B24711"/>
    <w:rsid w:val="00B24A02"/>
    <w:rsid w:val="00B257BC"/>
    <w:rsid w:val="00B27424"/>
    <w:rsid w:val="00B27E05"/>
    <w:rsid w:val="00B30B31"/>
    <w:rsid w:val="00B313A9"/>
    <w:rsid w:val="00B32DCA"/>
    <w:rsid w:val="00B3303D"/>
    <w:rsid w:val="00B33878"/>
    <w:rsid w:val="00B34C60"/>
    <w:rsid w:val="00B3519E"/>
    <w:rsid w:val="00B355BA"/>
    <w:rsid w:val="00B426AA"/>
    <w:rsid w:val="00B43F07"/>
    <w:rsid w:val="00B45621"/>
    <w:rsid w:val="00B458FB"/>
    <w:rsid w:val="00B46221"/>
    <w:rsid w:val="00B463BA"/>
    <w:rsid w:val="00B46962"/>
    <w:rsid w:val="00B5000E"/>
    <w:rsid w:val="00B520DB"/>
    <w:rsid w:val="00B5258D"/>
    <w:rsid w:val="00B526AD"/>
    <w:rsid w:val="00B52D12"/>
    <w:rsid w:val="00B539EE"/>
    <w:rsid w:val="00B544A1"/>
    <w:rsid w:val="00B55646"/>
    <w:rsid w:val="00B55B75"/>
    <w:rsid w:val="00B560D7"/>
    <w:rsid w:val="00B56586"/>
    <w:rsid w:val="00B565C5"/>
    <w:rsid w:val="00B57055"/>
    <w:rsid w:val="00B57A51"/>
    <w:rsid w:val="00B600EF"/>
    <w:rsid w:val="00B6351E"/>
    <w:rsid w:val="00B6446C"/>
    <w:rsid w:val="00B644AD"/>
    <w:rsid w:val="00B65CAA"/>
    <w:rsid w:val="00B661FB"/>
    <w:rsid w:val="00B666CC"/>
    <w:rsid w:val="00B6718C"/>
    <w:rsid w:val="00B67D9F"/>
    <w:rsid w:val="00B708D4"/>
    <w:rsid w:val="00B70BBE"/>
    <w:rsid w:val="00B70CB1"/>
    <w:rsid w:val="00B713EE"/>
    <w:rsid w:val="00B72E10"/>
    <w:rsid w:val="00B72EDC"/>
    <w:rsid w:val="00B74F63"/>
    <w:rsid w:val="00B75C95"/>
    <w:rsid w:val="00B76132"/>
    <w:rsid w:val="00B778AC"/>
    <w:rsid w:val="00B80A41"/>
    <w:rsid w:val="00B80F96"/>
    <w:rsid w:val="00B8215E"/>
    <w:rsid w:val="00B843F2"/>
    <w:rsid w:val="00B85740"/>
    <w:rsid w:val="00B857C4"/>
    <w:rsid w:val="00B85DE8"/>
    <w:rsid w:val="00B85F0B"/>
    <w:rsid w:val="00B8635C"/>
    <w:rsid w:val="00B870E0"/>
    <w:rsid w:val="00B8783C"/>
    <w:rsid w:val="00B908EB"/>
    <w:rsid w:val="00B9197A"/>
    <w:rsid w:val="00B924C8"/>
    <w:rsid w:val="00B93C11"/>
    <w:rsid w:val="00B93D54"/>
    <w:rsid w:val="00B9443D"/>
    <w:rsid w:val="00B955E7"/>
    <w:rsid w:val="00B95DDC"/>
    <w:rsid w:val="00B970A7"/>
    <w:rsid w:val="00B9776F"/>
    <w:rsid w:val="00BA2248"/>
    <w:rsid w:val="00BA2336"/>
    <w:rsid w:val="00BA2509"/>
    <w:rsid w:val="00BA32D5"/>
    <w:rsid w:val="00BA389A"/>
    <w:rsid w:val="00BA3EDC"/>
    <w:rsid w:val="00BB33E3"/>
    <w:rsid w:val="00BB3B3A"/>
    <w:rsid w:val="00BB4011"/>
    <w:rsid w:val="00BB4F1E"/>
    <w:rsid w:val="00BB5954"/>
    <w:rsid w:val="00BB5D8B"/>
    <w:rsid w:val="00BB63BE"/>
    <w:rsid w:val="00BB7381"/>
    <w:rsid w:val="00BB7BE7"/>
    <w:rsid w:val="00BB7E55"/>
    <w:rsid w:val="00BC0403"/>
    <w:rsid w:val="00BC1872"/>
    <w:rsid w:val="00BC35D8"/>
    <w:rsid w:val="00BC4ADB"/>
    <w:rsid w:val="00BC4EA2"/>
    <w:rsid w:val="00BC637A"/>
    <w:rsid w:val="00BC6CC7"/>
    <w:rsid w:val="00BD1522"/>
    <w:rsid w:val="00BD1CC4"/>
    <w:rsid w:val="00BD2931"/>
    <w:rsid w:val="00BD4F81"/>
    <w:rsid w:val="00BD56D7"/>
    <w:rsid w:val="00BD5F35"/>
    <w:rsid w:val="00BD65F3"/>
    <w:rsid w:val="00BE0D37"/>
    <w:rsid w:val="00BE17FC"/>
    <w:rsid w:val="00BE2147"/>
    <w:rsid w:val="00BE238A"/>
    <w:rsid w:val="00BE2BCE"/>
    <w:rsid w:val="00BE31C2"/>
    <w:rsid w:val="00BE32A1"/>
    <w:rsid w:val="00BE4155"/>
    <w:rsid w:val="00BE47E7"/>
    <w:rsid w:val="00BE4A72"/>
    <w:rsid w:val="00BE515F"/>
    <w:rsid w:val="00BE5FBC"/>
    <w:rsid w:val="00BE7C8C"/>
    <w:rsid w:val="00BF0BE0"/>
    <w:rsid w:val="00BF1058"/>
    <w:rsid w:val="00BF34CD"/>
    <w:rsid w:val="00BF3CB3"/>
    <w:rsid w:val="00BF4871"/>
    <w:rsid w:val="00BF534A"/>
    <w:rsid w:val="00BF57A9"/>
    <w:rsid w:val="00BF6EB5"/>
    <w:rsid w:val="00BF724A"/>
    <w:rsid w:val="00C00989"/>
    <w:rsid w:val="00C0290F"/>
    <w:rsid w:val="00C0314C"/>
    <w:rsid w:val="00C0356A"/>
    <w:rsid w:val="00C04693"/>
    <w:rsid w:val="00C04EFC"/>
    <w:rsid w:val="00C05A6E"/>
    <w:rsid w:val="00C05D2C"/>
    <w:rsid w:val="00C05FED"/>
    <w:rsid w:val="00C06B05"/>
    <w:rsid w:val="00C06CC9"/>
    <w:rsid w:val="00C07DA2"/>
    <w:rsid w:val="00C11BAB"/>
    <w:rsid w:val="00C129D7"/>
    <w:rsid w:val="00C1401E"/>
    <w:rsid w:val="00C16632"/>
    <w:rsid w:val="00C16717"/>
    <w:rsid w:val="00C16ED3"/>
    <w:rsid w:val="00C17C92"/>
    <w:rsid w:val="00C20704"/>
    <w:rsid w:val="00C225DF"/>
    <w:rsid w:val="00C244EF"/>
    <w:rsid w:val="00C25EB9"/>
    <w:rsid w:val="00C2613C"/>
    <w:rsid w:val="00C268B5"/>
    <w:rsid w:val="00C26912"/>
    <w:rsid w:val="00C2716E"/>
    <w:rsid w:val="00C30B1C"/>
    <w:rsid w:val="00C310D8"/>
    <w:rsid w:val="00C31F22"/>
    <w:rsid w:val="00C31F8B"/>
    <w:rsid w:val="00C34A0F"/>
    <w:rsid w:val="00C34D9B"/>
    <w:rsid w:val="00C34DC5"/>
    <w:rsid w:val="00C3500C"/>
    <w:rsid w:val="00C35CA1"/>
    <w:rsid w:val="00C3679F"/>
    <w:rsid w:val="00C377B3"/>
    <w:rsid w:val="00C40535"/>
    <w:rsid w:val="00C4322B"/>
    <w:rsid w:val="00C4361E"/>
    <w:rsid w:val="00C469B8"/>
    <w:rsid w:val="00C46E21"/>
    <w:rsid w:val="00C4701B"/>
    <w:rsid w:val="00C47FC0"/>
    <w:rsid w:val="00C5077C"/>
    <w:rsid w:val="00C5246E"/>
    <w:rsid w:val="00C54D1A"/>
    <w:rsid w:val="00C56881"/>
    <w:rsid w:val="00C569F0"/>
    <w:rsid w:val="00C6005D"/>
    <w:rsid w:val="00C613AA"/>
    <w:rsid w:val="00C6141B"/>
    <w:rsid w:val="00C61598"/>
    <w:rsid w:val="00C6383F"/>
    <w:rsid w:val="00C63ABB"/>
    <w:rsid w:val="00C64B16"/>
    <w:rsid w:val="00C653E5"/>
    <w:rsid w:val="00C65D91"/>
    <w:rsid w:val="00C65EA2"/>
    <w:rsid w:val="00C6619D"/>
    <w:rsid w:val="00C669E1"/>
    <w:rsid w:val="00C66C9F"/>
    <w:rsid w:val="00C67840"/>
    <w:rsid w:val="00C67CA0"/>
    <w:rsid w:val="00C70338"/>
    <w:rsid w:val="00C70D90"/>
    <w:rsid w:val="00C73976"/>
    <w:rsid w:val="00C749C2"/>
    <w:rsid w:val="00C75B75"/>
    <w:rsid w:val="00C76C51"/>
    <w:rsid w:val="00C77233"/>
    <w:rsid w:val="00C8086D"/>
    <w:rsid w:val="00C808AA"/>
    <w:rsid w:val="00C8171D"/>
    <w:rsid w:val="00C81E1D"/>
    <w:rsid w:val="00C851D3"/>
    <w:rsid w:val="00C85907"/>
    <w:rsid w:val="00C86280"/>
    <w:rsid w:val="00C86397"/>
    <w:rsid w:val="00C87120"/>
    <w:rsid w:val="00C872F8"/>
    <w:rsid w:val="00C873F9"/>
    <w:rsid w:val="00C8748B"/>
    <w:rsid w:val="00C90221"/>
    <w:rsid w:val="00C906E3"/>
    <w:rsid w:val="00C90E39"/>
    <w:rsid w:val="00C91E0E"/>
    <w:rsid w:val="00C932E9"/>
    <w:rsid w:val="00C95B83"/>
    <w:rsid w:val="00C96435"/>
    <w:rsid w:val="00C97A29"/>
    <w:rsid w:val="00CA056D"/>
    <w:rsid w:val="00CA0B94"/>
    <w:rsid w:val="00CA4109"/>
    <w:rsid w:val="00CA4CDB"/>
    <w:rsid w:val="00CA52B1"/>
    <w:rsid w:val="00CA5352"/>
    <w:rsid w:val="00CB0A48"/>
    <w:rsid w:val="00CB2092"/>
    <w:rsid w:val="00CB616F"/>
    <w:rsid w:val="00CB6B8A"/>
    <w:rsid w:val="00CB770B"/>
    <w:rsid w:val="00CC0305"/>
    <w:rsid w:val="00CC0482"/>
    <w:rsid w:val="00CC2A38"/>
    <w:rsid w:val="00CC6157"/>
    <w:rsid w:val="00CC62B0"/>
    <w:rsid w:val="00CC65F0"/>
    <w:rsid w:val="00CC6BB6"/>
    <w:rsid w:val="00CC79E8"/>
    <w:rsid w:val="00CD0D0E"/>
    <w:rsid w:val="00CD1437"/>
    <w:rsid w:val="00CD366D"/>
    <w:rsid w:val="00CD37F5"/>
    <w:rsid w:val="00CD40CB"/>
    <w:rsid w:val="00CD47D2"/>
    <w:rsid w:val="00CD5F0D"/>
    <w:rsid w:val="00CD60DF"/>
    <w:rsid w:val="00CD71E0"/>
    <w:rsid w:val="00CD73FD"/>
    <w:rsid w:val="00CD7845"/>
    <w:rsid w:val="00CE05C6"/>
    <w:rsid w:val="00CE0806"/>
    <w:rsid w:val="00CE0C3C"/>
    <w:rsid w:val="00CE313E"/>
    <w:rsid w:val="00CE46E8"/>
    <w:rsid w:val="00CE5156"/>
    <w:rsid w:val="00CE5C01"/>
    <w:rsid w:val="00CE6AF9"/>
    <w:rsid w:val="00CE6E0B"/>
    <w:rsid w:val="00CF11C4"/>
    <w:rsid w:val="00CF13A6"/>
    <w:rsid w:val="00CF17A0"/>
    <w:rsid w:val="00CF1FED"/>
    <w:rsid w:val="00CF2E80"/>
    <w:rsid w:val="00CF33C7"/>
    <w:rsid w:val="00CF3894"/>
    <w:rsid w:val="00CF3A74"/>
    <w:rsid w:val="00CF3C0E"/>
    <w:rsid w:val="00CF4015"/>
    <w:rsid w:val="00CF40BA"/>
    <w:rsid w:val="00CF5562"/>
    <w:rsid w:val="00CF58B2"/>
    <w:rsid w:val="00CF6653"/>
    <w:rsid w:val="00CF74FA"/>
    <w:rsid w:val="00CF7755"/>
    <w:rsid w:val="00D00301"/>
    <w:rsid w:val="00D0399C"/>
    <w:rsid w:val="00D03AC6"/>
    <w:rsid w:val="00D03DCE"/>
    <w:rsid w:val="00D048D1"/>
    <w:rsid w:val="00D059B2"/>
    <w:rsid w:val="00D064C8"/>
    <w:rsid w:val="00D06595"/>
    <w:rsid w:val="00D135D0"/>
    <w:rsid w:val="00D138DD"/>
    <w:rsid w:val="00D14001"/>
    <w:rsid w:val="00D140CD"/>
    <w:rsid w:val="00D147D2"/>
    <w:rsid w:val="00D14AC6"/>
    <w:rsid w:val="00D14CDE"/>
    <w:rsid w:val="00D159EA"/>
    <w:rsid w:val="00D16C16"/>
    <w:rsid w:val="00D1711F"/>
    <w:rsid w:val="00D177BA"/>
    <w:rsid w:val="00D17B64"/>
    <w:rsid w:val="00D201BE"/>
    <w:rsid w:val="00D2078F"/>
    <w:rsid w:val="00D21781"/>
    <w:rsid w:val="00D24606"/>
    <w:rsid w:val="00D24ED2"/>
    <w:rsid w:val="00D251DB"/>
    <w:rsid w:val="00D2690E"/>
    <w:rsid w:val="00D26C08"/>
    <w:rsid w:val="00D2706E"/>
    <w:rsid w:val="00D279CE"/>
    <w:rsid w:val="00D303F2"/>
    <w:rsid w:val="00D3107D"/>
    <w:rsid w:val="00D31215"/>
    <w:rsid w:val="00D33329"/>
    <w:rsid w:val="00D33713"/>
    <w:rsid w:val="00D33A61"/>
    <w:rsid w:val="00D33E7C"/>
    <w:rsid w:val="00D35164"/>
    <w:rsid w:val="00D353AE"/>
    <w:rsid w:val="00D35C4A"/>
    <w:rsid w:val="00D36186"/>
    <w:rsid w:val="00D36709"/>
    <w:rsid w:val="00D36A1E"/>
    <w:rsid w:val="00D37A07"/>
    <w:rsid w:val="00D43CB2"/>
    <w:rsid w:val="00D44787"/>
    <w:rsid w:val="00D458E8"/>
    <w:rsid w:val="00D45FB2"/>
    <w:rsid w:val="00D466D1"/>
    <w:rsid w:val="00D47B54"/>
    <w:rsid w:val="00D50C4F"/>
    <w:rsid w:val="00D51467"/>
    <w:rsid w:val="00D5208B"/>
    <w:rsid w:val="00D5272D"/>
    <w:rsid w:val="00D52C67"/>
    <w:rsid w:val="00D5320C"/>
    <w:rsid w:val="00D5382B"/>
    <w:rsid w:val="00D539B0"/>
    <w:rsid w:val="00D54DB0"/>
    <w:rsid w:val="00D54EFC"/>
    <w:rsid w:val="00D5546F"/>
    <w:rsid w:val="00D55895"/>
    <w:rsid w:val="00D56908"/>
    <w:rsid w:val="00D56ACD"/>
    <w:rsid w:val="00D60D12"/>
    <w:rsid w:val="00D61942"/>
    <w:rsid w:val="00D619B2"/>
    <w:rsid w:val="00D644A2"/>
    <w:rsid w:val="00D6484C"/>
    <w:rsid w:val="00D65041"/>
    <w:rsid w:val="00D65433"/>
    <w:rsid w:val="00D65455"/>
    <w:rsid w:val="00D656E2"/>
    <w:rsid w:val="00D67835"/>
    <w:rsid w:val="00D70444"/>
    <w:rsid w:val="00D73B96"/>
    <w:rsid w:val="00D7576C"/>
    <w:rsid w:val="00D7610F"/>
    <w:rsid w:val="00D76409"/>
    <w:rsid w:val="00D76F48"/>
    <w:rsid w:val="00D77017"/>
    <w:rsid w:val="00D7744C"/>
    <w:rsid w:val="00D7792A"/>
    <w:rsid w:val="00D822E5"/>
    <w:rsid w:val="00D8514F"/>
    <w:rsid w:val="00D85160"/>
    <w:rsid w:val="00D856C4"/>
    <w:rsid w:val="00D85C84"/>
    <w:rsid w:val="00D87C5F"/>
    <w:rsid w:val="00D906E9"/>
    <w:rsid w:val="00D91685"/>
    <w:rsid w:val="00D9220F"/>
    <w:rsid w:val="00D922D3"/>
    <w:rsid w:val="00D94D1C"/>
    <w:rsid w:val="00D95151"/>
    <w:rsid w:val="00D956E6"/>
    <w:rsid w:val="00D96C48"/>
    <w:rsid w:val="00D96F47"/>
    <w:rsid w:val="00D973E2"/>
    <w:rsid w:val="00D97FDE"/>
    <w:rsid w:val="00DA04E7"/>
    <w:rsid w:val="00DA1AB2"/>
    <w:rsid w:val="00DA1BE6"/>
    <w:rsid w:val="00DA2EE7"/>
    <w:rsid w:val="00DA31B5"/>
    <w:rsid w:val="00DA407A"/>
    <w:rsid w:val="00DA4173"/>
    <w:rsid w:val="00DA49E7"/>
    <w:rsid w:val="00DA4FDC"/>
    <w:rsid w:val="00DA5AC0"/>
    <w:rsid w:val="00DA6A82"/>
    <w:rsid w:val="00DA7737"/>
    <w:rsid w:val="00DB1B59"/>
    <w:rsid w:val="00DB33FA"/>
    <w:rsid w:val="00DB44CE"/>
    <w:rsid w:val="00DB521B"/>
    <w:rsid w:val="00DB5696"/>
    <w:rsid w:val="00DB61E7"/>
    <w:rsid w:val="00DB75E3"/>
    <w:rsid w:val="00DB7A68"/>
    <w:rsid w:val="00DC0684"/>
    <w:rsid w:val="00DC0FD0"/>
    <w:rsid w:val="00DC1DE6"/>
    <w:rsid w:val="00DC333A"/>
    <w:rsid w:val="00DC40DD"/>
    <w:rsid w:val="00DC4531"/>
    <w:rsid w:val="00DC4648"/>
    <w:rsid w:val="00DC52E6"/>
    <w:rsid w:val="00DC5C05"/>
    <w:rsid w:val="00DC781D"/>
    <w:rsid w:val="00DD0F17"/>
    <w:rsid w:val="00DD268A"/>
    <w:rsid w:val="00DD3B3B"/>
    <w:rsid w:val="00DD3CD9"/>
    <w:rsid w:val="00DD4492"/>
    <w:rsid w:val="00DD47F2"/>
    <w:rsid w:val="00DD504A"/>
    <w:rsid w:val="00DD5B9C"/>
    <w:rsid w:val="00DD72EC"/>
    <w:rsid w:val="00DD7A33"/>
    <w:rsid w:val="00DE1063"/>
    <w:rsid w:val="00DE1550"/>
    <w:rsid w:val="00DE1E60"/>
    <w:rsid w:val="00DE22CA"/>
    <w:rsid w:val="00DE2424"/>
    <w:rsid w:val="00DE3C27"/>
    <w:rsid w:val="00DE4466"/>
    <w:rsid w:val="00DE6CC9"/>
    <w:rsid w:val="00DE744D"/>
    <w:rsid w:val="00DE7E17"/>
    <w:rsid w:val="00DF1F3D"/>
    <w:rsid w:val="00DF1FDF"/>
    <w:rsid w:val="00DF2FE7"/>
    <w:rsid w:val="00DF41D6"/>
    <w:rsid w:val="00DF5C75"/>
    <w:rsid w:val="00DF5FE4"/>
    <w:rsid w:val="00DF7E84"/>
    <w:rsid w:val="00E001BF"/>
    <w:rsid w:val="00E00AF2"/>
    <w:rsid w:val="00E01A36"/>
    <w:rsid w:val="00E01E79"/>
    <w:rsid w:val="00E03C69"/>
    <w:rsid w:val="00E04017"/>
    <w:rsid w:val="00E0502D"/>
    <w:rsid w:val="00E0535C"/>
    <w:rsid w:val="00E07DF5"/>
    <w:rsid w:val="00E07EEF"/>
    <w:rsid w:val="00E1198E"/>
    <w:rsid w:val="00E11CC8"/>
    <w:rsid w:val="00E124CA"/>
    <w:rsid w:val="00E13469"/>
    <w:rsid w:val="00E13E81"/>
    <w:rsid w:val="00E140A5"/>
    <w:rsid w:val="00E14D9F"/>
    <w:rsid w:val="00E14E4D"/>
    <w:rsid w:val="00E1591F"/>
    <w:rsid w:val="00E20882"/>
    <w:rsid w:val="00E2142D"/>
    <w:rsid w:val="00E22300"/>
    <w:rsid w:val="00E225FA"/>
    <w:rsid w:val="00E22C4D"/>
    <w:rsid w:val="00E230C4"/>
    <w:rsid w:val="00E233A9"/>
    <w:rsid w:val="00E23647"/>
    <w:rsid w:val="00E23A56"/>
    <w:rsid w:val="00E23B56"/>
    <w:rsid w:val="00E23D50"/>
    <w:rsid w:val="00E3006D"/>
    <w:rsid w:val="00E306D3"/>
    <w:rsid w:val="00E32F2E"/>
    <w:rsid w:val="00E350A6"/>
    <w:rsid w:val="00E37560"/>
    <w:rsid w:val="00E42CC6"/>
    <w:rsid w:val="00E431C0"/>
    <w:rsid w:val="00E43437"/>
    <w:rsid w:val="00E4376E"/>
    <w:rsid w:val="00E444C6"/>
    <w:rsid w:val="00E44543"/>
    <w:rsid w:val="00E44CEC"/>
    <w:rsid w:val="00E455C1"/>
    <w:rsid w:val="00E4596E"/>
    <w:rsid w:val="00E464ED"/>
    <w:rsid w:val="00E50096"/>
    <w:rsid w:val="00E506BB"/>
    <w:rsid w:val="00E50B4D"/>
    <w:rsid w:val="00E5104D"/>
    <w:rsid w:val="00E51972"/>
    <w:rsid w:val="00E51C37"/>
    <w:rsid w:val="00E53B72"/>
    <w:rsid w:val="00E53CC5"/>
    <w:rsid w:val="00E54EF0"/>
    <w:rsid w:val="00E553CE"/>
    <w:rsid w:val="00E5594C"/>
    <w:rsid w:val="00E56071"/>
    <w:rsid w:val="00E56F16"/>
    <w:rsid w:val="00E614DD"/>
    <w:rsid w:val="00E6199F"/>
    <w:rsid w:val="00E62758"/>
    <w:rsid w:val="00E62917"/>
    <w:rsid w:val="00E629A3"/>
    <w:rsid w:val="00E64043"/>
    <w:rsid w:val="00E64496"/>
    <w:rsid w:val="00E64B42"/>
    <w:rsid w:val="00E670DA"/>
    <w:rsid w:val="00E70203"/>
    <w:rsid w:val="00E7117F"/>
    <w:rsid w:val="00E720E9"/>
    <w:rsid w:val="00E724D0"/>
    <w:rsid w:val="00E73653"/>
    <w:rsid w:val="00E74E14"/>
    <w:rsid w:val="00E75319"/>
    <w:rsid w:val="00E766C7"/>
    <w:rsid w:val="00E76CD0"/>
    <w:rsid w:val="00E777BF"/>
    <w:rsid w:val="00E80B79"/>
    <w:rsid w:val="00E80C21"/>
    <w:rsid w:val="00E80C5F"/>
    <w:rsid w:val="00E83DD1"/>
    <w:rsid w:val="00E8568B"/>
    <w:rsid w:val="00E86E5C"/>
    <w:rsid w:val="00E87411"/>
    <w:rsid w:val="00E876CC"/>
    <w:rsid w:val="00E87919"/>
    <w:rsid w:val="00E87AE0"/>
    <w:rsid w:val="00E902BF"/>
    <w:rsid w:val="00E9148D"/>
    <w:rsid w:val="00E91A5C"/>
    <w:rsid w:val="00E920BE"/>
    <w:rsid w:val="00E93842"/>
    <w:rsid w:val="00E944B4"/>
    <w:rsid w:val="00E95F51"/>
    <w:rsid w:val="00E97514"/>
    <w:rsid w:val="00EA002B"/>
    <w:rsid w:val="00EA0147"/>
    <w:rsid w:val="00EA0203"/>
    <w:rsid w:val="00EA02E7"/>
    <w:rsid w:val="00EA1617"/>
    <w:rsid w:val="00EA1D3F"/>
    <w:rsid w:val="00EA2182"/>
    <w:rsid w:val="00EA3EFB"/>
    <w:rsid w:val="00EA494B"/>
    <w:rsid w:val="00EA4D19"/>
    <w:rsid w:val="00EA4D9F"/>
    <w:rsid w:val="00EA6BCF"/>
    <w:rsid w:val="00EA7706"/>
    <w:rsid w:val="00EB0147"/>
    <w:rsid w:val="00EB0395"/>
    <w:rsid w:val="00EB0C76"/>
    <w:rsid w:val="00EB1ECA"/>
    <w:rsid w:val="00EB580C"/>
    <w:rsid w:val="00EB6892"/>
    <w:rsid w:val="00EB6A47"/>
    <w:rsid w:val="00EB6A6A"/>
    <w:rsid w:val="00EC0BBF"/>
    <w:rsid w:val="00EC1F79"/>
    <w:rsid w:val="00EC293E"/>
    <w:rsid w:val="00EC601D"/>
    <w:rsid w:val="00EC6055"/>
    <w:rsid w:val="00EC695B"/>
    <w:rsid w:val="00EC6FB2"/>
    <w:rsid w:val="00EC7478"/>
    <w:rsid w:val="00EC7482"/>
    <w:rsid w:val="00ED120D"/>
    <w:rsid w:val="00ED1D4B"/>
    <w:rsid w:val="00ED352A"/>
    <w:rsid w:val="00ED372E"/>
    <w:rsid w:val="00ED4A04"/>
    <w:rsid w:val="00ED4A2E"/>
    <w:rsid w:val="00ED51FC"/>
    <w:rsid w:val="00ED5E2E"/>
    <w:rsid w:val="00ED6DD7"/>
    <w:rsid w:val="00ED6F49"/>
    <w:rsid w:val="00ED779C"/>
    <w:rsid w:val="00ED7C34"/>
    <w:rsid w:val="00ED7DB1"/>
    <w:rsid w:val="00ED7FC8"/>
    <w:rsid w:val="00EE1543"/>
    <w:rsid w:val="00EE220F"/>
    <w:rsid w:val="00EE2F23"/>
    <w:rsid w:val="00EE3BCD"/>
    <w:rsid w:val="00EE423D"/>
    <w:rsid w:val="00EE4FD7"/>
    <w:rsid w:val="00EE50B2"/>
    <w:rsid w:val="00EE51BB"/>
    <w:rsid w:val="00EE5FF7"/>
    <w:rsid w:val="00EE6B08"/>
    <w:rsid w:val="00EE70F8"/>
    <w:rsid w:val="00EE7ED5"/>
    <w:rsid w:val="00EF0B01"/>
    <w:rsid w:val="00EF0BB8"/>
    <w:rsid w:val="00EF2E9D"/>
    <w:rsid w:val="00EF37BE"/>
    <w:rsid w:val="00EF4556"/>
    <w:rsid w:val="00EF4726"/>
    <w:rsid w:val="00EF49C5"/>
    <w:rsid w:val="00EF51F6"/>
    <w:rsid w:val="00EF673B"/>
    <w:rsid w:val="00F000D5"/>
    <w:rsid w:val="00F00268"/>
    <w:rsid w:val="00F00959"/>
    <w:rsid w:val="00F01169"/>
    <w:rsid w:val="00F018A7"/>
    <w:rsid w:val="00F0333C"/>
    <w:rsid w:val="00F03359"/>
    <w:rsid w:val="00F05817"/>
    <w:rsid w:val="00F05DAF"/>
    <w:rsid w:val="00F06332"/>
    <w:rsid w:val="00F06E95"/>
    <w:rsid w:val="00F071F9"/>
    <w:rsid w:val="00F115A9"/>
    <w:rsid w:val="00F13559"/>
    <w:rsid w:val="00F157E4"/>
    <w:rsid w:val="00F15B14"/>
    <w:rsid w:val="00F15D65"/>
    <w:rsid w:val="00F24495"/>
    <w:rsid w:val="00F245F4"/>
    <w:rsid w:val="00F25657"/>
    <w:rsid w:val="00F272F9"/>
    <w:rsid w:val="00F305A0"/>
    <w:rsid w:val="00F31364"/>
    <w:rsid w:val="00F31D57"/>
    <w:rsid w:val="00F32040"/>
    <w:rsid w:val="00F32D22"/>
    <w:rsid w:val="00F334B3"/>
    <w:rsid w:val="00F33953"/>
    <w:rsid w:val="00F34E52"/>
    <w:rsid w:val="00F35AAC"/>
    <w:rsid w:val="00F35CC5"/>
    <w:rsid w:val="00F36893"/>
    <w:rsid w:val="00F3799C"/>
    <w:rsid w:val="00F37F1F"/>
    <w:rsid w:val="00F40036"/>
    <w:rsid w:val="00F40FED"/>
    <w:rsid w:val="00F429F6"/>
    <w:rsid w:val="00F42CE4"/>
    <w:rsid w:val="00F42DAD"/>
    <w:rsid w:val="00F451F7"/>
    <w:rsid w:val="00F472EB"/>
    <w:rsid w:val="00F515C3"/>
    <w:rsid w:val="00F51D48"/>
    <w:rsid w:val="00F52F08"/>
    <w:rsid w:val="00F531B7"/>
    <w:rsid w:val="00F531E0"/>
    <w:rsid w:val="00F53AAE"/>
    <w:rsid w:val="00F54402"/>
    <w:rsid w:val="00F5468C"/>
    <w:rsid w:val="00F551DE"/>
    <w:rsid w:val="00F55F73"/>
    <w:rsid w:val="00F5610D"/>
    <w:rsid w:val="00F56903"/>
    <w:rsid w:val="00F5740F"/>
    <w:rsid w:val="00F57E84"/>
    <w:rsid w:val="00F602A2"/>
    <w:rsid w:val="00F6047D"/>
    <w:rsid w:val="00F6185B"/>
    <w:rsid w:val="00F61A36"/>
    <w:rsid w:val="00F6278C"/>
    <w:rsid w:val="00F62BA2"/>
    <w:rsid w:val="00F64224"/>
    <w:rsid w:val="00F64EBF"/>
    <w:rsid w:val="00F674AB"/>
    <w:rsid w:val="00F67979"/>
    <w:rsid w:val="00F67AB8"/>
    <w:rsid w:val="00F67BED"/>
    <w:rsid w:val="00F70061"/>
    <w:rsid w:val="00F70A6E"/>
    <w:rsid w:val="00F716A0"/>
    <w:rsid w:val="00F71C06"/>
    <w:rsid w:val="00F74F1B"/>
    <w:rsid w:val="00F75373"/>
    <w:rsid w:val="00F755F2"/>
    <w:rsid w:val="00F76236"/>
    <w:rsid w:val="00F76AA8"/>
    <w:rsid w:val="00F804D3"/>
    <w:rsid w:val="00F81B44"/>
    <w:rsid w:val="00F82ECD"/>
    <w:rsid w:val="00F8315B"/>
    <w:rsid w:val="00F86DCE"/>
    <w:rsid w:val="00F871A1"/>
    <w:rsid w:val="00F87477"/>
    <w:rsid w:val="00F90ABD"/>
    <w:rsid w:val="00F92DAE"/>
    <w:rsid w:val="00F9307F"/>
    <w:rsid w:val="00F95760"/>
    <w:rsid w:val="00F95C89"/>
    <w:rsid w:val="00F95FD1"/>
    <w:rsid w:val="00F960C0"/>
    <w:rsid w:val="00F961AD"/>
    <w:rsid w:val="00F9660F"/>
    <w:rsid w:val="00F9662D"/>
    <w:rsid w:val="00FA02B0"/>
    <w:rsid w:val="00FA0497"/>
    <w:rsid w:val="00FA0F35"/>
    <w:rsid w:val="00FA1A27"/>
    <w:rsid w:val="00FA1C7B"/>
    <w:rsid w:val="00FA1F6F"/>
    <w:rsid w:val="00FA2531"/>
    <w:rsid w:val="00FA25B0"/>
    <w:rsid w:val="00FA305C"/>
    <w:rsid w:val="00FA418E"/>
    <w:rsid w:val="00FA5722"/>
    <w:rsid w:val="00FA61B2"/>
    <w:rsid w:val="00FA77BE"/>
    <w:rsid w:val="00FB010E"/>
    <w:rsid w:val="00FB0175"/>
    <w:rsid w:val="00FB0952"/>
    <w:rsid w:val="00FB0F5F"/>
    <w:rsid w:val="00FB1302"/>
    <w:rsid w:val="00FB35D6"/>
    <w:rsid w:val="00FB39F0"/>
    <w:rsid w:val="00FB5AFB"/>
    <w:rsid w:val="00FB6E26"/>
    <w:rsid w:val="00FB7361"/>
    <w:rsid w:val="00FC070E"/>
    <w:rsid w:val="00FC1D87"/>
    <w:rsid w:val="00FC282B"/>
    <w:rsid w:val="00FC3C6E"/>
    <w:rsid w:val="00FC4317"/>
    <w:rsid w:val="00FC4728"/>
    <w:rsid w:val="00FC4D94"/>
    <w:rsid w:val="00FC603F"/>
    <w:rsid w:val="00FC66CD"/>
    <w:rsid w:val="00FD1259"/>
    <w:rsid w:val="00FD1856"/>
    <w:rsid w:val="00FD20BE"/>
    <w:rsid w:val="00FD21A6"/>
    <w:rsid w:val="00FD350B"/>
    <w:rsid w:val="00FD4721"/>
    <w:rsid w:val="00FD4C54"/>
    <w:rsid w:val="00FD5A36"/>
    <w:rsid w:val="00FD6165"/>
    <w:rsid w:val="00FD691E"/>
    <w:rsid w:val="00FD6BEA"/>
    <w:rsid w:val="00FD7FE9"/>
    <w:rsid w:val="00FE07C7"/>
    <w:rsid w:val="00FE08E9"/>
    <w:rsid w:val="00FE2816"/>
    <w:rsid w:val="00FE2CD5"/>
    <w:rsid w:val="00FE2CDF"/>
    <w:rsid w:val="00FE4FFC"/>
    <w:rsid w:val="00FE5E17"/>
    <w:rsid w:val="00FE62D6"/>
    <w:rsid w:val="00FE6936"/>
    <w:rsid w:val="00FF0095"/>
    <w:rsid w:val="00FF0570"/>
    <w:rsid w:val="00FF1241"/>
    <w:rsid w:val="00FF13DD"/>
    <w:rsid w:val="00FF14C1"/>
    <w:rsid w:val="00FF3A3F"/>
    <w:rsid w:val="00FF43FD"/>
    <w:rsid w:val="00FF4EC1"/>
    <w:rsid w:val="00FF5638"/>
    <w:rsid w:val="00FF6339"/>
    <w:rsid w:val="00FF66E8"/>
    <w:rsid w:val="01B64794"/>
    <w:rsid w:val="03EE7265"/>
    <w:rsid w:val="05F7529A"/>
    <w:rsid w:val="0B2E4096"/>
    <w:rsid w:val="0BFA39F1"/>
    <w:rsid w:val="0ED6366A"/>
    <w:rsid w:val="0FAF0331"/>
    <w:rsid w:val="168D20D6"/>
    <w:rsid w:val="17BD4703"/>
    <w:rsid w:val="1D352737"/>
    <w:rsid w:val="1DA64FA6"/>
    <w:rsid w:val="228E0C2C"/>
    <w:rsid w:val="2801136F"/>
    <w:rsid w:val="29C168FB"/>
    <w:rsid w:val="2A0A1513"/>
    <w:rsid w:val="364E5383"/>
    <w:rsid w:val="3BC47AE0"/>
    <w:rsid w:val="3D102618"/>
    <w:rsid w:val="3DDF6EFC"/>
    <w:rsid w:val="3DF27918"/>
    <w:rsid w:val="3FFF5DD0"/>
    <w:rsid w:val="40454D48"/>
    <w:rsid w:val="42AA5C01"/>
    <w:rsid w:val="43791F88"/>
    <w:rsid w:val="445448B1"/>
    <w:rsid w:val="4745062C"/>
    <w:rsid w:val="48181FE7"/>
    <w:rsid w:val="4B1355B6"/>
    <w:rsid w:val="4C547C35"/>
    <w:rsid w:val="516C02EC"/>
    <w:rsid w:val="518A4357"/>
    <w:rsid w:val="53FB62E1"/>
    <w:rsid w:val="55A038FB"/>
    <w:rsid w:val="571E4B6A"/>
    <w:rsid w:val="58937531"/>
    <w:rsid w:val="61F479E1"/>
    <w:rsid w:val="679E7078"/>
    <w:rsid w:val="6E8E6A8C"/>
    <w:rsid w:val="6FBC3165"/>
    <w:rsid w:val="6FD54849"/>
    <w:rsid w:val="71E66389"/>
    <w:rsid w:val="769932D0"/>
    <w:rsid w:val="7AE32B8B"/>
    <w:rsid w:val="7DFFB438"/>
    <w:rsid w:val="7FFBBFE6"/>
    <w:rsid w:val="E37A05F0"/>
    <w:rsid w:val="FFBF2B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iPriority="0" w:semiHidden="0" w:name="caption"/>
    <w:lsdException w:uiPriority="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uiPriority="0" w:name="macro"/>
    <w:lsdException w:qFormat="1" w:unhideWhenUsed="0"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uiPriority="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99" w:name="Placeholder Text"/>
    <w:lsdException w:qFormat="1"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Times New Roman" w:eastAsia="宋体" w:cs="Times New Roman"/>
      <w:kern w:val="2"/>
      <w:sz w:val="21"/>
      <w:szCs w:val="24"/>
      <w:lang w:val="en-US" w:eastAsia="zh-CN" w:bidi="ar-SA"/>
    </w:rPr>
  </w:style>
  <w:style w:type="paragraph" w:styleId="2">
    <w:name w:val="heading 1"/>
    <w:basedOn w:val="1"/>
    <w:next w:val="1"/>
    <w:link w:val="55"/>
    <w:qFormat/>
    <w:uiPriority w:val="9"/>
    <w:pPr>
      <w:keepNext/>
      <w:keepLines/>
      <w:spacing w:before="240" w:after="240" w:line="360" w:lineRule="auto"/>
      <w:jc w:val="center"/>
      <w:outlineLvl w:val="0"/>
    </w:pPr>
    <w:rPr>
      <w:b/>
      <w:bCs/>
      <w:kern w:val="44"/>
      <w:sz w:val="32"/>
      <w:szCs w:val="44"/>
    </w:rPr>
  </w:style>
  <w:style w:type="paragraph" w:styleId="3">
    <w:name w:val="heading 2"/>
    <w:basedOn w:val="1"/>
    <w:next w:val="1"/>
    <w:link w:val="56"/>
    <w:qFormat/>
    <w:uiPriority w:val="0"/>
    <w:pPr>
      <w:keepNext/>
      <w:keepLines/>
      <w:spacing w:before="120" w:after="120" w:line="360" w:lineRule="auto"/>
      <w:outlineLvl w:val="1"/>
    </w:pPr>
    <w:rPr>
      <w:rFonts w:ascii="Arial" w:hAnsi="Arial"/>
      <w:b/>
      <w:bCs/>
      <w:sz w:val="24"/>
      <w:szCs w:val="32"/>
    </w:rPr>
  </w:style>
  <w:style w:type="paragraph" w:styleId="4">
    <w:name w:val="heading 3"/>
    <w:basedOn w:val="1"/>
    <w:next w:val="1"/>
    <w:link w:val="57"/>
    <w:qFormat/>
    <w:uiPriority w:val="0"/>
    <w:pPr>
      <w:keepNext/>
      <w:keepLines/>
      <w:spacing w:before="260" w:after="260" w:line="415" w:lineRule="auto"/>
      <w:outlineLvl w:val="2"/>
    </w:pPr>
    <w:rPr>
      <w:b/>
      <w:bCs/>
      <w:sz w:val="32"/>
      <w:szCs w:val="32"/>
    </w:rPr>
  </w:style>
  <w:style w:type="paragraph" w:styleId="5">
    <w:name w:val="heading 4"/>
    <w:basedOn w:val="1"/>
    <w:next w:val="1"/>
    <w:link w:val="123"/>
    <w:qFormat/>
    <w:uiPriority w:val="9"/>
    <w:pPr>
      <w:keepNext/>
      <w:tabs>
        <w:tab w:val="left" w:pos="6768"/>
      </w:tabs>
      <w:spacing w:line="360" w:lineRule="auto"/>
      <w:jc w:val="center"/>
      <w:outlineLvl w:val="3"/>
    </w:pPr>
    <w:rPr>
      <w:b/>
      <w:bCs/>
    </w:rPr>
  </w:style>
  <w:style w:type="paragraph" w:styleId="6">
    <w:name w:val="heading 5"/>
    <w:basedOn w:val="1"/>
    <w:next w:val="1"/>
    <w:link w:val="124"/>
    <w:qFormat/>
    <w:uiPriority w:val="0"/>
    <w:pPr>
      <w:keepNext/>
      <w:adjustRightInd w:val="0"/>
      <w:snapToGrid w:val="0"/>
      <w:spacing w:line="320" w:lineRule="exact"/>
      <w:jc w:val="right"/>
      <w:outlineLvl w:val="4"/>
    </w:pPr>
    <w:rPr>
      <w:b/>
      <w:bCs/>
      <w:sz w:val="44"/>
    </w:rPr>
  </w:style>
  <w:style w:type="paragraph" w:styleId="7">
    <w:name w:val="heading 6"/>
    <w:basedOn w:val="1"/>
    <w:next w:val="1"/>
    <w:link w:val="125"/>
    <w:qFormat/>
    <w:uiPriority w:val="0"/>
    <w:pPr>
      <w:keepNext/>
      <w:adjustRightInd w:val="0"/>
      <w:snapToGrid w:val="0"/>
      <w:spacing w:line="320" w:lineRule="exact"/>
      <w:jc w:val="center"/>
      <w:outlineLvl w:val="5"/>
    </w:pPr>
    <w:rPr>
      <w:bCs/>
      <w:i/>
      <w:iCs/>
      <w:sz w:val="16"/>
    </w:rPr>
  </w:style>
  <w:style w:type="paragraph" w:styleId="8">
    <w:name w:val="heading 7"/>
    <w:basedOn w:val="1"/>
    <w:next w:val="1"/>
    <w:link w:val="126"/>
    <w:qFormat/>
    <w:uiPriority w:val="0"/>
    <w:pPr>
      <w:keepNext/>
      <w:adjustRightInd w:val="0"/>
      <w:snapToGrid w:val="0"/>
      <w:spacing w:line="320" w:lineRule="exact"/>
      <w:ind w:left="-105" w:leftChars="-50" w:right="-105" w:rightChars="-50"/>
      <w:jc w:val="center"/>
      <w:outlineLvl w:val="6"/>
    </w:pPr>
    <w:rPr>
      <w:bCs/>
      <w:i/>
      <w:iCs/>
      <w:sz w:val="16"/>
    </w:rPr>
  </w:style>
  <w:style w:type="paragraph" w:styleId="9">
    <w:name w:val="heading 8"/>
    <w:basedOn w:val="1"/>
    <w:next w:val="1"/>
    <w:link w:val="127"/>
    <w:qFormat/>
    <w:uiPriority w:val="0"/>
    <w:pPr>
      <w:keepNext/>
      <w:adjustRightInd w:val="0"/>
      <w:snapToGrid w:val="0"/>
      <w:spacing w:line="320" w:lineRule="exact"/>
      <w:jc w:val="center"/>
      <w:outlineLvl w:val="7"/>
    </w:pPr>
    <w:rPr>
      <w:rFonts w:eastAsia="黑体"/>
      <w:b/>
      <w:bCs/>
      <w:sz w:val="18"/>
    </w:rPr>
  </w:style>
  <w:style w:type="paragraph" w:styleId="10">
    <w:name w:val="heading 9"/>
    <w:basedOn w:val="1"/>
    <w:next w:val="1"/>
    <w:link w:val="128"/>
    <w:qFormat/>
    <w:uiPriority w:val="0"/>
    <w:pPr>
      <w:keepNext/>
      <w:keepLines/>
      <w:spacing w:before="240" w:after="64" w:line="319" w:lineRule="auto"/>
      <w:ind w:left="1584"/>
      <w:outlineLvl w:val="8"/>
    </w:pPr>
    <w:rPr>
      <w:rFonts w:ascii="Cambria" w:hAnsi="Cambria"/>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1260"/>
      <w:jc w:val="left"/>
    </w:pPr>
    <w:rPr>
      <w:rFonts w:asciiTheme="minorHAnsi" w:hAnsiTheme="minorHAnsi" w:cstheme="minorHAnsi"/>
      <w:sz w:val="18"/>
      <w:szCs w:val="18"/>
    </w:rPr>
  </w:style>
  <w:style w:type="paragraph" w:styleId="12">
    <w:name w:val="table of authorities"/>
    <w:basedOn w:val="1"/>
    <w:next w:val="1"/>
    <w:qFormat/>
    <w:uiPriority w:val="0"/>
    <w:pPr>
      <w:spacing w:line="320" w:lineRule="exact"/>
      <w:ind w:left="420" w:leftChars="200"/>
    </w:pPr>
  </w:style>
  <w:style w:type="paragraph" w:styleId="13">
    <w:name w:val="Normal Indent"/>
    <w:basedOn w:val="1"/>
    <w:qFormat/>
    <w:uiPriority w:val="99"/>
    <w:pPr>
      <w:widowControl/>
      <w:ind w:firstLine="420" w:firstLineChars="200"/>
      <w:jc w:val="left"/>
    </w:pPr>
    <w:rPr>
      <w:rFonts w:eastAsia="PMingLiU"/>
      <w:kern w:val="0"/>
      <w:sz w:val="20"/>
      <w:szCs w:val="20"/>
      <w:lang w:eastAsia="en-US"/>
    </w:rPr>
  </w:style>
  <w:style w:type="paragraph" w:styleId="14">
    <w:name w:val="caption"/>
    <w:basedOn w:val="1"/>
    <w:next w:val="1"/>
    <w:unhideWhenUsed/>
    <w:qFormat/>
    <w:uiPriority w:val="0"/>
    <w:pPr>
      <w:autoSpaceDE w:val="0"/>
      <w:autoSpaceDN w:val="0"/>
      <w:adjustRightInd w:val="0"/>
      <w:jc w:val="left"/>
    </w:pPr>
    <w:rPr>
      <w:rFonts w:hint="eastAsia" w:ascii="Arial" w:hAnsi="Arial" w:eastAsia="黑体"/>
      <w:kern w:val="0"/>
      <w:sz w:val="20"/>
      <w:szCs w:val="20"/>
    </w:rPr>
  </w:style>
  <w:style w:type="paragraph" w:styleId="15">
    <w:name w:val="Document Map"/>
    <w:basedOn w:val="1"/>
    <w:link w:val="69"/>
    <w:qFormat/>
    <w:uiPriority w:val="0"/>
    <w:pPr>
      <w:shd w:val="clear" w:color="auto" w:fill="000080"/>
    </w:pPr>
  </w:style>
  <w:style w:type="paragraph" w:styleId="16">
    <w:name w:val="toa heading"/>
    <w:basedOn w:val="1"/>
    <w:next w:val="12"/>
    <w:semiHidden/>
    <w:qFormat/>
    <w:uiPriority w:val="0"/>
    <w:pPr>
      <w:keepNext/>
      <w:spacing w:before="240" w:after="120" w:line="360" w:lineRule="exact"/>
    </w:pPr>
    <w:rPr>
      <w:rFonts w:ascii="Arial" w:hAnsi="Arial"/>
      <w:b/>
      <w:kern w:val="28"/>
      <w:sz w:val="28"/>
    </w:rPr>
  </w:style>
  <w:style w:type="paragraph" w:styleId="17">
    <w:name w:val="annotation text"/>
    <w:basedOn w:val="1"/>
    <w:link w:val="72"/>
    <w:qFormat/>
    <w:uiPriority w:val="0"/>
    <w:pPr>
      <w:jc w:val="left"/>
    </w:pPr>
  </w:style>
  <w:style w:type="paragraph" w:styleId="18">
    <w:name w:val="Body Text"/>
    <w:basedOn w:val="1"/>
    <w:next w:val="1"/>
    <w:link w:val="103"/>
    <w:unhideWhenUsed/>
    <w:qFormat/>
    <w:uiPriority w:val="0"/>
    <w:pPr>
      <w:autoSpaceDE w:val="0"/>
      <w:autoSpaceDN w:val="0"/>
      <w:adjustRightInd w:val="0"/>
      <w:ind w:left="192"/>
      <w:jc w:val="left"/>
    </w:pPr>
    <w:rPr>
      <w:rFonts w:hint="eastAsia"/>
      <w:kern w:val="0"/>
      <w:sz w:val="28"/>
      <w:szCs w:val="20"/>
    </w:rPr>
  </w:style>
  <w:style w:type="paragraph" w:styleId="19">
    <w:name w:val="Body Text Indent"/>
    <w:basedOn w:val="1"/>
    <w:link w:val="129"/>
    <w:qFormat/>
    <w:uiPriority w:val="0"/>
    <w:pPr>
      <w:spacing w:line="320" w:lineRule="exact"/>
      <w:ind w:left="542" w:leftChars="258" w:firstLine="560" w:firstLineChars="200"/>
      <w:jc w:val="left"/>
    </w:pPr>
    <w:rPr>
      <w:sz w:val="28"/>
    </w:rPr>
  </w:style>
  <w:style w:type="paragraph" w:styleId="20">
    <w:name w:val="Block Text"/>
    <w:basedOn w:val="1"/>
    <w:qFormat/>
    <w:uiPriority w:val="0"/>
    <w:pPr>
      <w:adjustRightInd w:val="0"/>
      <w:snapToGrid w:val="0"/>
      <w:spacing w:line="320" w:lineRule="exact"/>
      <w:ind w:left="-105" w:leftChars="-50" w:right="-105" w:rightChars="-50"/>
      <w:jc w:val="center"/>
    </w:pPr>
    <w:rPr>
      <w:bCs/>
      <w:sz w:val="16"/>
    </w:rPr>
  </w:style>
  <w:style w:type="paragraph" w:styleId="21">
    <w:name w:val="toc 5"/>
    <w:basedOn w:val="1"/>
    <w:next w:val="1"/>
    <w:qFormat/>
    <w:uiPriority w:val="39"/>
    <w:pPr>
      <w:ind w:left="840"/>
      <w:jc w:val="left"/>
    </w:pPr>
    <w:rPr>
      <w:rFonts w:asciiTheme="minorHAnsi" w:hAnsiTheme="minorHAnsi" w:cstheme="minorHAnsi"/>
      <w:sz w:val="18"/>
      <w:szCs w:val="18"/>
    </w:rPr>
  </w:style>
  <w:style w:type="paragraph" w:styleId="22">
    <w:name w:val="toc 3"/>
    <w:basedOn w:val="1"/>
    <w:next w:val="1"/>
    <w:qFormat/>
    <w:uiPriority w:val="39"/>
    <w:pPr>
      <w:ind w:left="420"/>
      <w:jc w:val="left"/>
    </w:pPr>
    <w:rPr>
      <w:rFonts w:asciiTheme="minorHAnsi" w:hAnsiTheme="minorHAnsi" w:cstheme="minorHAnsi"/>
      <w:i/>
      <w:iCs/>
      <w:sz w:val="20"/>
      <w:szCs w:val="20"/>
    </w:rPr>
  </w:style>
  <w:style w:type="paragraph" w:styleId="23">
    <w:name w:val="Plain Text"/>
    <w:basedOn w:val="1"/>
    <w:link w:val="104"/>
    <w:qFormat/>
    <w:uiPriority w:val="0"/>
    <w:pPr>
      <w:autoSpaceDE w:val="0"/>
      <w:autoSpaceDN w:val="0"/>
      <w:adjustRightInd w:val="0"/>
      <w:jc w:val="left"/>
    </w:pPr>
    <w:rPr>
      <w:rFonts w:hint="eastAsia" w:hAnsi="Courier New" w:cs="Courier New"/>
      <w:kern w:val="0"/>
      <w:sz w:val="24"/>
      <w:szCs w:val="21"/>
    </w:rPr>
  </w:style>
  <w:style w:type="paragraph" w:styleId="24">
    <w:name w:val="toc 8"/>
    <w:basedOn w:val="1"/>
    <w:next w:val="1"/>
    <w:qFormat/>
    <w:uiPriority w:val="39"/>
    <w:pPr>
      <w:ind w:left="1470"/>
      <w:jc w:val="left"/>
    </w:pPr>
    <w:rPr>
      <w:rFonts w:asciiTheme="minorHAnsi" w:hAnsiTheme="minorHAnsi" w:cstheme="minorHAnsi"/>
      <w:sz w:val="18"/>
      <w:szCs w:val="18"/>
    </w:rPr>
  </w:style>
  <w:style w:type="paragraph" w:styleId="25">
    <w:name w:val="Date"/>
    <w:basedOn w:val="1"/>
    <w:next w:val="1"/>
    <w:link w:val="60"/>
    <w:qFormat/>
    <w:uiPriority w:val="0"/>
    <w:pPr>
      <w:ind w:left="100" w:leftChars="2500"/>
    </w:pPr>
  </w:style>
  <w:style w:type="paragraph" w:styleId="26">
    <w:name w:val="Body Text Indent 2"/>
    <w:basedOn w:val="1"/>
    <w:link w:val="130"/>
    <w:qFormat/>
    <w:uiPriority w:val="0"/>
    <w:pPr>
      <w:spacing w:line="320" w:lineRule="exact"/>
      <w:ind w:left="840" w:hanging="840" w:hangingChars="300"/>
    </w:pPr>
    <w:rPr>
      <w:sz w:val="28"/>
    </w:rPr>
  </w:style>
  <w:style w:type="paragraph" w:styleId="27">
    <w:name w:val="endnote text"/>
    <w:basedOn w:val="1"/>
    <w:link w:val="76"/>
    <w:qFormat/>
    <w:uiPriority w:val="0"/>
    <w:pPr>
      <w:snapToGrid w:val="0"/>
      <w:jc w:val="left"/>
    </w:pPr>
  </w:style>
  <w:style w:type="paragraph" w:styleId="28">
    <w:name w:val="Balloon Text"/>
    <w:basedOn w:val="1"/>
    <w:link w:val="68"/>
    <w:qFormat/>
    <w:uiPriority w:val="0"/>
    <w:rPr>
      <w:sz w:val="18"/>
      <w:szCs w:val="18"/>
    </w:rPr>
  </w:style>
  <w:style w:type="paragraph" w:styleId="29">
    <w:name w:val="footer"/>
    <w:basedOn w:val="1"/>
    <w:link w:val="61"/>
    <w:qFormat/>
    <w:uiPriority w:val="99"/>
    <w:pPr>
      <w:tabs>
        <w:tab w:val="center" w:pos="4153"/>
        <w:tab w:val="right" w:pos="8306"/>
      </w:tabs>
      <w:snapToGrid w:val="0"/>
      <w:jc w:val="left"/>
    </w:pPr>
    <w:rPr>
      <w:sz w:val="18"/>
      <w:szCs w:val="18"/>
    </w:rPr>
  </w:style>
  <w:style w:type="paragraph" w:styleId="30">
    <w:name w:val="header"/>
    <w:basedOn w:val="1"/>
    <w:link w:val="58"/>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spacing w:before="120" w:after="120"/>
      <w:jc w:val="left"/>
    </w:pPr>
    <w:rPr>
      <w:rFonts w:asciiTheme="minorHAnsi" w:hAnsiTheme="minorHAnsi" w:cstheme="minorHAnsi"/>
      <w:b/>
      <w:bCs/>
      <w:caps/>
      <w:sz w:val="20"/>
      <w:szCs w:val="20"/>
    </w:rPr>
  </w:style>
  <w:style w:type="paragraph" w:styleId="32">
    <w:name w:val="toc 4"/>
    <w:basedOn w:val="1"/>
    <w:next w:val="1"/>
    <w:qFormat/>
    <w:uiPriority w:val="39"/>
    <w:pPr>
      <w:ind w:left="630"/>
      <w:jc w:val="left"/>
    </w:pPr>
    <w:rPr>
      <w:rFonts w:asciiTheme="minorHAnsi" w:hAnsiTheme="minorHAnsi" w:cstheme="minorHAnsi"/>
      <w:sz w:val="18"/>
      <w:szCs w:val="18"/>
    </w:rPr>
  </w:style>
  <w:style w:type="paragraph" w:styleId="33">
    <w:name w:val="Subtitle"/>
    <w:basedOn w:val="1"/>
    <w:next w:val="1"/>
    <w:link w:val="173"/>
    <w:qFormat/>
    <w:uiPriority w:val="0"/>
    <w:pPr>
      <w:spacing w:before="240" w:after="60" w:line="312" w:lineRule="auto"/>
      <w:jc w:val="center"/>
      <w:outlineLvl w:val="1"/>
    </w:pPr>
    <w:rPr>
      <w:rFonts w:ascii="Cambria" w:hAnsi="Cambria"/>
      <w:b/>
      <w:bCs/>
      <w:kern w:val="28"/>
      <w:sz w:val="32"/>
      <w:szCs w:val="32"/>
    </w:rPr>
  </w:style>
  <w:style w:type="paragraph" w:styleId="34">
    <w:name w:val="footnote text"/>
    <w:basedOn w:val="1"/>
    <w:link w:val="77"/>
    <w:qFormat/>
    <w:uiPriority w:val="0"/>
    <w:pPr>
      <w:snapToGrid w:val="0"/>
      <w:jc w:val="left"/>
    </w:pPr>
    <w:rPr>
      <w:sz w:val="18"/>
      <w:szCs w:val="18"/>
    </w:rPr>
  </w:style>
  <w:style w:type="paragraph" w:styleId="35">
    <w:name w:val="toc 6"/>
    <w:basedOn w:val="1"/>
    <w:next w:val="1"/>
    <w:qFormat/>
    <w:uiPriority w:val="39"/>
    <w:pPr>
      <w:ind w:left="1050"/>
      <w:jc w:val="left"/>
    </w:pPr>
    <w:rPr>
      <w:rFonts w:asciiTheme="minorHAnsi" w:hAnsiTheme="minorHAnsi" w:cstheme="minorHAnsi"/>
      <w:sz w:val="18"/>
      <w:szCs w:val="18"/>
    </w:rPr>
  </w:style>
  <w:style w:type="paragraph" w:styleId="36">
    <w:name w:val="Body Text Indent 3"/>
    <w:basedOn w:val="1"/>
    <w:link w:val="131"/>
    <w:qFormat/>
    <w:uiPriority w:val="0"/>
    <w:pPr>
      <w:spacing w:line="320" w:lineRule="exact"/>
      <w:ind w:firstLine="560" w:firstLineChars="200"/>
    </w:pPr>
    <w:rPr>
      <w:sz w:val="28"/>
    </w:rPr>
  </w:style>
  <w:style w:type="paragraph" w:styleId="37">
    <w:name w:val="toc 2"/>
    <w:basedOn w:val="1"/>
    <w:next w:val="1"/>
    <w:qFormat/>
    <w:uiPriority w:val="39"/>
    <w:pPr>
      <w:ind w:left="210"/>
      <w:jc w:val="left"/>
    </w:pPr>
    <w:rPr>
      <w:rFonts w:asciiTheme="minorHAnsi" w:hAnsiTheme="minorHAnsi" w:cstheme="minorHAnsi"/>
      <w:smallCaps/>
      <w:sz w:val="20"/>
      <w:szCs w:val="20"/>
    </w:rPr>
  </w:style>
  <w:style w:type="paragraph" w:styleId="38">
    <w:name w:val="toc 9"/>
    <w:basedOn w:val="1"/>
    <w:next w:val="1"/>
    <w:qFormat/>
    <w:uiPriority w:val="39"/>
    <w:pPr>
      <w:ind w:left="1680"/>
      <w:jc w:val="left"/>
    </w:pPr>
    <w:rPr>
      <w:rFonts w:asciiTheme="minorHAnsi" w:hAnsiTheme="minorHAnsi" w:cstheme="minorHAnsi"/>
      <w:sz w:val="18"/>
      <w:szCs w:val="18"/>
    </w:rPr>
  </w:style>
  <w:style w:type="paragraph" w:styleId="39">
    <w:name w:val="Body Text 2"/>
    <w:basedOn w:val="1"/>
    <w:link w:val="106"/>
    <w:qFormat/>
    <w:uiPriority w:val="0"/>
    <w:pPr>
      <w:autoSpaceDE w:val="0"/>
      <w:autoSpaceDN w:val="0"/>
      <w:adjustRightInd w:val="0"/>
      <w:spacing w:after="120" w:line="480" w:lineRule="auto"/>
      <w:jc w:val="left"/>
    </w:pPr>
    <w:rPr>
      <w:rFonts w:hint="eastAsia" w:ascii="Century" w:hAnsi="Century" w:eastAsia="MS Mincho"/>
      <w:kern w:val="0"/>
      <w:sz w:val="24"/>
    </w:rPr>
  </w:style>
  <w:style w:type="paragraph" w:styleId="40">
    <w:name w:val="HTML Preformatted"/>
    <w:basedOn w:val="1"/>
    <w:link w:val="17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0" w:lineRule="exact"/>
      <w:jc w:val="left"/>
    </w:pPr>
    <w:rPr>
      <w:rFonts w:hAnsi="宋体"/>
      <w:kern w:val="0"/>
      <w:sz w:val="24"/>
    </w:rPr>
  </w:style>
  <w:style w:type="paragraph" w:styleId="41">
    <w:name w:val="Normal (Web)"/>
    <w:basedOn w:val="1"/>
    <w:qFormat/>
    <w:uiPriority w:val="0"/>
    <w:pPr>
      <w:widowControl/>
      <w:spacing w:before="100" w:beforeAutospacing="1" w:after="100" w:afterAutospacing="1"/>
      <w:jc w:val="left"/>
    </w:pPr>
    <w:rPr>
      <w:rFonts w:hAnsi="宋体"/>
      <w:kern w:val="0"/>
      <w:sz w:val="24"/>
    </w:rPr>
  </w:style>
  <w:style w:type="paragraph" w:styleId="42">
    <w:name w:val="Title"/>
    <w:basedOn w:val="1"/>
    <w:next w:val="1"/>
    <w:link w:val="59"/>
    <w:qFormat/>
    <w:uiPriority w:val="0"/>
    <w:pPr>
      <w:spacing w:before="240" w:after="60"/>
      <w:jc w:val="center"/>
      <w:outlineLvl w:val="0"/>
    </w:pPr>
    <w:rPr>
      <w:rFonts w:ascii="Cambria" w:hAnsi="Cambria"/>
      <w:b/>
      <w:bCs/>
      <w:sz w:val="32"/>
      <w:szCs w:val="32"/>
    </w:rPr>
  </w:style>
  <w:style w:type="paragraph" w:styleId="43">
    <w:name w:val="annotation subject"/>
    <w:basedOn w:val="17"/>
    <w:next w:val="17"/>
    <w:link w:val="73"/>
    <w:qFormat/>
    <w:uiPriority w:val="0"/>
    <w:rPr>
      <w:b/>
      <w:bCs/>
    </w:r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basedOn w:val="46"/>
    <w:qFormat/>
    <w:uiPriority w:val="0"/>
    <w:rPr>
      <w:b/>
      <w:bCs/>
    </w:rPr>
  </w:style>
  <w:style w:type="character" w:styleId="48">
    <w:name w:val="endnote reference"/>
    <w:qFormat/>
    <w:uiPriority w:val="0"/>
    <w:rPr>
      <w:vertAlign w:val="superscript"/>
    </w:rPr>
  </w:style>
  <w:style w:type="character" w:styleId="49">
    <w:name w:val="page number"/>
    <w:basedOn w:val="46"/>
    <w:qFormat/>
    <w:uiPriority w:val="0"/>
  </w:style>
  <w:style w:type="character" w:styleId="50">
    <w:name w:val="FollowedHyperlink"/>
    <w:basedOn w:val="46"/>
    <w:unhideWhenUsed/>
    <w:qFormat/>
    <w:uiPriority w:val="99"/>
    <w:rPr>
      <w:rFonts w:hint="default" w:ascii="Times New Roman" w:hAnsi="Times New Roman" w:eastAsia="Times New Roman"/>
      <w:sz w:val="24"/>
      <w:u w:val="single"/>
    </w:rPr>
  </w:style>
  <w:style w:type="character" w:styleId="51">
    <w:name w:val="Emphasis"/>
    <w:qFormat/>
    <w:uiPriority w:val="0"/>
    <w:rPr>
      <w:color w:val="CC0000"/>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styleId="54">
    <w:name w:val="footnote reference"/>
    <w:qFormat/>
    <w:uiPriority w:val="0"/>
    <w:rPr>
      <w:vertAlign w:val="superscript"/>
    </w:rPr>
  </w:style>
  <w:style w:type="character" w:customStyle="1" w:styleId="55">
    <w:name w:val="标题 1 Char"/>
    <w:link w:val="2"/>
    <w:qFormat/>
    <w:uiPriority w:val="9"/>
    <w:rPr>
      <w:b/>
      <w:bCs/>
      <w:kern w:val="44"/>
      <w:sz w:val="32"/>
      <w:szCs w:val="44"/>
    </w:rPr>
  </w:style>
  <w:style w:type="character" w:customStyle="1" w:styleId="56">
    <w:name w:val="标题 2 Char"/>
    <w:link w:val="3"/>
    <w:qFormat/>
    <w:uiPriority w:val="0"/>
    <w:rPr>
      <w:rFonts w:ascii="Arial" w:hAnsi="Arial" w:eastAsia="宋体"/>
      <w:b/>
      <w:bCs/>
      <w:kern w:val="2"/>
      <w:sz w:val="24"/>
      <w:szCs w:val="32"/>
      <w:lang w:val="en-US" w:eastAsia="zh-CN" w:bidi="ar-SA"/>
    </w:rPr>
  </w:style>
  <w:style w:type="character" w:customStyle="1" w:styleId="57">
    <w:name w:val="标题 3 Char"/>
    <w:link w:val="4"/>
    <w:qFormat/>
    <w:uiPriority w:val="0"/>
    <w:rPr>
      <w:b/>
      <w:bCs/>
      <w:kern w:val="2"/>
      <w:sz w:val="32"/>
      <w:szCs w:val="32"/>
    </w:rPr>
  </w:style>
  <w:style w:type="character" w:customStyle="1" w:styleId="58">
    <w:name w:val="页眉 Char"/>
    <w:link w:val="30"/>
    <w:qFormat/>
    <w:uiPriority w:val="0"/>
    <w:rPr>
      <w:kern w:val="2"/>
      <w:sz w:val="18"/>
      <w:szCs w:val="18"/>
    </w:rPr>
  </w:style>
  <w:style w:type="character" w:customStyle="1" w:styleId="59">
    <w:name w:val="标题 Char"/>
    <w:link w:val="42"/>
    <w:qFormat/>
    <w:uiPriority w:val="0"/>
    <w:rPr>
      <w:rFonts w:ascii="Cambria" w:hAnsi="Cambria" w:cs="Times New Roman"/>
      <w:b/>
      <w:bCs/>
      <w:kern w:val="2"/>
      <w:sz w:val="32"/>
      <w:szCs w:val="32"/>
    </w:rPr>
  </w:style>
  <w:style w:type="character" w:customStyle="1" w:styleId="60">
    <w:name w:val="日期 Char"/>
    <w:link w:val="25"/>
    <w:qFormat/>
    <w:uiPriority w:val="0"/>
    <w:rPr>
      <w:kern w:val="2"/>
      <w:sz w:val="21"/>
      <w:szCs w:val="24"/>
    </w:rPr>
  </w:style>
  <w:style w:type="character" w:customStyle="1" w:styleId="61">
    <w:name w:val="页脚 Char1"/>
    <w:link w:val="29"/>
    <w:qFormat/>
    <w:uiPriority w:val="99"/>
    <w:rPr>
      <w:kern w:val="2"/>
      <w:sz w:val="18"/>
      <w:szCs w:val="18"/>
    </w:rPr>
  </w:style>
  <w:style w:type="paragraph" w:customStyle="1" w:styleId="62">
    <w:name w:val="列出段落1"/>
    <w:basedOn w:val="1"/>
    <w:qFormat/>
    <w:uiPriority w:val="0"/>
    <w:pPr>
      <w:ind w:firstLine="420" w:firstLineChars="200"/>
    </w:pPr>
    <w:rPr>
      <w:rFonts w:ascii="Calibri" w:hAnsi="Calibri"/>
      <w:szCs w:val="22"/>
    </w:rPr>
  </w:style>
  <w:style w:type="paragraph" w:customStyle="1" w:styleId="63">
    <w:name w:val="Char"/>
    <w:basedOn w:val="1"/>
    <w:qFormat/>
    <w:uiPriority w:val="0"/>
    <w:pPr>
      <w:tabs>
        <w:tab w:val="left" w:pos="4665"/>
        <w:tab w:val="left" w:pos="8970"/>
      </w:tabs>
      <w:ind w:firstLine="400"/>
    </w:pPr>
    <w:rPr>
      <w:rFonts w:ascii="Tahoma" w:hAnsi="Tahoma" w:cs="Tahoma"/>
      <w:sz w:val="24"/>
    </w:rPr>
  </w:style>
  <w:style w:type="paragraph" w:customStyle="1" w:styleId="64">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65">
    <w:name w:val="Char Char Char Char Char Char Char Char Char Char"/>
    <w:basedOn w:val="1"/>
    <w:qFormat/>
    <w:uiPriority w:val="0"/>
    <w:pPr>
      <w:spacing w:line="240" w:lineRule="exact"/>
      <w:ind w:firstLine="200" w:firstLineChars="200"/>
    </w:pPr>
    <w:rPr>
      <w:rFonts w:cs="宋体"/>
      <w:color w:val="000000"/>
      <w:sz w:val="24"/>
      <w:lang w:val="zh-CN"/>
    </w:rPr>
  </w:style>
  <w:style w:type="paragraph" w:customStyle="1" w:styleId="66">
    <w:name w:val="Char Char Char Char 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paragraph" w:customStyle="1" w:styleId="67">
    <w:name w:val="段落正文"/>
    <w:basedOn w:val="1"/>
    <w:qFormat/>
    <w:uiPriority w:val="0"/>
    <w:pPr>
      <w:spacing w:line="300" w:lineRule="auto"/>
      <w:ind w:firstLine="482" w:firstLineChars="200"/>
    </w:pPr>
    <w:rPr>
      <w:sz w:val="24"/>
    </w:rPr>
  </w:style>
  <w:style w:type="character" w:customStyle="1" w:styleId="68">
    <w:name w:val="批注框文本 Char"/>
    <w:link w:val="28"/>
    <w:qFormat/>
    <w:uiPriority w:val="0"/>
    <w:rPr>
      <w:kern w:val="2"/>
      <w:sz w:val="18"/>
      <w:szCs w:val="18"/>
    </w:rPr>
  </w:style>
  <w:style w:type="character" w:customStyle="1" w:styleId="69">
    <w:name w:val="文档结构图 Char"/>
    <w:link w:val="15"/>
    <w:qFormat/>
    <w:uiPriority w:val="0"/>
    <w:rPr>
      <w:kern w:val="2"/>
      <w:sz w:val="21"/>
      <w:szCs w:val="24"/>
      <w:shd w:val="clear" w:color="auto" w:fill="000080"/>
    </w:rPr>
  </w:style>
  <w:style w:type="paragraph" w:customStyle="1" w:styleId="70">
    <w:name w:val="列表段落1"/>
    <w:basedOn w:val="1"/>
    <w:link w:val="71"/>
    <w:qFormat/>
    <w:uiPriority w:val="34"/>
    <w:pPr>
      <w:ind w:firstLine="420" w:firstLineChars="200"/>
    </w:pPr>
  </w:style>
  <w:style w:type="character" w:customStyle="1" w:styleId="71">
    <w:name w:val="列表段落 字符"/>
    <w:link w:val="70"/>
    <w:qFormat/>
    <w:uiPriority w:val="34"/>
    <w:rPr>
      <w:kern w:val="2"/>
      <w:sz w:val="21"/>
      <w:szCs w:val="24"/>
    </w:rPr>
  </w:style>
  <w:style w:type="character" w:customStyle="1" w:styleId="72">
    <w:name w:val="批注文字 Char"/>
    <w:link w:val="17"/>
    <w:qFormat/>
    <w:uiPriority w:val="0"/>
    <w:rPr>
      <w:kern w:val="2"/>
      <w:sz w:val="21"/>
      <w:szCs w:val="24"/>
    </w:rPr>
  </w:style>
  <w:style w:type="character" w:customStyle="1" w:styleId="73">
    <w:name w:val="批注主题 Char"/>
    <w:link w:val="43"/>
    <w:qFormat/>
    <w:uiPriority w:val="0"/>
    <w:rPr>
      <w:b/>
      <w:bCs/>
      <w:kern w:val="2"/>
      <w:sz w:val="21"/>
      <w:szCs w:val="24"/>
    </w:rPr>
  </w:style>
  <w:style w:type="paragraph" w:customStyle="1" w:styleId="74">
    <w:name w:val="Default"/>
    <w:basedOn w:val="1"/>
    <w:qFormat/>
    <w:uiPriority w:val="0"/>
    <w:pPr>
      <w:autoSpaceDE w:val="0"/>
      <w:autoSpaceDN w:val="0"/>
      <w:adjustRightInd w:val="0"/>
      <w:jc w:val="left"/>
    </w:pPr>
    <w:rPr>
      <w:rFonts w:cs="宋体"/>
      <w:color w:val="000000"/>
      <w:kern w:val="0"/>
      <w:sz w:val="24"/>
    </w:rPr>
  </w:style>
  <w:style w:type="paragraph" w:customStyle="1" w:styleId="75">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76">
    <w:name w:val="尾注文本 Char"/>
    <w:link w:val="27"/>
    <w:qFormat/>
    <w:uiPriority w:val="0"/>
    <w:rPr>
      <w:kern w:val="2"/>
      <w:sz w:val="21"/>
      <w:szCs w:val="24"/>
    </w:rPr>
  </w:style>
  <w:style w:type="character" w:customStyle="1" w:styleId="77">
    <w:name w:val="脚注文本 Char"/>
    <w:link w:val="34"/>
    <w:qFormat/>
    <w:uiPriority w:val="0"/>
    <w:rPr>
      <w:kern w:val="2"/>
      <w:sz w:val="18"/>
      <w:szCs w:val="18"/>
    </w:rPr>
  </w:style>
  <w:style w:type="paragraph" w:customStyle="1" w:styleId="78">
    <w:name w:val="_Style 2"/>
    <w:basedOn w:val="1"/>
    <w:qFormat/>
    <w:uiPriority w:val="0"/>
    <w:pPr>
      <w:ind w:firstLine="420" w:firstLineChars="200"/>
    </w:pPr>
  </w:style>
  <w:style w:type="character" w:customStyle="1" w:styleId="79">
    <w:name w:val="标题 Char1"/>
    <w:qFormat/>
    <w:uiPriority w:val="10"/>
    <w:rPr>
      <w:rFonts w:ascii="Cambria" w:hAnsi="Cambria" w:cs="Times New Roman"/>
      <w:b/>
      <w:bCs/>
      <w:kern w:val="2"/>
      <w:sz w:val="32"/>
      <w:szCs w:val="32"/>
    </w:rPr>
  </w:style>
  <w:style w:type="paragraph" w:customStyle="1" w:styleId="80">
    <w:name w:val="正文11111"/>
    <w:qFormat/>
    <w:uiPriority w:val="0"/>
    <w:pPr>
      <w:jc w:val="both"/>
    </w:pPr>
    <w:rPr>
      <w:rFonts w:ascii="Times New Roman" w:hAnsi="Times New Roman" w:eastAsia="宋体" w:cs="Times New Roman"/>
      <w:kern w:val="2"/>
      <w:sz w:val="21"/>
      <w:szCs w:val="21"/>
      <w:lang w:val="en-US" w:eastAsia="zh-CN" w:bidi="ar-SA"/>
    </w:rPr>
  </w:style>
  <w:style w:type="character" w:customStyle="1" w:styleId="81">
    <w:name w:val="页眉 Char1"/>
    <w:basedOn w:val="46"/>
    <w:semiHidden/>
    <w:qFormat/>
    <w:uiPriority w:val="99"/>
    <w:rPr>
      <w:rFonts w:ascii="Times New Roman" w:hAnsi="Times New Roman" w:eastAsia="宋体" w:cs="Times New Roman"/>
      <w:sz w:val="18"/>
      <w:szCs w:val="18"/>
    </w:rPr>
  </w:style>
  <w:style w:type="character" w:customStyle="1" w:styleId="82">
    <w:name w:val="apple-converted-space"/>
    <w:basedOn w:val="46"/>
    <w:qFormat/>
    <w:uiPriority w:val="0"/>
  </w:style>
  <w:style w:type="character" w:customStyle="1" w:styleId="83">
    <w:name w:val="表格 Char"/>
    <w:link w:val="84"/>
    <w:qFormat/>
    <w:uiPriority w:val="0"/>
    <w:rPr>
      <w:kern w:val="2"/>
      <w:sz w:val="21"/>
      <w:szCs w:val="24"/>
    </w:rPr>
  </w:style>
  <w:style w:type="paragraph" w:customStyle="1" w:styleId="84">
    <w:name w:val="表格"/>
    <w:basedOn w:val="1"/>
    <w:link w:val="83"/>
    <w:qFormat/>
    <w:uiPriority w:val="0"/>
    <w:pPr>
      <w:jc w:val="center"/>
    </w:pPr>
  </w:style>
  <w:style w:type="paragraph" w:customStyle="1" w:styleId="85">
    <w:name w:val="条文"/>
    <w:basedOn w:val="1"/>
    <w:qFormat/>
    <w:uiPriority w:val="0"/>
    <w:pPr>
      <w:adjustRightInd w:val="0"/>
      <w:spacing w:line="300" w:lineRule="auto"/>
      <w:ind w:firstLine="200" w:firstLineChars="200"/>
      <w:outlineLvl w:val="2"/>
    </w:pPr>
    <w:rPr>
      <w:sz w:val="24"/>
    </w:rPr>
  </w:style>
  <w:style w:type="paragraph" w:customStyle="1" w:styleId="86">
    <w:name w:val="Table Paragraph"/>
    <w:basedOn w:val="1"/>
    <w:qFormat/>
    <w:uiPriority w:val="1"/>
    <w:pPr>
      <w:autoSpaceDE w:val="0"/>
      <w:autoSpaceDN w:val="0"/>
      <w:adjustRightInd w:val="0"/>
      <w:jc w:val="left"/>
    </w:pPr>
    <w:rPr>
      <w:kern w:val="0"/>
      <w:sz w:val="24"/>
    </w:rPr>
  </w:style>
  <w:style w:type="paragraph" w:customStyle="1" w:styleId="87">
    <w:name w:val="a章"/>
    <w:qFormat/>
    <w:uiPriority w:val="0"/>
    <w:pPr>
      <w:numPr>
        <w:ilvl w:val="0"/>
        <w:numId w:val="1"/>
      </w:numPr>
      <w:spacing w:line="400" w:lineRule="exact"/>
    </w:pPr>
    <w:rPr>
      <w:rFonts w:ascii="宋体" w:hAnsi="宋体" w:eastAsia="宋体" w:cs="Times New Roman"/>
      <w:kern w:val="2"/>
      <w:sz w:val="21"/>
      <w:szCs w:val="21"/>
      <w:lang w:val="en-US" w:eastAsia="zh-CN" w:bidi="ar-SA"/>
    </w:rPr>
  </w:style>
  <w:style w:type="paragraph" w:customStyle="1" w:styleId="88">
    <w:name w:val="c节"/>
    <w:basedOn w:val="87"/>
    <w:next w:val="1"/>
    <w:qFormat/>
    <w:uiPriority w:val="0"/>
    <w:pPr>
      <w:numPr>
        <w:ilvl w:val="1"/>
      </w:numPr>
    </w:pPr>
  </w:style>
  <w:style w:type="paragraph" w:customStyle="1" w:styleId="89">
    <w:name w:val="d点"/>
    <w:basedOn w:val="87"/>
    <w:next w:val="1"/>
    <w:qFormat/>
    <w:uiPriority w:val="0"/>
    <w:pPr>
      <w:numPr>
        <w:ilvl w:val="2"/>
      </w:numPr>
      <w:spacing w:line="360" w:lineRule="exact"/>
      <w:ind w:left="1050" w:leftChars="200" w:hanging="630" w:hangingChars="300"/>
      <w:jc w:val="both"/>
    </w:pPr>
  </w:style>
  <w:style w:type="paragraph" w:customStyle="1" w:styleId="90">
    <w:name w:val="a控制项"/>
    <w:qFormat/>
    <w:uiPriority w:val="0"/>
    <w:pPr>
      <w:spacing w:line="400" w:lineRule="exact"/>
    </w:pPr>
    <w:rPr>
      <w:rFonts w:ascii="宋体" w:hAnsi="宋体" w:eastAsia="宋体" w:cs="Times New Roman"/>
      <w:b/>
      <w:kern w:val="2"/>
      <w:sz w:val="21"/>
      <w:szCs w:val="21"/>
      <w:lang w:val="en-US" w:eastAsia="zh-CN" w:bidi="ar-SA"/>
    </w:rPr>
  </w:style>
  <w:style w:type="paragraph" w:customStyle="1" w:styleId="91">
    <w:name w:val="列表段落11"/>
    <w:basedOn w:val="1"/>
    <w:qFormat/>
    <w:uiPriority w:val="34"/>
    <w:pPr>
      <w:ind w:firstLine="420" w:firstLineChars="200"/>
    </w:pPr>
  </w:style>
  <w:style w:type="paragraph" w:customStyle="1" w:styleId="92">
    <w:name w:val="e正文-2"/>
    <w:basedOn w:val="88"/>
    <w:qFormat/>
    <w:uiPriority w:val="0"/>
    <w:pPr>
      <w:numPr>
        <w:ilvl w:val="0"/>
        <w:numId w:val="0"/>
      </w:numPr>
      <w:ind w:left="500" w:leftChars="400" w:hanging="100" w:hangingChars="100"/>
    </w:pPr>
  </w:style>
  <w:style w:type="paragraph" w:customStyle="1" w:styleId="93">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94">
    <w:name w:val="正文--非编号"/>
    <w:basedOn w:val="1"/>
    <w:qFormat/>
    <w:uiPriority w:val="0"/>
    <w:pPr>
      <w:spacing w:line="340" w:lineRule="exact"/>
      <w:ind w:firstLine="840" w:firstLineChars="400"/>
    </w:pPr>
    <w:rPr>
      <w:rFonts w:hAnsi="宋体"/>
      <w:bCs/>
      <w:color w:val="FF0000"/>
      <w:szCs w:val="21"/>
    </w:rPr>
  </w:style>
  <w:style w:type="paragraph" w:customStyle="1" w:styleId="95">
    <w:name w:val="TOC 标题11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96">
    <w:name w:val="正文11"/>
    <w:qFormat/>
    <w:uiPriority w:val="0"/>
    <w:pPr>
      <w:jc w:val="both"/>
    </w:pPr>
    <w:rPr>
      <w:rFonts w:ascii="Times New Roman" w:hAnsi="Times New Roman" w:eastAsia="宋体" w:cs="Times New Roman"/>
      <w:kern w:val="2"/>
      <w:sz w:val="21"/>
      <w:szCs w:val="21"/>
      <w:lang w:val="en-US" w:eastAsia="zh-CN" w:bidi="ar-SA"/>
    </w:rPr>
  </w:style>
  <w:style w:type="paragraph" w:customStyle="1" w:styleId="97">
    <w:name w:val="正文2"/>
    <w:qFormat/>
    <w:uiPriority w:val="0"/>
    <w:pPr>
      <w:jc w:val="both"/>
    </w:pPr>
    <w:rPr>
      <w:rFonts w:ascii="Times New Roman" w:hAnsi="Times New Roman" w:eastAsia="宋体" w:cs="Times New Roman"/>
      <w:kern w:val="2"/>
      <w:sz w:val="21"/>
      <w:szCs w:val="21"/>
      <w:lang w:val="en-US" w:eastAsia="zh-CN" w:bidi="ar-SA"/>
    </w:rPr>
  </w:style>
  <w:style w:type="character" w:customStyle="1" w:styleId="98">
    <w:name w:val="占位符文本1"/>
    <w:basedOn w:val="46"/>
    <w:semiHidden/>
    <w:qFormat/>
    <w:uiPriority w:val="99"/>
    <w:rPr>
      <w:color w:val="808080"/>
    </w:rPr>
  </w:style>
  <w:style w:type="paragraph" w:customStyle="1" w:styleId="99">
    <w:name w:val="正文111"/>
    <w:qFormat/>
    <w:uiPriority w:val="0"/>
    <w:pPr>
      <w:jc w:val="both"/>
    </w:pPr>
    <w:rPr>
      <w:rFonts w:ascii="Times New Roman" w:hAnsi="Times New Roman" w:eastAsia="宋体" w:cs="Times New Roman"/>
      <w:kern w:val="2"/>
      <w:sz w:val="21"/>
      <w:szCs w:val="21"/>
      <w:lang w:val="en-US" w:eastAsia="zh-CN" w:bidi="ar-SA"/>
    </w:rPr>
  </w:style>
  <w:style w:type="paragraph" w:customStyle="1" w:styleId="100">
    <w:name w:val="TOC 标题1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101">
    <w:name w:val="正文1111"/>
    <w:qFormat/>
    <w:uiPriority w:val="0"/>
    <w:pPr>
      <w:jc w:val="both"/>
    </w:pPr>
    <w:rPr>
      <w:rFonts w:ascii="Times New Roman" w:hAnsi="Times New Roman" w:eastAsia="宋体" w:cs="Times New Roman"/>
      <w:kern w:val="2"/>
      <w:sz w:val="21"/>
      <w:szCs w:val="21"/>
      <w:lang w:val="en-US" w:eastAsia="zh-CN" w:bidi="ar-SA"/>
    </w:rPr>
  </w:style>
  <w:style w:type="paragraph" w:customStyle="1" w:styleId="102">
    <w:name w:val="修订11"/>
    <w:hidden/>
    <w:semiHidden/>
    <w:qFormat/>
    <w:uiPriority w:val="99"/>
    <w:rPr>
      <w:rFonts w:ascii="Times New Roman" w:hAnsi="Times New Roman" w:eastAsia="宋体" w:cs="Times New Roman"/>
      <w:kern w:val="2"/>
      <w:sz w:val="21"/>
      <w:szCs w:val="24"/>
      <w:lang w:val="en-US" w:eastAsia="zh-CN" w:bidi="ar-SA"/>
    </w:rPr>
  </w:style>
  <w:style w:type="character" w:customStyle="1" w:styleId="103">
    <w:name w:val="正文文本 Char"/>
    <w:basedOn w:val="46"/>
    <w:link w:val="18"/>
    <w:qFormat/>
    <w:uiPriority w:val="0"/>
    <w:rPr>
      <w:rFonts w:ascii="宋体"/>
      <w:sz w:val="28"/>
    </w:rPr>
  </w:style>
  <w:style w:type="character" w:customStyle="1" w:styleId="104">
    <w:name w:val="纯文本 Char"/>
    <w:basedOn w:val="46"/>
    <w:link w:val="23"/>
    <w:qFormat/>
    <w:uiPriority w:val="0"/>
    <w:rPr>
      <w:rFonts w:ascii="宋体" w:hAnsi="Courier New" w:cs="Courier New"/>
      <w:sz w:val="24"/>
      <w:szCs w:val="21"/>
    </w:rPr>
  </w:style>
  <w:style w:type="character" w:customStyle="1" w:styleId="105">
    <w:name w:val="页脚 Char"/>
    <w:basedOn w:val="46"/>
    <w:qFormat/>
    <w:uiPriority w:val="99"/>
    <w:rPr>
      <w:rFonts w:ascii="Times New Roman" w:hAnsi="Times New Roman" w:eastAsia="等线" w:cs="Times New Roman"/>
      <w:kern w:val="0"/>
      <w:sz w:val="18"/>
      <w:szCs w:val="18"/>
    </w:rPr>
  </w:style>
  <w:style w:type="character" w:customStyle="1" w:styleId="106">
    <w:name w:val="正文文本 2 Char"/>
    <w:basedOn w:val="46"/>
    <w:link w:val="39"/>
    <w:qFormat/>
    <w:uiPriority w:val="0"/>
    <w:rPr>
      <w:rFonts w:ascii="Century" w:hAnsi="Century" w:eastAsia="MS Mincho"/>
      <w:sz w:val="24"/>
      <w:szCs w:val="24"/>
    </w:rPr>
  </w:style>
  <w:style w:type="paragraph" w:customStyle="1" w:styleId="107">
    <w:name w:val="无间隔1"/>
    <w:unhideWhenUsed/>
    <w:qFormat/>
    <w:uiPriority w:val="1"/>
    <w:pPr>
      <w:widowControl w:val="0"/>
      <w:autoSpaceDE w:val="0"/>
      <w:autoSpaceDN w:val="0"/>
      <w:adjustRightInd w:val="0"/>
    </w:pPr>
    <w:rPr>
      <w:rFonts w:hint="eastAsia" w:ascii="Times New Roman" w:hAnsi="Times New Roman" w:eastAsia="等线" w:cs="Times New Roman"/>
      <w:sz w:val="24"/>
      <w:lang w:val="en-US" w:eastAsia="zh-CN" w:bidi="ar-SA"/>
    </w:rPr>
  </w:style>
  <w:style w:type="paragraph" w:customStyle="1" w:styleId="108">
    <w:name w:val="样式"/>
    <w:basedOn w:val="1"/>
    <w:next w:val="70"/>
    <w:unhideWhenUsed/>
    <w:qFormat/>
    <w:uiPriority w:val="99"/>
    <w:pPr>
      <w:ind w:firstLine="420"/>
    </w:pPr>
    <w:rPr>
      <w:rFonts w:hint="eastAsia"/>
      <w:szCs w:val="20"/>
    </w:rPr>
  </w:style>
  <w:style w:type="character" w:customStyle="1" w:styleId="109">
    <w:name w:val="批注框文本 字符2"/>
    <w:basedOn w:val="46"/>
    <w:unhideWhenUsed/>
    <w:qFormat/>
    <w:uiPriority w:val="99"/>
    <w:rPr>
      <w:rFonts w:hint="default" w:ascii="Times New Roman" w:hAnsi="Times New Roman" w:eastAsia="等线"/>
      <w:sz w:val="18"/>
    </w:rPr>
  </w:style>
  <w:style w:type="character" w:customStyle="1" w:styleId="110">
    <w:name w:val="批注文字 字符1"/>
    <w:basedOn w:val="46"/>
    <w:unhideWhenUsed/>
    <w:qFormat/>
    <w:uiPriority w:val="99"/>
    <w:rPr>
      <w:rFonts w:hint="default" w:ascii="Times New Roman" w:hAnsi="Times New Roman" w:eastAsia="Times New Roman"/>
      <w:sz w:val="24"/>
    </w:rPr>
  </w:style>
  <w:style w:type="character" w:customStyle="1" w:styleId="111">
    <w:name w:val="页脚 字符2"/>
    <w:basedOn w:val="46"/>
    <w:unhideWhenUsed/>
    <w:qFormat/>
    <w:uiPriority w:val="99"/>
    <w:rPr>
      <w:rFonts w:hint="default" w:ascii="Times New Roman" w:hAnsi="Times New Roman" w:eastAsia="等线"/>
      <w:sz w:val="18"/>
    </w:rPr>
  </w:style>
  <w:style w:type="character" w:customStyle="1" w:styleId="112">
    <w:name w:val="正文文本 字符1"/>
    <w:basedOn w:val="46"/>
    <w:unhideWhenUsed/>
    <w:qFormat/>
    <w:uiPriority w:val="99"/>
    <w:rPr>
      <w:rFonts w:hint="default" w:ascii="Times New Roman" w:hAnsi="Times New Roman" w:eastAsia="Times New Roman"/>
      <w:sz w:val="24"/>
    </w:rPr>
  </w:style>
  <w:style w:type="character" w:customStyle="1" w:styleId="113">
    <w:name w:val="页眉 字符2"/>
    <w:basedOn w:val="46"/>
    <w:unhideWhenUsed/>
    <w:qFormat/>
    <w:uiPriority w:val="99"/>
    <w:rPr>
      <w:rFonts w:hint="default" w:ascii="Times New Roman" w:hAnsi="Times New Roman" w:eastAsia="等线"/>
      <w:sz w:val="18"/>
    </w:rPr>
  </w:style>
  <w:style w:type="character" w:customStyle="1" w:styleId="114">
    <w:name w:val="批注主题 字符2"/>
    <w:basedOn w:val="72"/>
    <w:unhideWhenUsed/>
    <w:qFormat/>
    <w:uiPriority w:val="99"/>
    <w:rPr>
      <w:rFonts w:hint="default" w:ascii="Times New Roman" w:hAnsi="Times New Roman" w:eastAsia="等线" w:cs="Times New Roman"/>
      <w:b/>
      <w:kern w:val="0"/>
      <w:sz w:val="24"/>
      <w:szCs w:val="20"/>
    </w:rPr>
  </w:style>
  <w:style w:type="character" w:customStyle="1" w:styleId="115">
    <w:name w:val="日期 字符2"/>
    <w:basedOn w:val="46"/>
    <w:unhideWhenUsed/>
    <w:qFormat/>
    <w:uiPriority w:val="99"/>
    <w:rPr>
      <w:rFonts w:hint="default" w:ascii="Times New Roman" w:hAnsi="Times New Roman" w:eastAsia="等线"/>
      <w:sz w:val="24"/>
    </w:rPr>
  </w:style>
  <w:style w:type="character" w:customStyle="1" w:styleId="116">
    <w:name w:val="批注框文本 字符1"/>
    <w:basedOn w:val="46"/>
    <w:unhideWhenUsed/>
    <w:qFormat/>
    <w:uiPriority w:val="99"/>
    <w:rPr>
      <w:rFonts w:hint="default" w:ascii="Times New Roman" w:hAnsi="Times New Roman" w:eastAsia="Times New Roman"/>
      <w:sz w:val="18"/>
    </w:rPr>
  </w:style>
  <w:style w:type="character" w:customStyle="1" w:styleId="117">
    <w:name w:val="批注主题 字符1"/>
    <w:basedOn w:val="72"/>
    <w:unhideWhenUsed/>
    <w:qFormat/>
    <w:uiPriority w:val="99"/>
    <w:rPr>
      <w:rFonts w:hint="default" w:ascii="Times New Roman" w:hAnsi="Times New Roman" w:eastAsia="Times New Roman" w:cs="Times New Roman"/>
      <w:b/>
      <w:kern w:val="0"/>
      <w:sz w:val="24"/>
      <w:szCs w:val="20"/>
    </w:rPr>
  </w:style>
  <w:style w:type="character" w:customStyle="1" w:styleId="118">
    <w:name w:val="批注文字 字符2"/>
    <w:basedOn w:val="46"/>
    <w:unhideWhenUsed/>
    <w:qFormat/>
    <w:uiPriority w:val="99"/>
    <w:rPr>
      <w:rFonts w:hint="default" w:ascii="Times New Roman" w:hAnsi="Times New Roman" w:eastAsia="等线"/>
      <w:sz w:val="24"/>
    </w:rPr>
  </w:style>
  <w:style w:type="character" w:customStyle="1" w:styleId="119">
    <w:name w:val="正文文本 字符2"/>
    <w:basedOn w:val="46"/>
    <w:unhideWhenUsed/>
    <w:qFormat/>
    <w:uiPriority w:val="99"/>
    <w:rPr>
      <w:rFonts w:hint="default" w:ascii="Times New Roman" w:hAnsi="Times New Roman" w:eastAsia="等线"/>
      <w:sz w:val="24"/>
    </w:rPr>
  </w:style>
  <w:style w:type="character" w:customStyle="1" w:styleId="120">
    <w:name w:val="页眉 字符1"/>
    <w:basedOn w:val="46"/>
    <w:unhideWhenUsed/>
    <w:qFormat/>
    <w:uiPriority w:val="99"/>
    <w:rPr>
      <w:rFonts w:hint="default" w:ascii="Times New Roman" w:hAnsi="Times New Roman" w:eastAsia="Times New Roman"/>
      <w:sz w:val="18"/>
    </w:rPr>
  </w:style>
  <w:style w:type="character" w:customStyle="1" w:styleId="121">
    <w:name w:val="页脚 字符1"/>
    <w:basedOn w:val="46"/>
    <w:unhideWhenUsed/>
    <w:qFormat/>
    <w:uiPriority w:val="99"/>
    <w:rPr>
      <w:rFonts w:hint="default" w:ascii="Times New Roman" w:hAnsi="Times New Roman" w:eastAsia="Times New Roman"/>
      <w:sz w:val="18"/>
    </w:rPr>
  </w:style>
  <w:style w:type="character" w:customStyle="1" w:styleId="122">
    <w:name w:val="日期 字符1"/>
    <w:basedOn w:val="46"/>
    <w:unhideWhenUsed/>
    <w:qFormat/>
    <w:uiPriority w:val="99"/>
    <w:rPr>
      <w:rFonts w:hint="default" w:ascii="Times New Roman" w:hAnsi="Times New Roman" w:eastAsia="Times New Roman"/>
      <w:sz w:val="24"/>
    </w:rPr>
  </w:style>
  <w:style w:type="character" w:customStyle="1" w:styleId="123">
    <w:name w:val="标题 4 Char"/>
    <w:basedOn w:val="46"/>
    <w:link w:val="5"/>
    <w:qFormat/>
    <w:uiPriority w:val="9"/>
    <w:rPr>
      <w:b/>
      <w:bCs/>
      <w:kern w:val="2"/>
      <w:sz w:val="21"/>
      <w:szCs w:val="24"/>
    </w:rPr>
  </w:style>
  <w:style w:type="character" w:customStyle="1" w:styleId="124">
    <w:name w:val="标题 5 Char"/>
    <w:basedOn w:val="46"/>
    <w:link w:val="6"/>
    <w:qFormat/>
    <w:uiPriority w:val="0"/>
    <w:rPr>
      <w:b/>
      <w:bCs/>
      <w:kern w:val="2"/>
      <w:sz w:val="44"/>
      <w:szCs w:val="24"/>
    </w:rPr>
  </w:style>
  <w:style w:type="character" w:customStyle="1" w:styleId="125">
    <w:name w:val="标题 6 Char"/>
    <w:basedOn w:val="46"/>
    <w:link w:val="7"/>
    <w:qFormat/>
    <w:uiPriority w:val="0"/>
    <w:rPr>
      <w:bCs/>
      <w:i/>
      <w:iCs/>
      <w:kern w:val="2"/>
      <w:sz w:val="16"/>
      <w:szCs w:val="24"/>
    </w:rPr>
  </w:style>
  <w:style w:type="character" w:customStyle="1" w:styleId="126">
    <w:name w:val="标题 7 Char"/>
    <w:basedOn w:val="46"/>
    <w:link w:val="8"/>
    <w:qFormat/>
    <w:uiPriority w:val="0"/>
    <w:rPr>
      <w:bCs/>
      <w:i/>
      <w:iCs/>
      <w:kern w:val="2"/>
      <w:sz w:val="16"/>
      <w:szCs w:val="24"/>
    </w:rPr>
  </w:style>
  <w:style w:type="character" w:customStyle="1" w:styleId="127">
    <w:name w:val="标题 8 Char"/>
    <w:basedOn w:val="46"/>
    <w:link w:val="9"/>
    <w:qFormat/>
    <w:uiPriority w:val="0"/>
    <w:rPr>
      <w:rFonts w:eastAsia="黑体"/>
      <w:b/>
      <w:bCs/>
      <w:kern w:val="2"/>
      <w:sz w:val="18"/>
      <w:szCs w:val="24"/>
    </w:rPr>
  </w:style>
  <w:style w:type="character" w:customStyle="1" w:styleId="128">
    <w:name w:val="标题 9 Char"/>
    <w:basedOn w:val="46"/>
    <w:link w:val="10"/>
    <w:qFormat/>
    <w:uiPriority w:val="0"/>
    <w:rPr>
      <w:rFonts w:ascii="Cambria" w:hAnsi="Cambria"/>
      <w:kern w:val="2"/>
      <w:sz w:val="21"/>
      <w:szCs w:val="21"/>
    </w:rPr>
  </w:style>
  <w:style w:type="character" w:customStyle="1" w:styleId="129">
    <w:name w:val="正文文本缩进 Char"/>
    <w:basedOn w:val="46"/>
    <w:link w:val="19"/>
    <w:qFormat/>
    <w:uiPriority w:val="0"/>
    <w:rPr>
      <w:kern w:val="2"/>
      <w:sz w:val="28"/>
      <w:szCs w:val="24"/>
    </w:rPr>
  </w:style>
  <w:style w:type="character" w:customStyle="1" w:styleId="130">
    <w:name w:val="正文文本缩进 2 Char"/>
    <w:basedOn w:val="46"/>
    <w:link w:val="26"/>
    <w:qFormat/>
    <w:uiPriority w:val="0"/>
    <w:rPr>
      <w:kern w:val="2"/>
      <w:sz w:val="28"/>
      <w:szCs w:val="24"/>
    </w:rPr>
  </w:style>
  <w:style w:type="character" w:customStyle="1" w:styleId="131">
    <w:name w:val="正文文本缩进 3 Char"/>
    <w:basedOn w:val="46"/>
    <w:link w:val="36"/>
    <w:qFormat/>
    <w:uiPriority w:val="0"/>
    <w:rPr>
      <w:kern w:val="2"/>
      <w:sz w:val="28"/>
      <w:szCs w:val="24"/>
    </w:rPr>
  </w:style>
  <w:style w:type="paragraph" w:customStyle="1" w:styleId="132">
    <w:name w:val="xl27"/>
    <w:basedOn w:val="1"/>
    <w:qFormat/>
    <w:uiPriority w:val="0"/>
    <w:pPr>
      <w:widowControl/>
      <w:pBdr>
        <w:left w:val="single" w:color="auto" w:sz="4" w:space="0"/>
        <w:right w:val="single" w:color="auto" w:sz="4" w:space="0"/>
      </w:pBdr>
      <w:spacing w:before="100" w:beforeAutospacing="1" w:after="100" w:afterAutospacing="1" w:line="320" w:lineRule="exact"/>
      <w:jc w:val="center"/>
      <w:textAlignment w:val="center"/>
    </w:pPr>
    <w:rPr>
      <w:rFonts w:hAnsi="宋体"/>
      <w:kern w:val="0"/>
      <w:sz w:val="20"/>
      <w:szCs w:val="20"/>
    </w:rPr>
  </w:style>
  <w:style w:type="paragraph" w:customStyle="1" w:styleId="133">
    <w:name w:val="xl30"/>
    <w:basedOn w:val="1"/>
    <w:qFormat/>
    <w:uiPriority w:val="0"/>
    <w:pPr>
      <w:widowControl/>
      <w:spacing w:before="100" w:beforeAutospacing="1" w:after="100" w:afterAutospacing="1" w:line="320" w:lineRule="exact"/>
      <w:jc w:val="center"/>
      <w:textAlignment w:val="center"/>
    </w:pPr>
    <w:rPr>
      <w:rFonts w:hAnsi="宋体"/>
      <w:kern w:val="0"/>
      <w:sz w:val="24"/>
    </w:rPr>
  </w:style>
  <w:style w:type="character" w:customStyle="1" w:styleId="134">
    <w:name w:val="已访问的超链接1"/>
    <w:qFormat/>
    <w:uiPriority w:val="99"/>
    <w:rPr>
      <w:color w:val="800080"/>
      <w:u w:val="single"/>
    </w:rPr>
  </w:style>
  <w:style w:type="paragraph" w:customStyle="1" w:styleId="135">
    <w:name w:val="封面正文"/>
    <w:qFormat/>
    <w:uiPriority w:val="0"/>
    <w:pPr>
      <w:jc w:val="both"/>
    </w:pPr>
    <w:rPr>
      <w:rFonts w:ascii="Times New Roman" w:hAnsi="Times New Roman" w:eastAsia="宋体" w:cs="Times New Roman"/>
      <w:lang w:val="en-US" w:eastAsia="zh-CN" w:bidi="ar-SA"/>
    </w:rPr>
  </w:style>
  <w:style w:type="paragraph" w:customStyle="1" w:styleId="136">
    <w:name w:val="段"/>
    <w:link w:val="137"/>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137">
    <w:name w:val="段 Char"/>
    <w:link w:val="136"/>
    <w:qFormat/>
    <w:uiPriority w:val="0"/>
    <w:rPr>
      <w:rFonts w:ascii="宋体"/>
      <w:sz w:val="21"/>
    </w:rPr>
  </w:style>
  <w:style w:type="paragraph" w:customStyle="1" w:styleId="138">
    <w:name w:val="一级条标题"/>
    <w:basedOn w:val="1"/>
    <w:next w:val="1"/>
    <w:qFormat/>
    <w:uiPriority w:val="0"/>
    <w:pPr>
      <w:widowControl/>
      <w:tabs>
        <w:tab w:val="left" w:pos="360"/>
      </w:tabs>
      <w:spacing w:line="320" w:lineRule="exact"/>
      <w:outlineLvl w:val="2"/>
    </w:pPr>
    <w:rPr>
      <w:rFonts w:ascii="黑体" w:eastAsia="黑体"/>
      <w:kern w:val="0"/>
      <w:szCs w:val="20"/>
    </w:rPr>
  </w:style>
  <w:style w:type="paragraph" w:customStyle="1" w:styleId="139">
    <w:name w:val="二级条标题"/>
    <w:basedOn w:val="138"/>
    <w:next w:val="1"/>
    <w:qFormat/>
    <w:uiPriority w:val="0"/>
    <w:pPr>
      <w:outlineLvl w:val="3"/>
    </w:pPr>
  </w:style>
  <w:style w:type="paragraph" w:customStyle="1" w:styleId="140">
    <w:name w:val="三级条标题"/>
    <w:basedOn w:val="139"/>
    <w:next w:val="1"/>
    <w:qFormat/>
    <w:uiPriority w:val="0"/>
    <w:pPr>
      <w:outlineLvl w:val="4"/>
    </w:pPr>
  </w:style>
  <w:style w:type="paragraph" w:customStyle="1" w:styleId="141">
    <w:name w:val="四级条标题"/>
    <w:basedOn w:val="140"/>
    <w:next w:val="1"/>
    <w:qFormat/>
    <w:uiPriority w:val="0"/>
    <w:pPr>
      <w:outlineLvl w:val="5"/>
    </w:pPr>
  </w:style>
  <w:style w:type="paragraph" w:customStyle="1" w:styleId="142">
    <w:name w:val="章标题"/>
    <w:next w:val="136"/>
    <w:qFormat/>
    <w:uiPriority w:val="0"/>
    <w:pPr>
      <w:numPr>
        <w:ilvl w:val="1"/>
        <w:numId w:val="2"/>
      </w:numPr>
      <w:spacing w:before="50" w:after="50"/>
      <w:jc w:val="both"/>
      <w:outlineLvl w:val="1"/>
    </w:pPr>
    <w:rPr>
      <w:rFonts w:ascii="黑体" w:hAnsi="Times New Roman" w:eastAsia="黑体" w:cs="Times New Roman"/>
      <w:sz w:val="21"/>
      <w:lang w:val="en-US" w:eastAsia="zh-CN" w:bidi="ar-SA"/>
    </w:rPr>
  </w:style>
  <w:style w:type="paragraph" w:customStyle="1" w:styleId="143">
    <w:name w:val="前言、引言标题"/>
    <w:next w:val="1"/>
    <w:qFormat/>
    <w:uiPriority w:val="0"/>
    <w:pPr>
      <w:numPr>
        <w:ilvl w:val="0"/>
        <w:numId w:val="2"/>
      </w:numPr>
      <w:shd w:val="clear" w:color="FFFFFF" w:fill="FFFFFF"/>
      <w:tabs>
        <w:tab w:val="left" w:pos="903"/>
      </w:tabs>
      <w:spacing w:before="640" w:after="560"/>
      <w:ind w:left="903" w:hanging="315"/>
      <w:jc w:val="center"/>
      <w:outlineLvl w:val="0"/>
    </w:pPr>
    <w:rPr>
      <w:rFonts w:ascii="黑体" w:hAnsi="Times New Roman" w:eastAsia="黑体" w:cs="Times New Roman"/>
      <w:sz w:val="32"/>
      <w:lang w:val="en-US" w:eastAsia="zh-CN" w:bidi="ar-SA"/>
    </w:rPr>
  </w:style>
  <w:style w:type="paragraph" w:customStyle="1" w:styleId="144">
    <w:name w:val="目次、标准名称标题"/>
    <w:basedOn w:val="143"/>
    <w:next w:val="136"/>
    <w:qFormat/>
    <w:uiPriority w:val="0"/>
    <w:pPr>
      <w:numPr>
        <w:numId w:val="0"/>
      </w:numPr>
      <w:spacing w:line="460" w:lineRule="exact"/>
    </w:pPr>
  </w:style>
  <w:style w:type="paragraph" w:customStyle="1" w:styleId="145">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4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47">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character" w:customStyle="1" w:styleId="148">
    <w:name w:val="HTML Markup"/>
    <w:qFormat/>
    <w:uiPriority w:val="0"/>
    <w:rPr>
      <w:vanish/>
      <w:color w:val="FF0000"/>
    </w:rPr>
  </w:style>
  <w:style w:type="paragraph" w:customStyle="1" w:styleId="149">
    <w:name w:val="五级条标题"/>
    <w:basedOn w:val="141"/>
    <w:next w:val="1"/>
    <w:qFormat/>
    <w:uiPriority w:val="0"/>
    <w:pPr>
      <w:numPr>
        <w:ilvl w:val="3"/>
        <w:numId w:val="3"/>
      </w:numPr>
      <w:outlineLvl w:val="6"/>
    </w:pPr>
  </w:style>
  <w:style w:type="paragraph" w:customStyle="1" w:styleId="150">
    <w:name w:val="附录标识"/>
    <w:basedOn w:val="143"/>
    <w:qFormat/>
    <w:uiPriority w:val="0"/>
    <w:pPr>
      <w:numPr>
        <w:ilvl w:val="4"/>
        <w:numId w:val="3"/>
      </w:numPr>
      <w:tabs>
        <w:tab w:val="left" w:pos="6405"/>
      </w:tabs>
      <w:spacing w:after="200"/>
    </w:pPr>
    <w:rPr>
      <w:sz w:val="21"/>
    </w:rPr>
  </w:style>
  <w:style w:type="paragraph" w:customStyle="1" w:styleId="151">
    <w:name w:val="附录章标题"/>
    <w:next w:val="136"/>
    <w:qFormat/>
    <w:uiPriority w:val="0"/>
    <w:pPr>
      <w:numPr>
        <w:ilvl w:val="5"/>
        <w:numId w:val="3"/>
      </w:num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52">
    <w:name w:val="附录一级条标题"/>
    <w:basedOn w:val="151"/>
    <w:next w:val="136"/>
    <w:qFormat/>
    <w:uiPriority w:val="0"/>
    <w:pPr>
      <w:numPr>
        <w:ilvl w:val="0"/>
        <w:numId w:val="0"/>
      </w:numPr>
      <w:tabs>
        <w:tab w:val="left" w:pos="828"/>
      </w:tabs>
      <w:autoSpaceDN w:val="0"/>
      <w:spacing w:beforeLines="0" w:afterLines="0"/>
      <w:ind w:left="828" w:hanging="240"/>
      <w:outlineLvl w:val="2"/>
    </w:pPr>
  </w:style>
  <w:style w:type="paragraph" w:customStyle="1" w:styleId="153">
    <w:name w:val="附录二级条标题"/>
    <w:basedOn w:val="152"/>
    <w:next w:val="136"/>
    <w:qFormat/>
    <w:uiPriority w:val="0"/>
    <w:pPr>
      <w:numPr>
        <w:ilvl w:val="4"/>
      </w:numPr>
      <w:tabs>
        <w:tab w:val="left" w:pos="360"/>
      </w:tabs>
      <w:ind w:left="360" w:hanging="360"/>
      <w:outlineLvl w:val="3"/>
    </w:pPr>
  </w:style>
  <w:style w:type="paragraph" w:customStyle="1" w:styleId="154">
    <w:name w:val="附录三级条标题"/>
    <w:basedOn w:val="153"/>
    <w:next w:val="136"/>
    <w:qFormat/>
    <w:uiPriority w:val="0"/>
    <w:pPr>
      <w:numPr>
        <w:ilvl w:val="5"/>
      </w:numPr>
      <w:tabs>
        <w:tab w:val="left" w:pos="1068"/>
      </w:tabs>
      <w:ind w:left="1068" w:hanging="360"/>
      <w:outlineLvl w:val="4"/>
    </w:pPr>
  </w:style>
  <w:style w:type="paragraph" w:customStyle="1" w:styleId="155">
    <w:name w:val="附录四级条标题"/>
    <w:basedOn w:val="154"/>
    <w:next w:val="136"/>
    <w:qFormat/>
    <w:uiPriority w:val="0"/>
    <w:pPr>
      <w:numPr>
        <w:ilvl w:val="6"/>
      </w:numPr>
      <w:tabs>
        <w:tab w:val="left" w:pos="960"/>
      </w:tabs>
      <w:ind w:left="960" w:hanging="360"/>
      <w:outlineLvl w:val="5"/>
    </w:pPr>
  </w:style>
  <w:style w:type="paragraph" w:customStyle="1" w:styleId="156">
    <w:name w:val="附录五级条标题"/>
    <w:basedOn w:val="155"/>
    <w:next w:val="136"/>
    <w:qFormat/>
    <w:uiPriority w:val="0"/>
    <w:pPr>
      <w:numPr>
        <w:ilvl w:val="0"/>
        <w:numId w:val="4"/>
      </w:numPr>
      <w:tabs>
        <w:tab w:val="left" w:pos="435"/>
        <w:tab w:val="clear" w:pos="1140"/>
      </w:tabs>
      <w:ind w:left="435" w:hanging="165"/>
      <w:outlineLvl w:val="6"/>
    </w:pPr>
  </w:style>
  <w:style w:type="paragraph" w:customStyle="1" w:styleId="157">
    <w:name w:val="列项——"/>
    <w:qFormat/>
    <w:uiPriority w:val="0"/>
    <w:pPr>
      <w:widowControl w:val="0"/>
      <w:numPr>
        <w:ilvl w:val="0"/>
        <w:numId w:val="5"/>
      </w:numPr>
      <w:tabs>
        <w:tab w:val="left" w:pos="854"/>
        <w:tab w:val="clear" w:pos="1140"/>
      </w:tabs>
      <w:ind w:left="840" w:leftChars="200" w:hanging="420" w:hangingChars="200"/>
      <w:jc w:val="both"/>
    </w:pPr>
    <w:rPr>
      <w:rFonts w:ascii="宋体" w:hAnsi="Times New Roman" w:eastAsia="宋体" w:cs="Times New Roman"/>
      <w:sz w:val="21"/>
      <w:lang w:val="en-US" w:eastAsia="zh-CN" w:bidi="ar-SA"/>
    </w:rPr>
  </w:style>
  <w:style w:type="paragraph" w:customStyle="1" w:styleId="158">
    <w:name w:val="列项·"/>
    <w:qFormat/>
    <w:uiPriority w:val="0"/>
    <w:pPr>
      <w:numPr>
        <w:ilvl w:val="6"/>
        <w:numId w:val="6"/>
      </w:numPr>
      <w:tabs>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159">
    <w:name w:val="三级无标题条"/>
    <w:basedOn w:val="1"/>
    <w:qFormat/>
    <w:uiPriority w:val="0"/>
    <w:pPr>
      <w:numPr>
        <w:ilvl w:val="0"/>
        <w:numId w:val="7"/>
      </w:numPr>
      <w:tabs>
        <w:tab w:val="clear" w:pos="1120"/>
      </w:tabs>
      <w:spacing w:line="320" w:lineRule="exact"/>
      <w:ind w:firstLine="0"/>
    </w:pPr>
  </w:style>
  <w:style w:type="paragraph" w:customStyle="1" w:styleId="160">
    <w:name w:val="示例"/>
    <w:next w:val="136"/>
    <w:qFormat/>
    <w:uiPriority w:val="0"/>
    <w:pPr>
      <w:numPr>
        <w:ilvl w:val="5"/>
        <w:numId w:val="6"/>
      </w:numPr>
      <w:tabs>
        <w:tab w:val="left" w:pos="816"/>
      </w:tabs>
      <w:ind w:firstLine="419" w:firstLineChars="233"/>
      <w:jc w:val="both"/>
    </w:pPr>
    <w:rPr>
      <w:rFonts w:ascii="宋体" w:hAnsi="Times New Roman" w:eastAsia="宋体" w:cs="Times New Roman"/>
      <w:sz w:val="18"/>
      <w:lang w:val="en-US" w:eastAsia="zh-CN" w:bidi="ar-SA"/>
    </w:rPr>
  </w:style>
  <w:style w:type="paragraph" w:customStyle="1" w:styleId="161">
    <w:name w:val="四级无标题条"/>
    <w:basedOn w:val="1"/>
    <w:qFormat/>
    <w:uiPriority w:val="0"/>
    <w:pPr>
      <w:spacing w:line="320" w:lineRule="exact"/>
    </w:pPr>
  </w:style>
  <w:style w:type="paragraph" w:customStyle="1" w:styleId="162">
    <w:name w:val="五级无标题条"/>
    <w:basedOn w:val="1"/>
    <w:qFormat/>
    <w:uiPriority w:val="0"/>
    <w:pPr>
      <w:numPr>
        <w:ilvl w:val="2"/>
        <w:numId w:val="6"/>
      </w:numPr>
      <w:spacing w:line="320" w:lineRule="exact"/>
    </w:pPr>
  </w:style>
  <w:style w:type="paragraph" w:customStyle="1" w:styleId="163">
    <w:name w:val="一级无标题条"/>
    <w:basedOn w:val="1"/>
    <w:qFormat/>
    <w:uiPriority w:val="0"/>
    <w:pPr>
      <w:numPr>
        <w:ilvl w:val="0"/>
        <w:numId w:val="8"/>
      </w:numPr>
      <w:spacing w:line="320" w:lineRule="exact"/>
    </w:pPr>
  </w:style>
  <w:style w:type="paragraph" w:customStyle="1" w:styleId="164">
    <w:name w:val="正文表标题"/>
    <w:next w:val="136"/>
    <w:qFormat/>
    <w:uiPriority w:val="0"/>
    <w:pPr>
      <w:numPr>
        <w:ilvl w:val="0"/>
        <w:numId w:val="9"/>
      </w:numPr>
      <w:jc w:val="center"/>
    </w:pPr>
    <w:rPr>
      <w:rFonts w:ascii="黑体" w:hAnsi="Times New Roman" w:eastAsia="黑体" w:cs="Times New Roman"/>
      <w:sz w:val="21"/>
      <w:lang w:val="en-US" w:eastAsia="zh-CN" w:bidi="ar-SA"/>
    </w:rPr>
  </w:style>
  <w:style w:type="paragraph" w:customStyle="1" w:styleId="165">
    <w:name w:val="正文图标题"/>
    <w:next w:val="136"/>
    <w:qFormat/>
    <w:uiPriority w:val="0"/>
    <w:pPr>
      <w:numPr>
        <w:ilvl w:val="0"/>
        <w:numId w:val="10"/>
      </w:numPr>
      <w:tabs>
        <w:tab w:val="clear" w:pos="1140"/>
      </w:tabs>
      <w:ind w:left="0" w:firstLine="0"/>
      <w:jc w:val="center"/>
    </w:pPr>
    <w:rPr>
      <w:rFonts w:ascii="黑体" w:hAnsi="Times New Roman" w:eastAsia="黑体" w:cs="Times New Roman"/>
      <w:sz w:val="21"/>
      <w:lang w:val="en-US" w:eastAsia="zh-CN" w:bidi="ar-SA"/>
    </w:rPr>
  </w:style>
  <w:style w:type="paragraph" w:customStyle="1" w:styleId="166">
    <w:name w:val="注："/>
    <w:next w:val="136"/>
    <w:qFormat/>
    <w:uiPriority w:val="0"/>
    <w:pPr>
      <w:widowControl w:val="0"/>
      <w:numPr>
        <w:ilvl w:val="0"/>
        <w:numId w:val="11"/>
      </w:numPr>
      <w:tabs>
        <w:tab w:val="clear" w:pos="900"/>
      </w:tabs>
      <w:autoSpaceDE w:val="0"/>
      <w:autoSpaceDN w:val="0"/>
      <w:ind w:left="840" w:hanging="420"/>
      <w:jc w:val="both"/>
    </w:pPr>
    <w:rPr>
      <w:rFonts w:ascii="宋体" w:hAnsi="Times New Roman" w:eastAsia="宋体" w:cs="Times New Roman"/>
      <w:sz w:val="18"/>
      <w:lang w:val="en-US" w:eastAsia="zh-CN" w:bidi="ar-SA"/>
    </w:rPr>
  </w:style>
  <w:style w:type="paragraph" w:customStyle="1" w:styleId="167">
    <w:name w:val="注×："/>
    <w:qFormat/>
    <w:uiPriority w:val="0"/>
    <w:pPr>
      <w:widowControl w:val="0"/>
      <w:tabs>
        <w:tab w:val="left" w:pos="630"/>
      </w:tabs>
      <w:autoSpaceDE w:val="0"/>
      <w:autoSpaceDN w:val="0"/>
      <w:jc w:val="both"/>
    </w:pPr>
    <w:rPr>
      <w:rFonts w:ascii="宋体" w:hAnsi="Times New Roman" w:eastAsia="宋体" w:cs="Times New Roman"/>
      <w:sz w:val="18"/>
      <w:lang w:val="en-US" w:eastAsia="zh-CN" w:bidi="ar-SA"/>
    </w:rPr>
  </w:style>
  <w:style w:type="paragraph" w:customStyle="1" w:styleId="168">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9">
    <w:name w:val="列项——（一级）"/>
    <w:qFormat/>
    <w:uiPriority w:val="0"/>
    <w:pPr>
      <w:widowControl w:val="0"/>
      <w:jc w:val="both"/>
    </w:pPr>
    <w:rPr>
      <w:rFonts w:ascii="宋体" w:hAnsi="Times New Roman" w:eastAsia="宋体" w:cs="Times New Roman"/>
      <w:sz w:val="21"/>
      <w:lang w:val="en-US" w:eastAsia="zh-CN" w:bidi="ar-SA"/>
    </w:rPr>
  </w:style>
  <w:style w:type="character" w:customStyle="1" w:styleId="170">
    <w:name w:val="批注框文本 Char1"/>
    <w:basedOn w:val="46"/>
    <w:semiHidden/>
    <w:qFormat/>
    <w:uiPriority w:val="99"/>
    <w:rPr>
      <w:rFonts w:ascii="Times New Roman" w:hAnsi="Times New Roman" w:eastAsia="宋体" w:cs="Times New Roman"/>
      <w:sz w:val="18"/>
      <w:szCs w:val="18"/>
    </w:rPr>
  </w:style>
  <w:style w:type="character" w:customStyle="1" w:styleId="171">
    <w:name w:val="标题 3 Char1"/>
    <w:qFormat/>
    <w:uiPriority w:val="0"/>
    <w:rPr>
      <w:rFonts w:ascii="Times New Roman" w:hAnsi="Times New Roman"/>
      <w:b/>
      <w:bCs/>
      <w:kern w:val="2"/>
      <w:sz w:val="32"/>
      <w:szCs w:val="32"/>
    </w:rPr>
  </w:style>
  <w:style w:type="paragraph" w:customStyle="1" w:styleId="172">
    <w:name w:val="样式 宋体 四号 行距: 1.5 倍行距"/>
    <w:basedOn w:val="1"/>
    <w:qFormat/>
    <w:uiPriority w:val="0"/>
    <w:pPr>
      <w:numPr>
        <w:ilvl w:val="0"/>
        <w:numId w:val="12"/>
      </w:numPr>
      <w:spacing w:line="360" w:lineRule="auto"/>
    </w:pPr>
    <w:rPr>
      <w:rFonts w:hAnsi="宋体" w:cs="宋体"/>
      <w:sz w:val="28"/>
      <w:szCs w:val="20"/>
    </w:rPr>
  </w:style>
  <w:style w:type="character" w:customStyle="1" w:styleId="173">
    <w:name w:val="副标题 Char"/>
    <w:basedOn w:val="46"/>
    <w:link w:val="33"/>
    <w:qFormat/>
    <w:uiPriority w:val="0"/>
    <w:rPr>
      <w:rFonts w:ascii="Cambria" w:hAnsi="Cambria"/>
      <w:b/>
      <w:bCs/>
      <w:kern w:val="28"/>
      <w:sz w:val="32"/>
      <w:szCs w:val="32"/>
    </w:rPr>
  </w:style>
  <w:style w:type="table" w:customStyle="1" w:styleId="174">
    <w:name w:val="网格型1"/>
    <w:basedOn w:val="4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75">
    <w:name w:val="HTML 预设格式 Char"/>
    <w:basedOn w:val="46"/>
    <w:link w:val="40"/>
    <w:qFormat/>
    <w:uiPriority w:val="99"/>
    <w:rPr>
      <w:rFonts w:ascii="宋体" w:hAnsi="宋体"/>
      <w:sz w:val="24"/>
      <w:szCs w:val="24"/>
    </w:rPr>
  </w:style>
  <w:style w:type="table" w:customStyle="1" w:styleId="176">
    <w:name w:val="网格型11"/>
    <w:basedOn w:val="44"/>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77">
    <w:name w:val="一级标题"/>
    <w:basedOn w:val="2"/>
    <w:link w:val="178"/>
    <w:qFormat/>
    <w:uiPriority w:val="0"/>
    <w:pPr>
      <w:spacing w:before="340" w:after="330"/>
      <w:ind w:firstLine="643" w:firstLineChars="200"/>
    </w:pPr>
    <w:rPr>
      <w:rFonts w:eastAsia="黑体"/>
    </w:rPr>
  </w:style>
  <w:style w:type="character" w:customStyle="1" w:styleId="178">
    <w:name w:val="一级标题 Char"/>
    <w:link w:val="177"/>
    <w:qFormat/>
    <w:uiPriority w:val="0"/>
    <w:rPr>
      <w:rFonts w:eastAsia="黑体"/>
      <w:b/>
      <w:bCs/>
      <w:kern w:val="44"/>
      <w:sz w:val="32"/>
      <w:szCs w:val="44"/>
    </w:rPr>
  </w:style>
  <w:style w:type="paragraph" w:customStyle="1" w:styleId="179">
    <w:name w:val="二级标题"/>
    <w:basedOn w:val="1"/>
    <w:link w:val="180"/>
    <w:qFormat/>
    <w:uiPriority w:val="0"/>
    <w:pPr>
      <w:keepNext/>
      <w:keepLines/>
      <w:spacing w:before="260" w:after="260" w:line="415" w:lineRule="auto"/>
      <w:ind w:firstLine="200" w:firstLineChars="200"/>
      <w:jc w:val="left"/>
      <w:outlineLvl w:val="1"/>
    </w:pPr>
    <w:rPr>
      <w:rFonts w:ascii="Arial" w:hAnsi="Arial" w:eastAsia="黑体"/>
      <w:b/>
      <w:bCs/>
      <w:sz w:val="32"/>
      <w:szCs w:val="20"/>
    </w:rPr>
  </w:style>
  <w:style w:type="character" w:customStyle="1" w:styleId="180">
    <w:name w:val="二级标题 Char"/>
    <w:link w:val="179"/>
    <w:qFormat/>
    <w:uiPriority w:val="0"/>
    <w:rPr>
      <w:rFonts w:ascii="Arial" w:hAnsi="Arial" w:eastAsia="黑体"/>
      <w:b/>
      <w:bCs/>
      <w:kern w:val="2"/>
      <w:sz w:val="32"/>
    </w:rPr>
  </w:style>
  <w:style w:type="paragraph" w:customStyle="1" w:styleId="181">
    <w:name w:val="三级标题"/>
    <w:basedOn w:val="1"/>
    <w:link w:val="182"/>
    <w:qFormat/>
    <w:uiPriority w:val="0"/>
    <w:pPr>
      <w:spacing w:line="360" w:lineRule="auto"/>
    </w:pPr>
    <w:rPr>
      <w:sz w:val="24"/>
    </w:rPr>
  </w:style>
  <w:style w:type="character" w:customStyle="1" w:styleId="182">
    <w:name w:val="三级标题 Char"/>
    <w:link w:val="181"/>
    <w:qFormat/>
    <w:uiPriority w:val="0"/>
    <w:rPr>
      <w:kern w:val="2"/>
      <w:sz w:val="24"/>
      <w:szCs w:val="24"/>
    </w:rPr>
  </w:style>
  <w:style w:type="character" w:customStyle="1" w:styleId="183">
    <w:name w:val="正文文本缩进 2 Char1"/>
    <w:semiHidden/>
    <w:qFormat/>
    <w:uiPriority w:val="99"/>
    <w:rPr>
      <w:rFonts w:ascii="Times New Roman" w:hAnsi="Times New Roman"/>
      <w:sz w:val="24"/>
    </w:rPr>
  </w:style>
  <w:style w:type="character" w:customStyle="1" w:styleId="184">
    <w:name w:val="正文文本缩进 Char1"/>
    <w:semiHidden/>
    <w:qFormat/>
    <w:uiPriority w:val="99"/>
    <w:rPr>
      <w:rFonts w:ascii="Times New Roman" w:hAnsi="Times New Roman"/>
      <w:sz w:val="24"/>
    </w:rPr>
  </w:style>
  <w:style w:type="character" w:customStyle="1" w:styleId="185">
    <w:name w:val="日期 Char1"/>
    <w:semiHidden/>
    <w:qFormat/>
    <w:uiPriority w:val="99"/>
    <w:rPr>
      <w:rFonts w:ascii="Times New Roman" w:hAnsi="Times New Roman"/>
      <w:sz w:val="24"/>
    </w:rPr>
  </w:style>
  <w:style w:type="character" w:customStyle="1" w:styleId="186">
    <w:name w:val="正文文本缩进 3 Char1"/>
    <w:semiHidden/>
    <w:qFormat/>
    <w:uiPriority w:val="99"/>
    <w:rPr>
      <w:rFonts w:ascii="Times New Roman" w:hAnsi="Times New Roman"/>
      <w:sz w:val="16"/>
      <w:szCs w:val="16"/>
    </w:rPr>
  </w:style>
  <w:style w:type="character" w:customStyle="1" w:styleId="187">
    <w:name w:val="highlight1"/>
    <w:qFormat/>
    <w:uiPriority w:val="0"/>
    <w:rPr>
      <w:shd w:val="clear" w:color="auto" w:fill="FFFF00"/>
    </w:rPr>
  </w:style>
  <w:style w:type="paragraph" w:customStyle="1" w:styleId="188">
    <w:name w:val="Char1"/>
    <w:basedOn w:val="6"/>
    <w:qFormat/>
    <w:uiPriority w:val="0"/>
    <w:pPr>
      <w:keepLines/>
      <w:widowControl/>
      <w:tabs>
        <w:tab w:val="left" w:pos="1008"/>
      </w:tabs>
      <w:adjustRightInd/>
      <w:snapToGrid/>
      <w:spacing w:before="280" w:after="160" w:line="240" w:lineRule="exact"/>
      <w:ind w:left="1008" w:hanging="1008"/>
      <w:jc w:val="left"/>
    </w:pPr>
    <w:rPr>
      <w:rFonts w:ascii="Verdana" w:hAnsi="Verdana"/>
      <w:b w:val="0"/>
      <w:kern w:val="0"/>
      <w:sz w:val="20"/>
      <w:szCs w:val="20"/>
      <w:lang w:eastAsia="en-US"/>
    </w:rPr>
  </w:style>
  <w:style w:type="paragraph" w:customStyle="1" w:styleId="189">
    <w:name w:val="reader-word-layer"/>
    <w:basedOn w:val="1"/>
    <w:qFormat/>
    <w:uiPriority w:val="0"/>
    <w:pPr>
      <w:widowControl/>
      <w:spacing w:before="100" w:beforeAutospacing="1" w:after="100" w:afterAutospacing="1"/>
      <w:jc w:val="left"/>
    </w:pPr>
    <w:rPr>
      <w:rFonts w:hAnsi="宋体" w:cs="宋体"/>
      <w:kern w:val="0"/>
      <w:sz w:val="24"/>
    </w:rPr>
  </w:style>
  <w:style w:type="paragraph" w:customStyle="1" w:styleId="190">
    <w:name w:val="font5"/>
    <w:basedOn w:val="1"/>
    <w:qFormat/>
    <w:uiPriority w:val="0"/>
    <w:pPr>
      <w:widowControl/>
      <w:spacing w:before="100" w:beforeAutospacing="1" w:after="100" w:afterAutospacing="1" w:line="360" w:lineRule="auto"/>
      <w:ind w:firstLine="200" w:firstLineChars="200"/>
      <w:jc w:val="left"/>
    </w:pPr>
    <w:rPr>
      <w:rFonts w:hAnsi="宋体" w:cs="宋体"/>
      <w:kern w:val="0"/>
      <w:sz w:val="18"/>
      <w:szCs w:val="18"/>
    </w:rPr>
  </w:style>
  <w:style w:type="paragraph" w:customStyle="1" w:styleId="191">
    <w:name w:val="font6"/>
    <w:basedOn w:val="1"/>
    <w:qFormat/>
    <w:uiPriority w:val="0"/>
    <w:pPr>
      <w:widowControl/>
      <w:spacing w:before="100" w:beforeAutospacing="1" w:after="100" w:afterAutospacing="1" w:line="360" w:lineRule="auto"/>
      <w:ind w:firstLine="200" w:firstLineChars="200"/>
      <w:jc w:val="left"/>
    </w:pPr>
    <w:rPr>
      <w:rFonts w:hAnsi="宋体" w:cs="宋体"/>
      <w:kern w:val="0"/>
      <w:sz w:val="22"/>
      <w:szCs w:val="22"/>
    </w:rPr>
  </w:style>
  <w:style w:type="paragraph" w:customStyle="1" w:styleId="192">
    <w:name w:val="font7"/>
    <w:basedOn w:val="1"/>
    <w:qFormat/>
    <w:uiPriority w:val="0"/>
    <w:pPr>
      <w:widowControl/>
      <w:spacing w:before="100" w:beforeAutospacing="1" w:after="100" w:afterAutospacing="1" w:line="360" w:lineRule="auto"/>
      <w:ind w:firstLine="200" w:firstLineChars="200"/>
      <w:jc w:val="left"/>
    </w:pPr>
    <w:rPr>
      <w:rFonts w:hAnsi="宋体" w:cs="宋体"/>
      <w:kern w:val="0"/>
      <w:sz w:val="18"/>
      <w:szCs w:val="18"/>
    </w:rPr>
  </w:style>
  <w:style w:type="paragraph" w:customStyle="1" w:styleId="193">
    <w:name w:val="font8"/>
    <w:basedOn w:val="1"/>
    <w:qFormat/>
    <w:uiPriority w:val="0"/>
    <w:pPr>
      <w:widowControl/>
      <w:spacing w:before="100" w:beforeAutospacing="1" w:after="100" w:afterAutospacing="1" w:line="360" w:lineRule="auto"/>
      <w:ind w:firstLine="200" w:firstLineChars="200"/>
      <w:jc w:val="left"/>
    </w:pPr>
    <w:rPr>
      <w:rFonts w:hAnsi="宋体" w:cs="宋体"/>
      <w:b/>
      <w:bCs/>
      <w:kern w:val="0"/>
      <w:sz w:val="22"/>
      <w:szCs w:val="22"/>
    </w:rPr>
  </w:style>
  <w:style w:type="paragraph" w:customStyle="1" w:styleId="194">
    <w:name w:val="font9"/>
    <w:basedOn w:val="1"/>
    <w:qFormat/>
    <w:uiPriority w:val="0"/>
    <w:pPr>
      <w:widowControl/>
      <w:spacing w:before="100" w:beforeAutospacing="1" w:after="100" w:afterAutospacing="1" w:line="360" w:lineRule="auto"/>
      <w:ind w:firstLine="200" w:firstLineChars="200"/>
      <w:jc w:val="left"/>
    </w:pPr>
    <w:rPr>
      <w:kern w:val="0"/>
      <w:sz w:val="22"/>
      <w:szCs w:val="22"/>
    </w:rPr>
  </w:style>
  <w:style w:type="paragraph" w:customStyle="1" w:styleId="195">
    <w:name w:val="font10"/>
    <w:basedOn w:val="1"/>
    <w:qFormat/>
    <w:uiPriority w:val="0"/>
    <w:pPr>
      <w:widowControl/>
      <w:spacing w:before="100" w:beforeAutospacing="1" w:after="100" w:afterAutospacing="1" w:line="360" w:lineRule="auto"/>
      <w:ind w:firstLine="200" w:firstLineChars="200"/>
      <w:jc w:val="left"/>
    </w:pPr>
    <w:rPr>
      <w:b/>
      <w:bCs/>
      <w:kern w:val="0"/>
      <w:sz w:val="22"/>
      <w:szCs w:val="22"/>
    </w:rPr>
  </w:style>
  <w:style w:type="paragraph" w:customStyle="1" w:styleId="196">
    <w:name w:val="font11"/>
    <w:basedOn w:val="1"/>
    <w:qFormat/>
    <w:uiPriority w:val="0"/>
    <w:pPr>
      <w:widowControl/>
      <w:spacing w:before="100" w:beforeAutospacing="1" w:after="100" w:afterAutospacing="1" w:line="360" w:lineRule="auto"/>
      <w:ind w:firstLine="200" w:firstLineChars="200"/>
      <w:jc w:val="left"/>
    </w:pPr>
    <w:rPr>
      <w:b/>
      <w:bCs/>
      <w:kern w:val="0"/>
      <w:sz w:val="22"/>
      <w:szCs w:val="22"/>
    </w:rPr>
  </w:style>
  <w:style w:type="paragraph" w:customStyle="1" w:styleId="197">
    <w:name w:val="font12"/>
    <w:basedOn w:val="1"/>
    <w:qFormat/>
    <w:uiPriority w:val="0"/>
    <w:pPr>
      <w:widowControl/>
      <w:spacing w:before="100" w:beforeAutospacing="1" w:after="100" w:afterAutospacing="1" w:line="360" w:lineRule="auto"/>
      <w:ind w:firstLine="200" w:firstLineChars="200"/>
      <w:jc w:val="left"/>
    </w:pPr>
    <w:rPr>
      <w:rFonts w:hAnsi="宋体" w:cs="宋体"/>
      <w:kern w:val="0"/>
      <w:sz w:val="22"/>
      <w:szCs w:val="22"/>
    </w:rPr>
  </w:style>
  <w:style w:type="paragraph" w:customStyle="1" w:styleId="198">
    <w:name w:val="font13"/>
    <w:basedOn w:val="1"/>
    <w:qFormat/>
    <w:uiPriority w:val="0"/>
    <w:pPr>
      <w:widowControl/>
      <w:spacing w:before="100" w:beforeAutospacing="1" w:after="100" w:afterAutospacing="1" w:line="360" w:lineRule="auto"/>
      <w:ind w:firstLine="200" w:firstLineChars="200"/>
      <w:jc w:val="left"/>
    </w:pPr>
    <w:rPr>
      <w:rFonts w:hAnsi="宋体" w:cs="宋体"/>
      <w:kern w:val="0"/>
      <w:sz w:val="22"/>
      <w:szCs w:val="22"/>
    </w:rPr>
  </w:style>
  <w:style w:type="paragraph" w:customStyle="1" w:styleId="199">
    <w:name w:val="font14"/>
    <w:basedOn w:val="1"/>
    <w:qFormat/>
    <w:uiPriority w:val="0"/>
    <w:pPr>
      <w:widowControl/>
      <w:spacing w:before="100" w:beforeAutospacing="1" w:after="100" w:afterAutospacing="1" w:line="360" w:lineRule="auto"/>
      <w:ind w:firstLine="200" w:firstLineChars="200"/>
      <w:jc w:val="left"/>
    </w:pPr>
    <w:rPr>
      <w:rFonts w:hAnsi="宋体" w:cs="宋体"/>
      <w:kern w:val="0"/>
      <w:sz w:val="24"/>
      <w:szCs w:val="21"/>
    </w:rPr>
  </w:style>
  <w:style w:type="paragraph" w:customStyle="1" w:styleId="200">
    <w:name w:val="font15"/>
    <w:basedOn w:val="1"/>
    <w:qFormat/>
    <w:uiPriority w:val="0"/>
    <w:pPr>
      <w:widowControl/>
      <w:spacing w:before="100" w:beforeAutospacing="1" w:after="100" w:afterAutospacing="1" w:line="360" w:lineRule="auto"/>
      <w:ind w:firstLine="200" w:firstLineChars="200"/>
      <w:jc w:val="left"/>
    </w:pPr>
    <w:rPr>
      <w:rFonts w:hAnsi="宋体" w:cs="宋体"/>
      <w:kern w:val="0"/>
      <w:sz w:val="24"/>
      <w:szCs w:val="21"/>
    </w:rPr>
  </w:style>
  <w:style w:type="paragraph" w:customStyle="1" w:styleId="201">
    <w:name w:val="xl63"/>
    <w:basedOn w:val="1"/>
    <w:qFormat/>
    <w:uiPriority w:val="0"/>
    <w:pPr>
      <w:widowControl/>
      <w:spacing w:before="100" w:beforeAutospacing="1" w:after="100" w:afterAutospacing="1" w:line="360" w:lineRule="auto"/>
      <w:ind w:firstLine="200" w:firstLineChars="200"/>
      <w:jc w:val="left"/>
    </w:pPr>
    <w:rPr>
      <w:rFonts w:hAnsi="宋体" w:cs="宋体"/>
      <w:b/>
      <w:bCs/>
      <w:kern w:val="0"/>
      <w:sz w:val="24"/>
    </w:rPr>
  </w:style>
  <w:style w:type="paragraph" w:customStyle="1" w:styleId="202">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hAnsi="宋体" w:cs="宋体"/>
      <w:kern w:val="0"/>
      <w:sz w:val="24"/>
    </w:rPr>
  </w:style>
  <w:style w:type="paragraph" w:customStyle="1" w:styleId="203">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hAnsi="宋体" w:cs="宋体"/>
      <w:kern w:val="0"/>
      <w:sz w:val="24"/>
    </w:rPr>
  </w:style>
  <w:style w:type="paragraph" w:customStyle="1" w:styleId="204">
    <w:name w:val="xl66"/>
    <w:basedOn w:val="1"/>
    <w:qFormat/>
    <w:uiPriority w:val="0"/>
    <w:pPr>
      <w:widowControl/>
      <w:spacing w:before="100" w:beforeAutospacing="1" w:after="100" w:afterAutospacing="1" w:line="360" w:lineRule="auto"/>
      <w:ind w:firstLine="200" w:firstLineChars="200"/>
      <w:jc w:val="center"/>
    </w:pPr>
    <w:rPr>
      <w:rFonts w:hAnsi="宋体" w:cs="宋体"/>
      <w:kern w:val="0"/>
      <w:sz w:val="24"/>
    </w:rPr>
  </w:style>
  <w:style w:type="paragraph" w:customStyle="1" w:styleId="205">
    <w:name w:val="xl67"/>
    <w:basedOn w:val="1"/>
    <w:qFormat/>
    <w:uiPriority w:val="0"/>
    <w:pPr>
      <w:widowControl/>
      <w:spacing w:before="100" w:beforeAutospacing="1" w:after="100" w:afterAutospacing="1" w:line="360" w:lineRule="auto"/>
      <w:ind w:firstLine="200" w:firstLineChars="200"/>
      <w:jc w:val="left"/>
    </w:pPr>
    <w:rPr>
      <w:rFonts w:hAnsi="宋体" w:cs="宋体"/>
      <w:kern w:val="0"/>
      <w:sz w:val="22"/>
      <w:szCs w:val="22"/>
    </w:rPr>
  </w:style>
  <w:style w:type="paragraph" w:customStyle="1" w:styleId="206">
    <w:name w:val="xl68"/>
    <w:basedOn w:val="1"/>
    <w:qFormat/>
    <w:uiPriority w:val="0"/>
    <w:pPr>
      <w:widowControl/>
      <w:spacing w:before="100" w:beforeAutospacing="1" w:after="100" w:afterAutospacing="1" w:line="360" w:lineRule="auto"/>
      <w:ind w:firstLine="200" w:firstLineChars="200"/>
      <w:jc w:val="left"/>
    </w:pPr>
    <w:rPr>
      <w:rFonts w:hAnsi="宋体" w:cs="宋体"/>
      <w:kern w:val="0"/>
      <w:sz w:val="22"/>
      <w:szCs w:val="22"/>
    </w:rPr>
  </w:style>
  <w:style w:type="paragraph" w:customStyle="1" w:styleId="207">
    <w:name w:val="xl69"/>
    <w:basedOn w:val="1"/>
    <w:qFormat/>
    <w:uiPriority w:val="0"/>
    <w:pPr>
      <w:widowControl/>
      <w:spacing w:before="100" w:beforeAutospacing="1" w:after="100" w:afterAutospacing="1" w:line="360" w:lineRule="auto"/>
      <w:ind w:firstLine="200" w:firstLineChars="200"/>
      <w:jc w:val="left"/>
    </w:pPr>
    <w:rPr>
      <w:rFonts w:hAnsi="宋体" w:cs="宋体"/>
      <w:kern w:val="0"/>
      <w:sz w:val="24"/>
    </w:rPr>
  </w:style>
  <w:style w:type="paragraph" w:customStyle="1" w:styleId="208">
    <w:name w:val="xl70"/>
    <w:basedOn w:val="1"/>
    <w:qFormat/>
    <w:uiPriority w:val="0"/>
    <w:pPr>
      <w:widowControl/>
      <w:spacing w:before="100" w:beforeAutospacing="1" w:after="100" w:afterAutospacing="1" w:line="360" w:lineRule="auto"/>
      <w:ind w:firstLine="200" w:firstLineChars="200"/>
      <w:jc w:val="center"/>
    </w:pPr>
    <w:rPr>
      <w:rFonts w:hAnsi="宋体" w:cs="宋体"/>
      <w:kern w:val="0"/>
      <w:sz w:val="24"/>
    </w:rPr>
  </w:style>
  <w:style w:type="paragraph" w:customStyle="1" w:styleId="209">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99FF66"/>
      <w:spacing w:before="100" w:beforeAutospacing="1" w:after="100" w:afterAutospacing="1" w:line="360" w:lineRule="auto"/>
      <w:ind w:firstLine="200" w:firstLineChars="200"/>
      <w:jc w:val="center"/>
    </w:pPr>
    <w:rPr>
      <w:rFonts w:hAnsi="宋体" w:cs="宋体"/>
      <w:kern w:val="0"/>
      <w:sz w:val="24"/>
    </w:rPr>
  </w:style>
  <w:style w:type="paragraph" w:customStyle="1" w:styleId="210">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33CCFF"/>
      <w:spacing w:before="100" w:beforeAutospacing="1" w:after="100" w:afterAutospacing="1" w:line="360" w:lineRule="auto"/>
      <w:ind w:firstLine="200" w:firstLineChars="200"/>
      <w:jc w:val="center"/>
    </w:pPr>
    <w:rPr>
      <w:rFonts w:hAnsi="宋体" w:cs="宋体"/>
      <w:kern w:val="0"/>
      <w:sz w:val="24"/>
    </w:rPr>
  </w:style>
  <w:style w:type="paragraph" w:customStyle="1" w:styleId="21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hAnsi="宋体" w:cs="宋体"/>
      <w:kern w:val="0"/>
      <w:sz w:val="24"/>
    </w:rPr>
  </w:style>
  <w:style w:type="paragraph" w:customStyle="1" w:styleId="212">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hAnsi="宋体" w:cs="宋体"/>
      <w:kern w:val="0"/>
      <w:sz w:val="22"/>
      <w:szCs w:val="22"/>
    </w:rPr>
  </w:style>
  <w:style w:type="paragraph" w:customStyle="1" w:styleId="213">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hAnsi="宋体" w:cs="宋体"/>
      <w:kern w:val="0"/>
      <w:sz w:val="22"/>
      <w:szCs w:val="22"/>
    </w:rPr>
  </w:style>
  <w:style w:type="paragraph" w:customStyle="1" w:styleId="214">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15">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hAnsi="宋体" w:cs="宋体"/>
      <w:b/>
      <w:bCs/>
      <w:kern w:val="0"/>
      <w:sz w:val="24"/>
    </w:rPr>
  </w:style>
  <w:style w:type="paragraph" w:customStyle="1" w:styleId="216">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b/>
      <w:bCs/>
      <w:kern w:val="0"/>
      <w:sz w:val="24"/>
    </w:rPr>
  </w:style>
  <w:style w:type="paragraph" w:customStyle="1" w:styleId="21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b/>
      <w:bCs/>
      <w:kern w:val="0"/>
      <w:sz w:val="24"/>
    </w:rPr>
  </w:style>
  <w:style w:type="paragraph" w:customStyle="1" w:styleId="218">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3399"/>
      <w:spacing w:before="100" w:beforeAutospacing="1" w:after="100" w:afterAutospacing="1" w:line="360" w:lineRule="auto"/>
      <w:ind w:firstLine="200" w:firstLineChars="200"/>
      <w:jc w:val="center"/>
    </w:pPr>
    <w:rPr>
      <w:rFonts w:hAnsi="宋体" w:cs="宋体"/>
      <w:kern w:val="0"/>
      <w:sz w:val="24"/>
    </w:rPr>
  </w:style>
  <w:style w:type="paragraph" w:customStyle="1" w:styleId="219">
    <w:name w:val="xl81"/>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20">
    <w:name w:val="xl82"/>
    <w:basedOn w:val="1"/>
    <w:qFormat/>
    <w:uiPriority w:val="0"/>
    <w:pPr>
      <w:widowControl/>
      <w:pBdr>
        <w:left w:val="single" w:color="auto" w:sz="4" w:space="0"/>
        <w:bottom w:val="single" w:color="auto" w:sz="4" w:space="0"/>
        <w:right w:val="single" w:color="auto" w:sz="4" w:space="0"/>
      </w:pBdr>
      <w:shd w:val="clear" w:color="000000" w:fill="FF3399"/>
      <w:spacing w:before="100" w:beforeAutospacing="1" w:after="100" w:afterAutospacing="1" w:line="360" w:lineRule="auto"/>
      <w:ind w:firstLine="200" w:firstLineChars="200"/>
      <w:jc w:val="center"/>
    </w:pPr>
    <w:rPr>
      <w:rFonts w:hAnsi="宋体" w:cs="宋体"/>
      <w:kern w:val="0"/>
      <w:sz w:val="24"/>
    </w:rPr>
  </w:style>
  <w:style w:type="paragraph" w:customStyle="1" w:styleId="22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2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b/>
      <w:bCs/>
      <w:kern w:val="0"/>
      <w:sz w:val="24"/>
    </w:rPr>
  </w:style>
  <w:style w:type="paragraph" w:customStyle="1" w:styleId="223">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hAnsi="宋体" w:cs="宋体"/>
      <w:kern w:val="0"/>
      <w:sz w:val="24"/>
    </w:rPr>
  </w:style>
  <w:style w:type="paragraph" w:customStyle="1" w:styleId="22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66"/>
      <w:spacing w:before="100" w:beforeAutospacing="1" w:after="100" w:afterAutospacing="1" w:line="360" w:lineRule="auto"/>
      <w:ind w:firstLine="200" w:firstLineChars="200"/>
      <w:jc w:val="center"/>
    </w:pPr>
    <w:rPr>
      <w:rFonts w:hAnsi="宋体" w:cs="宋体"/>
      <w:kern w:val="0"/>
      <w:sz w:val="24"/>
    </w:rPr>
  </w:style>
  <w:style w:type="paragraph" w:customStyle="1" w:styleId="225">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9966"/>
      <w:spacing w:before="100" w:beforeAutospacing="1" w:after="100" w:afterAutospacing="1" w:line="360" w:lineRule="auto"/>
      <w:ind w:firstLine="200" w:firstLineChars="200"/>
      <w:jc w:val="center"/>
    </w:pPr>
    <w:rPr>
      <w:rFonts w:hAnsi="宋体" w:cs="宋体"/>
      <w:kern w:val="0"/>
      <w:sz w:val="24"/>
    </w:rPr>
  </w:style>
  <w:style w:type="paragraph" w:customStyle="1" w:styleId="226">
    <w:name w:val="xl88"/>
    <w:basedOn w:val="1"/>
    <w:qFormat/>
    <w:uiPriority w:val="0"/>
    <w:pPr>
      <w:widowControl/>
      <w:pBdr>
        <w:top w:val="single" w:color="auto" w:sz="4" w:space="0"/>
        <w:left w:val="single" w:color="auto" w:sz="4" w:space="0"/>
        <w:right w:val="single" w:color="auto" w:sz="4" w:space="0"/>
      </w:pBdr>
      <w:shd w:val="clear" w:color="000000" w:fill="FF3399"/>
      <w:spacing w:before="100" w:beforeAutospacing="1" w:after="100" w:afterAutospacing="1" w:line="360" w:lineRule="auto"/>
      <w:ind w:firstLine="200" w:firstLineChars="200"/>
      <w:jc w:val="center"/>
    </w:pPr>
    <w:rPr>
      <w:rFonts w:hAnsi="宋体" w:cs="宋体"/>
      <w:kern w:val="0"/>
      <w:sz w:val="24"/>
    </w:rPr>
  </w:style>
  <w:style w:type="paragraph" w:customStyle="1" w:styleId="227">
    <w:name w:val="xl89"/>
    <w:basedOn w:val="1"/>
    <w:qFormat/>
    <w:uiPriority w:val="0"/>
    <w:pPr>
      <w:widowControl/>
      <w:pBdr>
        <w:top w:val="single" w:color="auto" w:sz="4" w:space="0"/>
        <w:left w:val="single" w:color="auto" w:sz="4" w:space="0"/>
        <w:right w:val="single" w:color="auto" w:sz="4" w:space="0"/>
      </w:pBdr>
      <w:shd w:val="clear" w:color="000000" w:fill="FF3399"/>
      <w:spacing w:before="100" w:beforeAutospacing="1" w:after="100" w:afterAutospacing="1" w:line="360" w:lineRule="auto"/>
      <w:ind w:firstLine="200" w:firstLineChars="200"/>
      <w:jc w:val="left"/>
    </w:pPr>
    <w:rPr>
      <w:rFonts w:hAnsi="宋体" w:cs="宋体"/>
      <w:kern w:val="0"/>
      <w:sz w:val="24"/>
    </w:rPr>
  </w:style>
  <w:style w:type="paragraph" w:customStyle="1" w:styleId="228">
    <w:name w:val="xl90"/>
    <w:basedOn w:val="1"/>
    <w:qFormat/>
    <w:uiPriority w:val="0"/>
    <w:pPr>
      <w:widowControl/>
      <w:pBdr>
        <w:left w:val="single" w:color="auto" w:sz="4" w:space="0"/>
        <w:bottom w:val="single" w:color="auto" w:sz="4" w:space="0"/>
        <w:right w:val="single" w:color="auto" w:sz="4" w:space="0"/>
      </w:pBdr>
      <w:shd w:val="clear" w:color="000000" w:fill="FF3399"/>
      <w:spacing w:before="100" w:beforeAutospacing="1" w:after="100" w:afterAutospacing="1" w:line="360" w:lineRule="auto"/>
      <w:ind w:firstLine="200" w:firstLineChars="200"/>
      <w:jc w:val="left"/>
    </w:pPr>
    <w:rPr>
      <w:rFonts w:hAnsi="宋体" w:cs="宋体"/>
      <w:kern w:val="0"/>
      <w:sz w:val="24"/>
    </w:rPr>
  </w:style>
  <w:style w:type="paragraph" w:customStyle="1" w:styleId="229">
    <w:name w:val="xl91"/>
    <w:basedOn w:val="1"/>
    <w:qFormat/>
    <w:uiPriority w:val="0"/>
    <w:pPr>
      <w:widowControl/>
      <w:pBdr>
        <w:top w:val="single" w:color="auto" w:sz="4" w:space="0"/>
        <w:left w:val="single" w:color="auto" w:sz="4" w:space="0"/>
        <w:right w:val="single" w:color="auto" w:sz="4" w:space="0"/>
      </w:pBdr>
      <w:shd w:val="clear" w:color="000000" w:fill="9999FF"/>
      <w:spacing w:before="100" w:beforeAutospacing="1" w:after="100" w:afterAutospacing="1" w:line="360" w:lineRule="auto"/>
      <w:ind w:firstLine="200" w:firstLineChars="200"/>
      <w:jc w:val="left"/>
    </w:pPr>
    <w:rPr>
      <w:rFonts w:hAnsi="宋体" w:cs="宋体"/>
      <w:kern w:val="0"/>
      <w:sz w:val="24"/>
    </w:rPr>
  </w:style>
  <w:style w:type="paragraph" w:customStyle="1" w:styleId="230">
    <w:name w:val="xl92"/>
    <w:basedOn w:val="1"/>
    <w:qFormat/>
    <w:uiPriority w:val="0"/>
    <w:pPr>
      <w:widowControl/>
      <w:pBdr>
        <w:left w:val="single" w:color="auto" w:sz="4" w:space="0"/>
        <w:bottom w:val="single" w:color="auto" w:sz="4" w:space="0"/>
        <w:right w:val="single" w:color="auto" w:sz="4" w:space="0"/>
      </w:pBdr>
      <w:shd w:val="clear" w:color="000000" w:fill="9999FF"/>
      <w:spacing w:before="100" w:beforeAutospacing="1" w:after="100" w:afterAutospacing="1" w:line="360" w:lineRule="auto"/>
      <w:ind w:firstLine="200" w:firstLineChars="200"/>
      <w:jc w:val="left"/>
    </w:pPr>
    <w:rPr>
      <w:rFonts w:hAnsi="宋体" w:cs="宋体"/>
      <w:kern w:val="0"/>
      <w:sz w:val="24"/>
    </w:rPr>
  </w:style>
  <w:style w:type="paragraph" w:customStyle="1" w:styleId="231">
    <w:name w:val="xl93"/>
    <w:basedOn w:val="1"/>
    <w:qFormat/>
    <w:uiPriority w:val="0"/>
    <w:pPr>
      <w:widowControl/>
      <w:pBdr>
        <w:left w:val="single" w:color="auto" w:sz="4" w:space="0"/>
        <w:right w:val="single" w:color="auto" w:sz="4" w:space="0"/>
      </w:pBdr>
      <w:shd w:val="clear" w:color="000000" w:fill="FF3399"/>
      <w:spacing w:before="100" w:beforeAutospacing="1" w:after="100" w:afterAutospacing="1" w:line="360" w:lineRule="auto"/>
      <w:ind w:firstLine="200" w:firstLineChars="200"/>
      <w:jc w:val="left"/>
    </w:pPr>
    <w:rPr>
      <w:rFonts w:hAnsi="宋体" w:cs="宋体"/>
      <w:kern w:val="0"/>
      <w:sz w:val="24"/>
    </w:rPr>
  </w:style>
  <w:style w:type="paragraph" w:customStyle="1" w:styleId="232">
    <w:name w:val="xl94"/>
    <w:basedOn w:val="1"/>
    <w:qFormat/>
    <w:uiPriority w:val="0"/>
    <w:pPr>
      <w:widowControl/>
      <w:pBdr>
        <w:top w:val="single" w:color="auto" w:sz="4" w:space="0"/>
        <w:left w:val="single" w:color="auto" w:sz="4" w:space="0"/>
        <w:right w:val="single" w:color="auto" w:sz="4" w:space="0"/>
      </w:pBdr>
      <w:shd w:val="clear" w:color="000000" w:fill="FF3399"/>
      <w:spacing w:before="100" w:beforeAutospacing="1" w:after="100" w:afterAutospacing="1" w:line="360" w:lineRule="auto"/>
      <w:ind w:firstLine="200" w:firstLineChars="200"/>
      <w:jc w:val="left"/>
    </w:pPr>
    <w:rPr>
      <w:rFonts w:hAnsi="宋体" w:cs="宋体"/>
      <w:kern w:val="0"/>
      <w:sz w:val="24"/>
    </w:rPr>
  </w:style>
  <w:style w:type="paragraph" w:customStyle="1" w:styleId="233">
    <w:name w:val="xl95"/>
    <w:basedOn w:val="1"/>
    <w:qFormat/>
    <w:uiPriority w:val="0"/>
    <w:pPr>
      <w:widowControl/>
      <w:pBdr>
        <w:left w:val="single" w:color="auto" w:sz="4" w:space="0"/>
        <w:right w:val="single" w:color="auto" w:sz="4" w:space="0"/>
      </w:pBdr>
      <w:shd w:val="clear" w:color="000000" w:fill="FF3399"/>
      <w:spacing w:before="100" w:beforeAutospacing="1" w:after="100" w:afterAutospacing="1" w:line="360" w:lineRule="auto"/>
      <w:ind w:firstLine="200" w:firstLineChars="200"/>
      <w:jc w:val="left"/>
    </w:pPr>
    <w:rPr>
      <w:rFonts w:hAnsi="宋体" w:cs="宋体"/>
      <w:kern w:val="0"/>
      <w:sz w:val="24"/>
    </w:rPr>
  </w:style>
  <w:style w:type="paragraph" w:customStyle="1" w:styleId="234">
    <w:name w:val="xl96"/>
    <w:basedOn w:val="1"/>
    <w:qFormat/>
    <w:uiPriority w:val="0"/>
    <w:pPr>
      <w:widowControl/>
      <w:pBdr>
        <w:left w:val="single" w:color="auto" w:sz="4" w:space="0"/>
        <w:bottom w:val="single" w:color="auto" w:sz="4" w:space="0"/>
        <w:right w:val="single" w:color="auto" w:sz="4" w:space="0"/>
      </w:pBdr>
      <w:shd w:val="clear" w:color="000000" w:fill="FF3399"/>
      <w:spacing w:before="100" w:beforeAutospacing="1" w:after="100" w:afterAutospacing="1" w:line="360" w:lineRule="auto"/>
      <w:ind w:firstLine="200" w:firstLineChars="200"/>
      <w:jc w:val="left"/>
    </w:pPr>
    <w:rPr>
      <w:rFonts w:hAnsi="宋体" w:cs="宋体"/>
      <w:kern w:val="0"/>
      <w:sz w:val="24"/>
    </w:rPr>
  </w:style>
  <w:style w:type="paragraph" w:customStyle="1" w:styleId="235">
    <w:name w:val="xl97"/>
    <w:basedOn w:val="1"/>
    <w:qFormat/>
    <w:uiPriority w:val="0"/>
    <w:pPr>
      <w:widowControl/>
      <w:pBdr>
        <w:top w:val="single" w:color="auto" w:sz="4" w:space="0"/>
        <w:left w:val="single" w:color="auto" w:sz="4" w:space="0"/>
        <w:right w:val="single" w:color="auto" w:sz="4" w:space="0"/>
      </w:pBdr>
      <w:shd w:val="clear" w:color="000000" w:fill="33CCFF"/>
      <w:spacing w:before="100" w:beforeAutospacing="1" w:after="100" w:afterAutospacing="1" w:line="360" w:lineRule="auto"/>
      <w:ind w:firstLine="200" w:firstLineChars="200"/>
      <w:jc w:val="left"/>
    </w:pPr>
    <w:rPr>
      <w:rFonts w:hAnsi="宋体" w:cs="宋体"/>
      <w:kern w:val="0"/>
      <w:sz w:val="24"/>
    </w:rPr>
  </w:style>
  <w:style w:type="paragraph" w:customStyle="1" w:styleId="236">
    <w:name w:val="xl98"/>
    <w:basedOn w:val="1"/>
    <w:qFormat/>
    <w:uiPriority w:val="0"/>
    <w:pPr>
      <w:widowControl/>
      <w:pBdr>
        <w:left w:val="single" w:color="auto" w:sz="4" w:space="0"/>
        <w:right w:val="single" w:color="auto" w:sz="4" w:space="0"/>
      </w:pBdr>
      <w:shd w:val="clear" w:color="000000" w:fill="33CCFF"/>
      <w:spacing w:before="100" w:beforeAutospacing="1" w:after="100" w:afterAutospacing="1" w:line="360" w:lineRule="auto"/>
      <w:ind w:firstLine="200" w:firstLineChars="200"/>
      <w:jc w:val="left"/>
    </w:pPr>
    <w:rPr>
      <w:rFonts w:hAnsi="宋体" w:cs="宋体"/>
      <w:kern w:val="0"/>
      <w:sz w:val="24"/>
    </w:rPr>
  </w:style>
  <w:style w:type="paragraph" w:customStyle="1" w:styleId="237">
    <w:name w:val="xl99"/>
    <w:basedOn w:val="1"/>
    <w:qFormat/>
    <w:uiPriority w:val="0"/>
    <w:pPr>
      <w:widowControl/>
      <w:pBdr>
        <w:left w:val="single" w:color="auto" w:sz="4" w:space="0"/>
        <w:bottom w:val="single" w:color="auto" w:sz="4" w:space="0"/>
        <w:right w:val="single" w:color="auto" w:sz="4" w:space="0"/>
      </w:pBdr>
      <w:shd w:val="clear" w:color="000000" w:fill="33CCFF"/>
      <w:spacing w:before="100" w:beforeAutospacing="1" w:after="100" w:afterAutospacing="1" w:line="360" w:lineRule="auto"/>
      <w:ind w:firstLine="200" w:firstLineChars="200"/>
      <w:jc w:val="left"/>
    </w:pPr>
    <w:rPr>
      <w:rFonts w:hAnsi="宋体" w:cs="宋体"/>
      <w:kern w:val="0"/>
      <w:sz w:val="24"/>
    </w:rPr>
  </w:style>
  <w:style w:type="paragraph" w:customStyle="1" w:styleId="238">
    <w:name w:val="xl100"/>
    <w:basedOn w:val="1"/>
    <w:qFormat/>
    <w:uiPriority w:val="0"/>
    <w:pPr>
      <w:widowControl/>
      <w:pBdr>
        <w:top w:val="single" w:color="auto" w:sz="4" w:space="0"/>
        <w:left w:val="single" w:color="auto" w:sz="4" w:space="0"/>
        <w:right w:val="single" w:color="auto" w:sz="4" w:space="0"/>
      </w:pBdr>
      <w:shd w:val="clear" w:color="000000" w:fill="FFFF66"/>
      <w:spacing w:before="100" w:beforeAutospacing="1" w:after="100" w:afterAutospacing="1" w:line="360" w:lineRule="auto"/>
      <w:ind w:firstLine="200" w:firstLineChars="200"/>
      <w:jc w:val="left"/>
    </w:pPr>
    <w:rPr>
      <w:rFonts w:hAnsi="宋体" w:cs="宋体"/>
      <w:kern w:val="0"/>
      <w:sz w:val="24"/>
    </w:rPr>
  </w:style>
  <w:style w:type="paragraph" w:customStyle="1" w:styleId="239">
    <w:name w:val="xl101"/>
    <w:basedOn w:val="1"/>
    <w:qFormat/>
    <w:uiPriority w:val="0"/>
    <w:pPr>
      <w:widowControl/>
      <w:pBdr>
        <w:left w:val="single" w:color="auto" w:sz="4" w:space="0"/>
        <w:bottom w:val="single" w:color="auto" w:sz="4" w:space="0"/>
        <w:right w:val="single" w:color="auto" w:sz="4" w:space="0"/>
      </w:pBdr>
      <w:shd w:val="clear" w:color="000000" w:fill="FFFF66"/>
      <w:spacing w:before="100" w:beforeAutospacing="1" w:after="100" w:afterAutospacing="1" w:line="360" w:lineRule="auto"/>
      <w:ind w:firstLine="200" w:firstLineChars="200"/>
      <w:jc w:val="left"/>
    </w:pPr>
    <w:rPr>
      <w:rFonts w:hAnsi="宋体" w:cs="宋体"/>
      <w:kern w:val="0"/>
      <w:sz w:val="24"/>
    </w:rPr>
  </w:style>
  <w:style w:type="paragraph" w:customStyle="1" w:styleId="240">
    <w:name w:val="xl102"/>
    <w:basedOn w:val="1"/>
    <w:qFormat/>
    <w:uiPriority w:val="0"/>
    <w:pPr>
      <w:widowControl/>
      <w:pBdr>
        <w:top w:val="single" w:color="auto" w:sz="4" w:space="0"/>
        <w:left w:val="single" w:color="auto" w:sz="4" w:space="0"/>
        <w:right w:val="single" w:color="auto" w:sz="4" w:space="0"/>
      </w:pBdr>
      <w:shd w:val="clear" w:color="000000" w:fill="99FF66"/>
      <w:spacing w:before="100" w:beforeAutospacing="1" w:after="100" w:afterAutospacing="1" w:line="360" w:lineRule="auto"/>
      <w:ind w:firstLine="200" w:firstLineChars="200"/>
      <w:jc w:val="left"/>
    </w:pPr>
    <w:rPr>
      <w:rFonts w:hAnsi="宋体" w:cs="宋体"/>
      <w:kern w:val="0"/>
      <w:sz w:val="24"/>
    </w:rPr>
  </w:style>
  <w:style w:type="paragraph" w:customStyle="1" w:styleId="241">
    <w:name w:val="xl103"/>
    <w:basedOn w:val="1"/>
    <w:qFormat/>
    <w:uiPriority w:val="0"/>
    <w:pPr>
      <w:widowControl/>
      <w:pBdr>
        <w:left w:val="single" w:color="auto" w:sz="4" w:space="0"/>
        <w:right w:val="single" w:color="auto" w:sz="4" w:space="0"/>
      </w:pBdr>
      <w:shd w:val="clear" w:color="000000" w:fill="99FF66"/>
      <w:spacing w:before="100" w:beforeAutospacing="1" w:after="100" w:afterAutospacing="1" w:line="360" w:lineRule="auto"/>
      <w:ind w:firstLine="200" w:firstLineChars="200"/>
      <w:jc w:val="left"/>
    </w:pPr>
    <w:rPr>
      <w:rFonts w:hAnsi="宋体" w:cs="宋体"/>
      <w:kern w:val="0"/>
      <w:sz w:val="24"/>
    </w:rPr>
  </w:style>
  <w:style w:type="paragraph" w:customStyle="1" w:styleId="242">
    <w:name w:val="xl104"/>
    <w:basedOn w:val="1"/>
    <w:qFormat/>
    <w:uiPriority w:val="0"/>
    <w:pPr>
      <w:widowControl/>
      <w:pBdr>
        <w:left w:val="single" w:color="auto" w:sz="4" w:space="0"/>
        <w:bottom w:val="single" w:color="auto" w:sz="4" w:space="0"/>
        <w:right w:val="single" w:color="auto" w:sz="4" w:space="0"/>
      </w:pBdr>
      <w:shd w:val="clear" w:color="000000" w:fill="99FF66"/>
      <w:spacing w:before="100" w:beforeAutospacing="1" w:after="100" w:afterAutospacing="1" w:line="360" w:lineRule="auto"/>
      <w:ind w:firstLine="200" w:firstLineChars="200"/>
      <w:jc w:val="left"/>
    </w:pPr>
    <w:rPr>
      <w:rFonts w:hAnsi="宋体" w:cs="宋体"/>
      <w:kern w:val="0"/>
      <w:sz w:val="24"/>
    </w:rPr>
  </w:style>
  <w:style w:type="paragraph" w:customStyle="1" w:styleId="243">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hAnsi="宋体" w:cs="宋体"/>
      <w:b/>
      <w:bCs/>
      <w:kern w:val="0"/>
      <w:sz w:val="24"/>
    </w:rPr>
  </w:style>
  <w:style w:type="paragraph" w:customStyle="1" w:styleId="244">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hAnsi="宋体" w:cs="宋体"/>
      <w:kern w:val="0"/>
      <w:sz w:val="24"/>
    </w:rPr>
  </w:style>
  <w:style w:type="paragraph" w:customStyle="1" w:styleId="245">
    <w:name w:val="xl107"/>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line="360" w:lineRule="auto"/>
      <w:ind w:firstLine="200" w:firstLineChars="200"/>
      <w:jc w:val="center"/>
    </w:pPr>
    <w:rPr>
      <w:rFonts w:hAnsi="宋体" w:cs="宋体"/>
      <w:b/>
      <w:bCs/>
      <w:kern w:val="0"/>
      <w:sz w:val="24"/>
    </w:rPr>
  </w:style>
  <w:style w:type="paragraph" w:customStyle="1" w:styleId="246">
    <w:name w:val="xl108"/>
    <w:basedOn w:val="1"/>
    <w:qFormat/>
    <w:uiPriority w:val="0"/>
    <w:pPr>
      <w:widowControl/>
      <w:pBdr>
        <w:top w:val="single" w:color="auto" w:sz="4" w:space="0"/>
        <w:bottom w:val="single" w:color="auto" w:sz="4" w:space="0"/>
      </w:pBdr>
      <w:shd w:val="clear" w:color="000000" w:fill="FFFFFF"/>
      <w:spacing w:before="100" w:beforeAutospacing="1" w:after="100" w:afterAutospacing="1" w:line="360" w:lineRule="auto"/>
      <w:ind w:firstLine="200" w:firstLineChars="200"/>
      <w:jc w:val="center"/>
    </w:pPr>
    <w:rPr>
      <w:rFonts w:hAnsi="宋体" w:cs="宋体"/>
      <w:b/>
      <w:bCs/>
      <w:kern w:val="0"/>
      <w:sz w:val="24"/>
    </w:rPr>
  </w:style>
  <w:style w:type="paragraph" w:customStyle="1" w:styleId="247">
    <w:name w:val="xl109"/>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b/>
      <w:bCs/>
      <w:kern w:val="0"/>
      <w:sz w:val="24"/>
    </w:rPr>
  </w:style>
  <w:style w:type="paragraph" w:customStyle="1" w:styleId="248">
    <w:name w:val="xl11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49">
    <w:name w:val="xl111"/>
    <w:basedOn w:val="1"/>
    <w:qFormat/>
    <w:uiPriority w:val="0"/>
    <w:pPr>
      <w:widowControl/>
      <w:pBdr>
        <w:top w:val="single" w:color="auto" w:sz="4" w:space="0"/>
        <w:bottom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50">
    <w:name w:val="xl112"/>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51">
    <w:name w:val="xl113"/>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52">
    <w:name w:val="xl11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hAnsi="宋体" w:cs="宋体"/>
      <w:kern w:val="0"/>
      <w:sz w:val="22"/>
      <w:szCs w:val="22"/>
    </w:rPr>
  </w:style>
  <w:style w:type="paragraph" w:customStyle="1" w:styleId="253">
    <w:name w:val="xl115"/>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hAnsi="宋体" w:cs="宋体"/>
      <w:kern w:val="0"/>
      <w:sz w:val="22"/>
      <w:szCs w:val="22"/>
    </w:rPr>
  </w:style>
  <w:style w:type="paragraph" w:customStyle="1" w:styleId="254">
    <w:name w:val="xl116"/>
    <w:basedOn w:val="1"/>
    <w:qFormat/>
    <w:uiPriority w:val="0"/>
    <w:pPr>
      <w:widowControl/>
      <w:pBdr>
        <w:left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hAnsi="宋体" w:cs="宋体"/>
      <w:kern w:val="0"/>
      <w:sz w:val="22"/>
      <w:szCs w:val="22"/>
    </w:rPr>
  </w:style>
  <w:style w:type="paragraph" w:customStyle="1" w:styleId="255">
    <w:name w:val="xl117"/>
    <w:basedOn w:val="1"/>
    <w:qFormat/>
    <w:uiPriority w:val="0"/>
    <w:pPr>
      <w:widowControl/>
      <w:pBdr>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56">
    <w:name w:val="xl11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57">
    <w:name w:val="xl119"/>
    <w:basedOn w:val="1"/>
    <w:qFormat/>
    <w:uiPriority w:val="0"/>
    <w:pPr>
      <w:widowControl/>
      <w:pBdr>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58">
    <w:name w:val="xl120"/>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hAnsi="宋体" w:cs="宋体"/>
      <w:kern w:val="0"/>
      <w:sz w:val="24"/>
    </w:rPr>
  </w:style>
  <w:style w:type="paragraph" w:customStyle="1" w:styleId="259">
    <w:name w:val="样式 标题 2节标题 1.1 + 首行缩进:  2 字符"/>
    <w:basedOn w:val="3"/>
    <w:link w:val="261"/>
    <w:qFormat/>
    <w:uiPriority w:val="0"/>
    <w:pPr>
      <w:spacing w:before="260" w:after="260" w:line="416" w:lineRule="auto"/>
    </w:pPr>
    <w:rPr>
      <w:rFonts w:eastAsia="黑体" w:cs="宋体"/>
      <w:spacing w:val="-4"/>
      <w:sz w:val="32"/>
      <w:szCs w:val="24"/>
    </w:rPr>
  </w:style>
  <w:style w:type="paragraph" w:customStyle="1" w:styleId="260">
    <w:name w:val="标题2"/>
    <w:basedOn w:val="259"/>
    <w:link w:val="262"/>
    <w:qFormat/>
    <w:uiPriority w:val="0"/>
    <w:pPr>
      <w:spacing w:line="415" w:lineRule="auto"/>
      <w:jc w:val="left"/>
    </w:pPr>
  </w:style>
  <w:style w:type="character" w:customStyle="1" w:styleId="261">
    <w:name w:val="样式 标题 2节标题 1.1 + 首行缩进:  2 字符 Char"/>
    <w:link w:val="259"/>
    <w:qFormat/>
    <w:uiPriority w:val="0"/>
    <w:rPr>
      <w:rFonts w:ascii="Arial" w:hAnsi="Arial" w:eastAsia="黑体" w:cs="宋体"/>
      <w:b/>
      <w:bCs/>
      <w:spacing w:val="-4"/>
      <w:kern w:val="2"/>
      <w:sz w:val="32"/>
      <w:szCs w:val="24"/>
    </w:rPr>
  </w:style>
  <w:style w:type="character" w:customStyle="1" w:styleId="262">
    <w:name w:val="标题2 Char"/>
    <w:basedOn w:val="261"/>
    <w:link w:val="260"/>
    <w:qFormat/>
    <w:uiPriority w:val="0"/>
    <w:rPr>
      <w:rFonts w:ascii="Arial" w:hAnsi="Arial" w:eastAsia="黑体" w:cs="宋体"/>
      <w:spacing w:val="-4"/>
      <w:kern w:val="2"/>
      <w:sz w:val="32"/>
      <w:szCs w:val="24"/>
    </w:rPr>
  </w:style>
  <w:style w:type="paragraph" w:customStyle="1" w:styleId="263">
    <w:name w:val="填写说明的专业标题"/>
    <w:link w:val="264"/>
    <w:qFormat/>
    <w:uiPriority w:val="0"/>
    <w:pPr>
      <w:jc w:val="center"/>
    </w:pPr>
    <w:rPr>
      <w:rFonts w:cs="Times New Roman" w:asciiTheme="minorEastAsia" w:hAnsiTheme="minorEastAsia" w:eastAsiaTheme="minorEastAsia"/>
      <w:b/>
      <w:kern w:val="2"/>
      <w:sz w:val="28"/>
      <w:szCs w:val="28"/>
      <w:lang w:val="en-US" w:eastAsia="zh-CN" w:bidi="ar-SA"/>
    </w:rPr>
  </w:style>
  <w:style w:type="character" w:customStyle="1" w:styleId="264">
    <w:name w:val="填写说明的专业标题 字符"/>
    <w:basedOn w:val="46"/>
    <w:link w:val="263"/>
    <w:qFormat/>
    <w:uiPriority w:val="0"/>
    <w:rPr>
      <w:rFonts w:asciiTheme="minorEastAsia" w:hAnsiTheme="minorEastAsia" w:eastAsiaTheme="minorEastAsia"/>
      <w:b/>
      <w:kern w:val="2"/>
      <w:sz w:val="28"/>
      <w:szCs w:val="28"/>
    </w:rPr>
  </w:style>
  <w:style w:type="paragraph" w:customStyle="1" w:styleId="265">
    <w:name w:val="x大点一"/>
    <w:link w:val="266"/>
    <w:qFormat/>
    <w:uiPriority w:val="0"/>
    <w:pPr>
      <w:spacing w:line="360" w:lineRule="auto"/>
      <w:outlineLvl w:val="2"/>
    </w:pPr>
    <w:rPr>
      <w:rFonts w:cs="Times New Roman" w:asciiTheme="minorEastAsia" w:hAnsiTheme="minorEastAsia" w:eastAsiaTheme="minorEastAsia"/>
      <w:b/>
      <w:bCs/>
      <w:sz w:val="24"/>
      <w:szCs w:val="24"/>
      <w:lang w:val="en-US" w:eastAsia="zh-CN" w:bidi="ar-SA"/>
    </w:rPr>
  </w:style>
  <w:style w:type="character" w:customStyle="1" w:styleId="266">
    <w:name w:val="x大点一 字符"/>
    <w:basedOn w:val="46"/>
    <w:link w:val="265"/>
    <w:qFormat/>
    <w:uiPriority w:val="0"/>
    <w:rPr>
      <w:rFonts w:asciiTheme="minorEastAsia" w:hAnsiTheme="minorEastAsia" w:eastAsiaTheme="minorEastAsia"/>
      <w:b/>
      <w:bCs/>
      <w:sz w:val="24"/>
      <w:szCs w:val="24"/>
    </w:rPr>
  </w:style>
  <w:style w:type="paragraph" w:customStyle="1" w:styleId="267">
    <w:name w:val="x中点（一）"/>
    <w:link w:val="268"/>
    <w:qFormat/>
    <w:uiPriority w:val="0"/>
    <w:pPr>
      <w:spacing w:line="360" w:lineRule="auto"/>
      <w:jc w:val="center"/>
    </w:pPr>
    <w:rPr>
      <w:rFonts w:cs="Times New Roman" w:asciiTheme="minorEastAsia" w:hAnsiTheme="minorEastAsia" w:eastAsiaTheme="minorEastAsia"/>
      <w:b/>
      <w:bCs/>
      <w:sz w:val="24"/>
      <w:szCs w:val="24"/>
      <w:lang w:val="en-US" w:eastAsia="zh-CN" w:bidi="ar-SA"/>
    </w:rPr>
  </w:style>
  <w:style w:type="character" w:customStyle="1" w:styleId="268">
    <w:name w:val="x中点（一） 字符"/>
    <w:basedOn w:val="46"/>
    <w:link w:val="267"/>
    <w:qFormat/>
    <w:uiPriority w:val="0"/>
    <w:rPr>
      <w:rFonts w:asciiTheme="minorEastAsia" w:hAnsiTheme="minorEastAsia" w:eastAsiaTheme="minorEastAsia"/>
      <w:b/>
      <w:bCs/>
      <w:sz w:val="24"/>
      <w:szCs w:val="24"/>
    </w:rPr>
  </w:style>
  <w:style w:type="paragraph" w:customStyle="1" w:styleId="269">
    <w:name w:val="标题（目录）"/>
    <w:basedOn w:val="1"/>
    <w:link w:val="270"/>
    <w:qFormat/>
    <w:uiPriority w:val="0"/>
    <w:pPr>
      <w:widowControl/>
      <w:jc w:val="center"/>
    </w:pPr>
    <w:rPr>
      <w:rFonts w:hAnsi="宋体"/>
      <w:b/>
      <w:sz w:val="48"/>
      <w:szCs w:val="44"/>
    </w:rPr>
  </w:style>
  <w:style w:type="character" w:customStyle="1" w:styleId="270">
    <w:name w:val="标题（目录） 字符"/>
    <w:basedOn w:val="46"/>
    <w:link w:val="269"/>
    <w:qFormat/>
    <w:uiPriority w:val="0"/>
    <w:rPr>
      <w:rFonts w:ascii="宋体" w:hAnsi="宋体"/>
      <w:b/>
      <w:kern w:val="2"/>
      <w:sz w:val="48"/>
      <w:szCs w:val="44"/>
    </w:rPr>
  </w:style>
  <w:style w:type="paragraph" w:customStyle="1" w:styleId="271">
    <w:name w:val="列出段落2"/>
    <w:basedOn w:val="1"/>
    <w:qFormat/>
    <w:uiPriority w:val="34"/>
    <w:pPr>
      <w:ind w:firstLine="420" w:firstLineChars="200"/>
    </w:pPr>
  </w:style>
  <w:style w:type="paragraph" w:customStyle="1" w:styleId="272">
    <w:name w:val="正文（不缩进）"/>
    <w:qFormat/>
    <w:uiPriority w:val="0"/>
    <w:rPr>
      <w:rFonts w:ascii="宋体" w:hAnsi="Times New Roman" w:eastAsia="宋体" w:cs="Times New Roman"/>
      <w:kern w:val="2"/>
      <w:sz w:val="21"/>
      <w:szCs w:val="24"/>
      <w:lang w:val="en-US" w:eastAsia="zh-CN" w:bidi="ar-SA"/>
    </w:rPr>
  </w:style>
  <w:style w:type="paragraph" w:styleId="273">
    <w:name w:val="List Paragraph"/>
    <w:basedOn w:val="1"/>
    <w:qFormat/>
    <w:uiPriority w:val="34"/>
    <w:pPr>
      <w:ind w:firstLine="420" w:firstLineChars="200"/>
    </w:pPr>
    <w:rPr>
      <w:rFonts w:ascii="Times New Roman"/>
    </w:rPr>
  </w:style>
  <w:style w:type="character" w:styleId="274">
    <w:name w:val="Placeholder Text"/>
    <w:basedOn w:val="46"/>
    <w:semiHidden/>
    <w:qFormat/>
    <w:uiPriority w:val="99"/>
    <w:rPr>
      <w:color w:val="808080"/>
    </w:rPr>
  </w:style>
  <w:style w:type="paragraph" w:styleId="275">
    <w:name w:val="No Spacing"/>
    <w:unhideWhenUsed/>
    <w:qFormat/>
    <w:uiPriority w:val="1"/>
    <w:pPr>
      <w:widowControl w:val="0"/>
      <w:autoSpaceDE w:val="0"/>
      <w:autoSpaceDN w:val="0"/>
      <w:adjustRightInd w:val="0"/>
    </w:pPr>
    <w:rPr>
      <w:rFonts w:hint="eastAsia" w:ascii="Times New Roman" w:hAnsi="Times New Roman" w:eastAsia="等线" w:cs="Times New Roman"/>
      <w:sz w:val="24"/>
      <w:lang w:val="en-US" w:eastAsia="zh-CN" w:bidi="ar-SA"/>
    </w:rPr>
  </w:style>
  <w:style w:type="paragraph" w:customStyle="1" w:styleId="276">
    <w:name w:val="TOC 标题2"/>
    <w:basedOn w:val="2"/>
    <w:next w:val="1"/>
    <w:unhideWhenUsed/>
    <w:qFormat/>
    <w:uiPriority w:val="39"/>
    <w:pPr>
      <w:widowControl/>
      <w:spacing w:after="0" w:line="259" w:lineRule="auto"/>
      <w:jc w:val="left"/>
      <w:outlineLvl w:val="9"/>
    </w:pPr>
    <w:rPr>
      <w:rFonts w:asciiTheme="majorHAnsi" w:hAnsiTheme="majorHAnsi" w:eastAsiaTheme="majorEastAsia" w:cstheme="majorBidi"/>
      <w:b w:val="0"/>
      <w:bCs w:val="0"/>
      <w:color w:val="376092" w:themeColor="accent1" w:themeShade="BF"/>
      <w:kern w:val="0"/>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header" Target="header10.xml"/><Relationship Id="rId13" Type="http://schemas.openxmlformats.org/officeDocument/2006/relationships/footer" Target="footer2.xml"/><Relationship Id="rId12" Type="http://schemas.openxmlformats.org/officeDocument/2006/relationships/header" Target="header9.xml"/><Relationship Id="rId11" Type="http://schemas.openxmlformats.org/officeDocument/2006/relationships/header" Target="header8.xml"/><Relationship Id="rId10" Type="http://schemas.openxmlformats.org/officeDocument/2006/relationships/header" Target="head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145</Pages>
  <Words>17792</Words>
  <Characters>101416</Characters>
  <Lines>845</Lines>
  <Paragraphs>237</Paragraphs>
  <TotalTime>0</TotalTime>
  <ScaleCrop>false</ScaleCrop>
  <LinksUpToDate>false</LinksUpToDate>
  <CharactersWithSpaces>118971</CharactersWithSpaces>
  <Application>WPS Office_11.8.2.10229_F1E327BC-269C-435d-A152-05C5408002CA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2022-01-22T03:13:00Z</dcterms:created>
  <dc:creator>余雪婧</dc:creator>
  <cp:lastModifiedBy>user</cp:lastModifiedBy>
  <cp:lastPrinted>2017-09-18T06:07:00Z</cp:lastPrinted>
  <dcterms:modified xsi:type="dcterms:W3CDTF">2022-10-09T14:43:15Z</dcterms:modified>
  <cp:revision>83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E1D291DD7CFB48109AFE4CBB25646944</vt:lpwstr>
  </property>
</Properties>
</file>