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Ansi="宋体"/>
          <w:sz w:val="96"/>
          <w:szCs w:val="84"/>
        </w:rPr>
      </w:pPr>
    </w:p>
    <w:p>
      <w:pPr>
        <w:jc w:val="center"/>
        <w:rPr>
          <w:rFonts w:hAnsi="宋体"/>
          <w:sz w:val="96"/>
          <w:szCs w:val="84"/>
        </w:rPr>
      </w:pPr>
    </w:p>
    <w:p>
      <w:pPr>
        <w:jc w:val="center"/>
        <w:rPr>
          <w:rFonts w:hAnsi="宋体"/>
          <w:sz w:val="96"/>
          <w:szCs w:val="84"/>
        </w:rPr>
      </w:pPr>
    </w:p>
    <w:p>
      <w:pPr>
        <w:jc w:val="center"/>
        <w:rPr>
          <w:rFonts w:hint="eastAsia" w:hAnsi="宋体"/>
          <w:sz w:val="96"/>
          <w:szCs w:val="84"/>
          <w:lang w:eastAsia="zh-CN"/>
        </w:rPr>
      </w:pPr>
      <w:r>
        <w:rPr>
          <w:rFonts w:hint="eastAsia" w:hAnsi="宋体"/>
          <w:sz w:val="96"/>
          <w:szCs w:val="84"/>
        </w:rPr>
        <w:t>杭州市</w:t>
      </w:r>
      <w:r>
        <w:rPr>
          <w:rFonts w:hint="eastAsia" w:hAnsi="宋体"/>
          <w:sz w:val="96"/>
          <w:szCs w:val="84"/>
          <w:lang w:eastAsia="zh-CN"/>
        </w:rPr>
        <w:t>公共</w:t>
      </w:r>
      <w:r>
        <w:rPr>
          <w:rFonts w:hint="eastAsia" w:hAnsi="宋体"/>
          <w:sz w:val="96"/>
          <w:szCs w:val="84"/>
        </w:rPr>
        <w:t>建筑绿色与节能设计施工图专篇</w:t>
      </w:r>
      <w:r>
        <w:rPr>
          <w:rFonts w:hint="eastAsia" w:hAnsi="宋体"/>
          <w:sz w:val="96"/>
          <w:szCs w:val="84"/>
          <w:lang w:eastAsia="zh-CN"/>
        </w:rPr>
        <w:t>（</w:t>
      </w:r>
      <w:r>
        <w:rPr>
          <w:rFonts w:hint="eastAsia" w:hAnsi="宋体"/>
          <w:sz w:val="96"/>
          <w:szCs w:val="84"/>
          <w:lang w:val="en-US" w:eastAsia="zh-CN"/>
        </w:rPr>
        <w:t>2022版</w:t>
      </w:r>
      <w:r>
        <w:rPr>
          <w:rFonts w:hint="eastAsia" w:hAnsi="宋体"/>
          <w:sz w:val="96"/>
          <w:szCs w:val="84"/>
          <w:lang w:eastAsia="zh-CN"/>
        </w:rPr>
        <w:t>）</w:t>
      </w:r>
      <w:bookmarkStart w:id="44" w:name="_GoBack"/>
      <w:bookmarkEnd w:id="44"/>
    </w:p>
    <w:p>
      <w:pPr>
        <w:widowControl/>
        <w:rPr>
          <w:rFonts w:hAnsi="宋体"/>
          <w:b/>
          <w:sz w:val="52"/>
          <w:szCs w:val="44"/>
        </w:rPr>
      </w:pPr>
      <w:r>
        <w:rPr>
          <w:rFonts w:hAnsi="宋体"/>
          <w:b/>
          <w:sz w:val="52"/>
          <w:szCs w:val="44"/>
        </w:rPr>
        <w:br w:type="page"/>
      </w:r>
    </w:p>
    <w:sdt>
      <w:sdtPr>
        <w:rPr>
          <w:rFonts w:ascii="宋体" w:hAnsi="Times New Roman" w:eastAsia="宋体" w:cs="Times New Roman"/>
          <w:color w:val="auto"/>
          <w:kern w:val="2"/>
          <w:sz w:val="21"/>
          <w:szCs w:val="24"/>
          <w:lang w:val="zh-CN"/>
        </w:rPr>
        <w:id w:val="1476950703"/>
        <w:docPartObj>
          <w:docPartGallery w:val="Table of Contents"/>
          <w:docPartUnique/>
        </w:docPartObj>
      </w:sdtPr>
      <w:sdtEndPr>
        <w:rPr>
          <w:rFonts w:ascii="宋体" w:hAnsi="Times New Roman" w:eastAsia="宋体" w:cs="Times New Roman"/>
          <w:b/>
          <w:bCs/>
          <w:color w:val="auto"/>
          <w:kern w:val="2"/>
          <w:sz w:val="21"/>
          <w:szCs w:val="24"/>
          <w:lang w:val="zh-CN"/>
        </w:rPr>
      </w:sdtEndPr>
      <w:sdtContent>
        <w:p>
          <w:pPr>
            <w:pStyle w:val="276"/>
            <w:jc w:val="center"/>
            <w:rPr>
              <w:rFonts w:ascii="宋体" w:hAnsi="宋体" w:eastAsia="宋体" w:cs="Times New Roman"/>
              <w:b/>
              <w:color w:val="auto"/>
              <w:kern w:val="2"/>
              <w:sz w:val="52"/>
              <w:szCs w:val="44"/>
            </w:rPr>
          </w:pPr>
          <w:r>
            <w:rPr>
              <w:rFonts w:ascii="宋体" w:hAnsi="宋体" w:eastAsia="宋体" w:cs="Times New Roman"/>
              <w:b/>
              <w:color w:val="auto"/>
              <w:kern w:val="2"/>
              <w:sz w:val="52"/>
              <w:szCs w:val="44"/>
            </w:rPr>
            <w:t>目录</w:t>
          </w:r>
        </w:p>
        <w:p>
          <w:pPr>
            <w:pStyle w:val="31"/>
            <w:tabs>
              <w:tab w:val="right" w:leader="dot" w:pos="20204"/>
            </w:tabs>
            <w:rPr>
              <w:rFonts w:ascii="宋体" w:hAnsi="宋体" w:cs="Times New Roman"/>
              <w:b w:val="0"/>
              <w:bCs w:val="0"/>
              <w:caps w:val="0"/>
              <w:sz w:val="36"/>
              <w:szCs w:val="44"/>
            </w:rPr>
          </w:pPr>
          <w:r>
            <w:rPr>
              <w:rFonts w:ascii="宋体" w:hAnsi="宋体" w:cs="Times New Roman"/>
              <w:b w:val="0"/>
              <w:bCs w:val="0"/>
              <w:caps w:val="0"/>
              <w:sz w:val="36"/>
              <w:szCs w:val="44"/>
            </w:rPr>
            <w:fldChar w:fldCharType="begin"/>
          </w:r>
          <w:r>
            <w:rPr>
              <w:rFonts w:ascii="宋体" w:hAnsi="宋体" w:cs="Times New Roman"/>
              <w:b w:val="0"/>
              <w:bCs w:val="0"/>
              <w:caps w:val="0"/>
              <w:sz w:val="36"/>
              <w:szCs w:val="44"/>
            </w:rPr>
            <w:instrText xml:space="preserve"> TOC \o "1-3" \h \z \u </w:instrText>
          </w:r>
          <w:r>
            <w:rPr>
              <w:rFonts w:ascii="宋体" w:hAnsi="宋体" w:cs="Times New Roman"/>
              <w:b w:val="0"/>
              <w:bCs w:val="0"/>
              <w:caps w:val="0"/>
              <w:sz w:val="36"/>
              <w:szCs w:val="44"/>
            </w:rPr>
            <w:fldChar w:fldCharType="separate"/>
          </w:r>
          <w:r>
            <w:fldChar w:fldCharType="begin"/>
          </w:r>
          <w:r>
            <w:instrText xml:space="preserve"> HYPERLINK \l "_Toc113028980" </w:instrText>
          </w:r>
          <w:r>
            <w:fldChar w:fldCharType="separate"/>
          </w:r>
          <w:r>
            <w:rPr>
              <w:rFonts w:ascii="宋体" w:hAnsi="宋体" w:cs="Times New Roman"/>
              <w:b w:val="0"/>
              <w:bCs w:val="0"/>
              <w:caps w:val="0"/>
              <w:sz w:val="36"/>
              <w:szCs w:val="44"/>
            </w:rPr>
            <w:t>第一部分：杭州市民用建筑绿色与节能设计施工图专篇</w:t>
          </w:r>
          <w:r>
            <w:rPr>
              <w:rFonts w:ascii="宋体" w:hAnsi="宋体" w:cs="Times New Roman"/>
              <w:b w:val="0"/>
              <w:bCs w:val="0"/>
              <w:caps w:val="0"/>
              <w:sz w:val="36"/>
              <w:szCs w:val="44"/>
            </w:rPr>
            <w:tab/>
          </w:r>
          <w:r>
            <w:rPr>
              <w:rFonts w:ascii="宋体" w:hAnsi="宋体" w:cs="Times New Roman"/>
              <w:b w:val="0"/>
              <w:bCs w:val="0"/>
              <w:caps w:val="0"/>
              <w:sz w:val="36"/>
              <w:szCs w:val="44"/>
            </w:rPr>
            <w:fldChar w:fldCharType="begin"/>
          </w:r>
          <w:r>
            <w:rPr>
              <w:rFonts w:ascii="宋体" w:hAnsi="宋体" w:cs="Times New Roman"/>
              <w:b w:val="0"/>
              <w:bCs w:val="0"/>
              <w:caps w:val="0"/>
              <w:sz w:val="36"/>
              <w:szCs w:val="44"/>
            </w:rPr>
            <w:instrText xml:space="preserve"> PAGEREF _Toc113028980 \h </w:instrText>
          </w:r>
          <w:r>
            <w:rPr>
              <w:rFonts w:ascii="宋体" w:hAnsi="宋体" w:cs="Times New Roman"/>
              <w:b w:val="0"/>
              <w:bCs w:val="0"/>
              <w:caps w:val="0"/>
              <w:sz w:val="36"/>
              <w:szCs w:val="44"/>
            </w:rPr>
            <w:fldChar w:fldCharType="separate"/>
          </w:r>
          <w:r>
            <w:rPr>
              <w:rFonts w:ascii="宋体" w:hAnsi="宋体" w:cs="Times New Roman"/>
              <w:b w:val="0"/>
              <w:bCs w:val="0"/>
              <w:caps w:val="0"/>
              <w:sz w:val="36"/>
              <w:szCs w:val="44"/>
            </w:rPr>
            <w:t>1</w:t>
          </w:r>
          <w:r>
            <w:rPr>
              <w:rFonts w:ascii="宋体" w:hAnsi="宋体" w:cs="Times New Roman"/>
              <w:b w:val="0"/>
              <w:bCs w:val="0"/>
              <w:caps w:val="0"/>
              <w:sz w:val="36"/>
              <w:szCs w:val="44"/>
            </w:rPr>
            <w:fldChar w:fldCharType="end"/>
          </w:r>
          <w:r>
            <w:rPr>
              <w:rFonts w:ascii="宋体" w:hAnsi="宋体" w:cs="Times New Roman"/>
              <w:b w:val="0"/>
              <w:bCs w:val="0"/>
              <w:caps w:val="0"/>
              <w:sz w:val="36"/>
              <w:szCs w:val="44"/>
            </w:rPr>
            <w:fldChar w:fldCharType="end"/>
          </w:r>
        </w:p>
        <w:p>
          <w:pPr>
            <w:pStyle w:val="31"/>
            <w:tabs>
              <w:tab w:val="right" w:leader="dot" w:pos="20204"/>
            </w:tabs>
            <w:rPr>
              <w:rFonts w:ascii="宋体" w:hAnsi="宋体" w:cs="Times New Roman"/>
              <w:b w:val="0"/>
              <w:bCs w:val="0"/>
              <w:caps w:val="0"/>
              <w:sz w:val="36"/>
              <w:szCs w:val="44"/>
            </w:rPr>
          </w:pPr>
          <w:r>
            <w:fldChar w:fldCharType="begin"/>
          </w:r>
          <w:r>
            <w:instrText xml:space="preserve"> HYPERLINK \l "_Toc113028981" </w:instrText>
          </w:r>
          <w:r>
            <w:fldChar w:fldCharType="separate"/>
          </w:r>
          <w:r>
            <w:rPr>
              <w:rFonts w:ascii="宋体" w:hAnsi="宋体" w:cs="Times New Roman"/>
              <w:b w:val="0"/>
              <w:bCs w:val="0"/>
              <w:caps w:val="0"/>
              <w:sz w:val="36"/>
              <w:szCs w:val="44"/>
            </w:rPr>
            <w:t>第二部分：绿色建筑预评价自评表</w:t>
          </w:r>
          <w:r>
            <w:rPr>
              <w:rFonts w:ascii="宋体" w:hAnsi="宋体" w:cs="Times New Roman"/>
              <w:b w:val="0"/>
              <w:bCs w:val="0"/>
              <w:caps w:val="0"/>
              <w:sz w:val="36"/>
              <w:szCs w:val="44"/>
            </w:rPr>
            <w:tab/>
          </w:r>
          <w:r>
            <w:rPr>
              <w:rFonts w:ascii="宋体" w:hAnsi="宋体" w:cs="Times New Roman"/>
              <w:b w:val="0"/>
              <w:bCs w:val="0"/>
              <w:caps w:val="0"/>
              <w:sz w:val="36"/>
              <w:szCs w:val="44"/>
            </w:rPr>
            <w:fldChar w:fldCharType="begin"/>
          </w:r>
          <w:r>
            <w:rPr>
              <w:rFonts w:ascii="宋体" w:hAnsi="宋体" w:cs="Times New Roman"/>
              <w:b w:val="0"/>
              <w:bCs w:val="0"/>
              <w:caps w:val="0"/>
              <w:sz w:val="36"/>
              <w:szCs w:val="44"/>
            </w:rPr>
            <w:instrText xml:space="preserve"> PAGEREF _Toc113028981 \h </w:instrText>
          </w:r>
          <w:r>
            <w:rPr>
              <w:rFonts w:ascii="宋体" w:hAnsi="宋体" w:cs="Times New Roman"/>
              <w:b w:val="0"/>
              <w:bCs w:val="0"/>
              <w:caps w:val="0"/>
              <w:sz w:val="36"/>
              <w:szCs w:val="44"/>
            </w:rPr>
            <w:fldChar w:fldCharType="separate"/>
          </w:r>
          <w:r>
            <w:rPr>
              <w:rFonts w:ascii="宋体" w:hAnsi="宋体" w:cs="Times New Roman"/>
              <w:b w:val="0"/>
              <w:bCs w:val="0"/>
              <w:caps w:val="0"/>
              <w:sz w:val="36"/>
              <w:szCs w:val="44"/>
            </w:rPr>
            <w:t>20</w:t>
          </w:r>
          <w:r>
            <w:rPr>
              <w:rFonts w:ascii="宋体" w:hAnsi="宋体" w:cs="Times New Roman"/>
              <w:b w:val="0"/>
              <w:bCs w:val="0"/>
              <w:caps w:val="0"/>
              <w:sz w:val="36"/>
              <w:szCs w:val="44"/>
            </w:rPr>
            <w:fldChar w:fldCharType="end"/>
          </w:r>
          <w:r>
            <w:rPr>
              <w:rFonts w:ascii="宋体" w:hAnsi="宋体" w:cs="Times New Roman"/>
              <w:b w:val="0"/>
              <w:bCs w:val="0"/>
              <w:cap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"_Toc113028982" </w:instrText>
          </w:r>
          <w:r>
            <w:fldChar w:fldCharType="separate"/>
          </w:r>
          <w:r>
            <w:rPr>
              <w:rFonts w:ascii="宋体" w:cs="Times New Roman"/>
              <w:i w:val="0"/>
              <w:iCs w:val="0"/>
              <w:sz w:val="36"/>
              <w:szCs w:val="44"/>
            </w:rPr>
            <w:t>绿色建筑预评价自评表1 - 汇总表</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_Toc113028982 \h </w:instrText>
          </w:r>
          <w:r>
            <w:rPr>
              <w:rFonts w:ascii="宋体" w:hAnsi="宋体" w:cs="Times New Roman"/>
              <w:i w:val="0"/>
              <w:iCs w:val="0"/>
              <w:sz w:val="36"/>
              <w:szCs w:val="44"/>
            </w:rPr>
            <w:fldChar w:fldCharType="separate"/>
          </w:r>
          <w:r>
            <w:rPr>
              <w:rFonts w:ascii="宋体" w:hAnsi="宋体" w:cs="Times New Roman"/>
              <w:i w:val="0"/>
              <w:iCs w:val="0"/>
              <w:sz w:val="36"/>
              <w:szCs w:val="44"/>
            </w:rPr>
            <w:t>21</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"_Toc113028983" </w:instrText>
          </w:r>
          <w:r>
            <w:fldChar w:fldCharType="separate"/>
          </w:r>
          <w:r>
            <w:rPr>
              <w:rFonts w:ascii="宋体" w:cs="Times New Roman"/>
              <w:i w:val="0"/>
              <w:iCs w:val="0"/>
              <w:sz w:val="36"/>
              <w:szCs w:val="44"/>
            </w:rPr>
            <w:t>绿色建筑预评价自评表2 - 分项打分表</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_Toc113028983 \h </w:instrText>
          </w:r>
          <w:r>
            <w:rPr>
              <w:rFonts w:ascii="宋体" w:hAnsi="宋体" w:cs="Times New Roman"/>
              <w:i w:val="0"/>
              <w:iCs w:val="0"/>
              <w:sz w:val="36"/>
              <w:szCs w:val="44"/>
            </w:rPr>
            <w:fldChar w:fldCharType="separate"/>
          </w:r>
          <w:r>
            <w:rPr>
              <w:rFonts w:ascii="宋体" w:hAnsi="宋体" w:cs="Times New Roman"/>
              <w:i w:val="0"/>
              <w:iCs w:val="0"/>
              <w:sz w:val="36"/>
              <w:szCs w:val="44"/>
            </w:rPr>
            <w:t>22</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pPr>
            <w:pStyle w:val="31"/>
            <w:tabs>
              <w:tab w:val="right" w:leader="dot" w:pos="20204"/>
            </w:tabs>
            <w:rPr>
              <w:rFonts w:ascii="宋体" w:hAnsi="宋体" w:cs="Times New Roman"/>
              <w:b w:val="0"/>
              <w:bCs w:val="0"/>
              <w:caps w:val="0"/>
              <w:sz w:val="36"/>
              <w:szCs w:val="44"/>
            </w:rPr>
          </w:pPr>
          <w:r>
            <w:fldChar w:fldCharType="begin"/>
          </w:r>
          <w:r>
            <w:instrText xml:space="preserve"> HYPERLINK \l "_Toc113028984" </w:instrText>
          </w:r>
          <w:r>
            <w:fldChar w:fldCharType="separate"/>
          </w:r>
          <w:r>
            <w:rPr>
              <w:rFonts w:ascii="宋体" w:hAnsi="宋体" w:cs="Times New Roman"/>
              <w:b w:val="0"/>
              <w:bCs w:val="0"/>
              <w:caps w:val="0"/>
              <w:sz w:val="36"/>
              <w:szCs w:val="44"/>
            </w:rPr>
            <w:t>第三部分：杭州市民用建筑绿色与节能设计施工图专篇填写说明</w:t>
          </w:r>
          <w:r>
            <w:rPr>
              <w:rFonts w:ascii="宋体" w:hAnsi="宋体" w:cs="Times New Roman"/>
              <w:b w:val="0"/>
              <w:bCs w:val="0"/>
              <w:caps w:val="0"/>
              <w:sz w:val="36"/>
              <w:szCs w:val="44"/>
            </w:rPr>
            <w:tab/>
          </w:r>
          <w:r>
            <w:rPr>
              <w:rFonts w:ascii="宋体" w:hAnsi="宋体" w:cs="Times New Roman"/>
              <w:b w:val="0"/>
              <w:bCs w:val="0"/>
              <w:caps w:val="0"/>
              <w:sz w:val="36"/>
              <w:szCs w:val="44"/>
            </w:rPr>
            <w:fldChar w:fldCharType="begin"/>
          </w:r>
          <w:r>
            <w:rPr>
              <w:rFonts w:ascii="宋体" w:hAnsi="宋体" w:cs="Times New Roman"/>
              <w:b w:val="0"/>
              <w:bCs w:val="0"/>
              <w:caps w:val="0"/>
              <w:sz w:val="36"/>
              <w:szCs w:val="44"/>
            </w:rPr>
            <w:instrText xml:space="preserve"> PAGEREF _Toc113028984 \h </w:instrText>
          </w:r>
          <w:r>
            <w:rPr>
              <w:rFonts w:ascii="宋体" w:hAnsi="宋体" w:cs="Times New Roman"/>
              <w:b w:val="0"/>
              <w:bCs w:val="0"/>
              <w:caps w:val="0"/>
              <w:sz w:val="36"/>
              <w:szCs w:val="44"/>
            </w:rPr>
            <w:fldChar w:fldCharType="separate"/>
          </w:r>
          <w:r>
            <w:rPr>
              <w:rFonts w:ascii="宋体" w:hAnsi="宋体" w:cs="Times New Roman"/>
              <w:b w:val="0"/>
              <w:bCs w:val="0"/>
              <w:caps w:val="0"/>
              <w:sz w:val="36"/>
              <w:szCs w:val="44"/>
            </w:rPr>
            <w:t>37</w:t>
          </w:r>
          <w:r>
            <w:rPr>
              <w:rFonts w:ascii="宋体" w:hAnsi="宋体" w:cs="Times New Roman"/>
              <w:b w:val="0"/>
              <w:bCs w:val="0"/>
              <w:caps w:val="0"/>
              <w:sz w:val="36"/>
              <w:szCs w:val="44"/>
            </w:rPr>
            <w:fldChar w:fldCharType="end"/>
          </w:r>
          <w:r>
            <w:rPr>
              <w:rFonts w:ascii="宋体" w:hAnsi="宋体" w:cs="Times New Roman"/>
              <w:b w:val="0"/>
              <w:bCs w:val="0"/>
              <w:cap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"_Toc113028985" </w:instrText>
          </w:r>
          <w:r>
            <w:fldChar w:fldCharType="separate"/>
          </w:r>
          <w:r>
            <w:rPr>
              <w:rFonts w:ascii="宋体" w:hAnsi="宋体" w:cs="Times New Roman"/>
              <w:i w:val="0"/>
              <w:iCs w:val="0"/>
              <w:sz w:val="36"/>
              <w:szCs w:val="44"/>
            </w:rPr>
            <w:t xml:space="preserve">3.1 </w:t>
          </w:r>
          <w:r>
            <w:rPr>
              <w:rFonts w:hint="eastAsia" w:ascii="宋体" w:hAnsi="宋体" w:cs="Times New Roman"/>
              <w:i w:val="0"/>
              <w:iCs w:val="0"/>
              <w:sz w:val="36"/>
              <w:szCs w:val="44"/>
            </w:rPr>
            <w:t>总表</w:t>
          </w:r>
          <w:r>
            <w:rPr>
              <w:rFonts w:ascii="宋体" w:hAnsi="宋体" w:cs="Times New Roman"/>
              <w:i w:val="0"/>
              <w:iCs w:val="0"/>
              <w:sz w:val="36"/>
              <w:szCs w:val="44"/>
            </w:rPr>
            <w:t>填写说明</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_Toc113028985 \h </w:instrText>
          </w:r>
          <w:r>
            <w:rPr>
              <w:rFonts w:ascii="宋体" w:hAnsi="宋体" w:cs="Times New Roman"/>
              <w:i w:val="0"/>
              <w:iCs w:val="0"/>
              <w:sz w:val="36"/>
              <w:szCs w:val="44"/>
            </w:rPr>
            <w:fldChar w:fldCharType="separate"/>
          </w:r>
          <w:r>
            <w:rPr>
              <w:rFonts w:ascii="宋体" w:hAnsi="宋体" w:cs="Times New Roman"/>
              <w:i w:val="0"/>
              <w:iCs w:val="0"/>
              <w:sz w:val="36"/>
              <w:szCs w:val="44"/>
            </w:rPr>
            <w:t>38</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"_Toc113028985" </w:instrText>
          </w:r>
          <w:r>
            <w:fldChar w:fldCharType="separate"/>
          </w:r>
          <w:r>
            <w:rPr>
              <w:rFonts w:ascii="宋体" w:hAnsi="宋体" w:cs="Times New Roman"/>
              <w:i w:val="0"/>
              <w:iCs w:val="0"/>
              <w:sz w:val="36"/>
              <w:szCs w:val="44"/>
            </w:rPr>
            <w:t>3.2 建筑专业填写说明</w:t>
          </w:r>
          <w:r>
            <w:rPr>
              <w:rFonts w:ascii="宋体" w:hAnsi="宋体" w:cs="Times New Roman"/>
              <w:i w:val="0"/>
              <w:iCs w:val="0"/>
              <w:sz w:val="36"/>
              <w:szCs w:val="44"/>
            </w:rPr>
            <w:tab/>
          </w:r>
          <w:r>
            <w:rPr>
              <w:rFonts w:ascii="宋体" w:hAnsi="宋体" w:cs="Times New Roman"/>
              <w:i w:val="0"/>
              <w:iCs w:val="0"/>
              <w:sz w:val="36"/>
              <w:szCs w:val="44"/>
            </w:rPr>
            <w:t>40</w:t>
          </w:r>
          <w:r>
            <w:rPr>
              <w:rFonts w:ascii="宋体" w:hAnsi="宋体" w:cs="Times New Roman"/>
              <w:i w:val="0"/>
              <w:iC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"_Toc113028986" </w:instrText>
          </w:r>
          <w:r>
            <w:fldChar w:fldCharType="separate"/>
          </w:r>
          <w:r>
            <w:rPr>
              <w:rFonts w:ascii="宋体" w:hAnsi="宋体" w:cs="Times New Roman"/>
              <w:i w:val="0"/>
              <w:iCs w:val="0"/>
              <w:sz w:val="36"/>
              <w:szCs w:val="44"/>
            </w:rPr>
            <w:t>3.3 结构专业填写说明</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_Toc113028986 \h </w:instrText>
          </w:r>
          <w:r>
            <w:rPr>
              <w:rFonts w:ascii="宋体" w:hAnsi="宋体" w:cs="Times New Roman"/>
              <w:i w:val="0"/>
              <w:iCs w:val="0"/>
              <w:sz w:val="36"/>
              <w:szCs w:val="44"/>
            </w:rPr>
            <w:fldChar w:fldCharType="separate"/>
          </w:r>
          <w:r>
            <w:rPr>
              <w:rFonts w:ascii="宋体" w:hAnsi="宋体" w:cs="Times New Roman"/>
              <w:i w:val="0"/>
              <w:iCs w:val="0"/>
              <w:sz w:val="36"/>
              <w:szCs w:val="44"/>
            </w:rPr>
            <w:t>97</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"_Toc113028987" </w:instrText>
          </w:r>
          <w:r>
            <w:fldChar w:fldCharType="separate"/>
          </w:r>
          <w:r>
            <w:rPr>
              <w:rFonts w:ascii="宋体" w:hAnsi="宋体" w:cs="Times New Roman"/>
              <w:i w:val="0"/>
              <w:iCs w:val="0"/>
              <w:sz w:val="36"/>
              <w:szCs w:val="44"/>
            </w:rPr>
            <w:t>3.4 给排水专业填写说明</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_Toc113028987 \h </w:instrText>
          </w:r>
          <w:r>
            <w:rPr>
              <w:rFonts w:ascii="宋体" w:hAnsi="宋体" w:cs="Times New Roman"/>
              <w:i w:val="0"/>
              <w:iCs w:val="0"/>
              <w:sz w:val="36"/>
              <w:szCs w:val="44"/>
            </w:rPr>
            <w:fldChar w:fldCharType="separate"/>
          </w:r>
          <w:r>
            <w:rPr>
              <w:rFonts w:ascii="宋体" w:hAnsi="宋体" w:cs="Times New Roman"/>
              <w:i w:val="0"/>
              <w:iCs w:val="0"/>
              <w:sz w:val="36"/>
              <w:szCs w:val="44"/>
            </w:rPr>
            <w:t>110</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"_Toc113028988" </w:instrText>
          </w:r>
          <w:r>
            <w:fldChar w:fldCharType="separate"/>
          </w:r>
          <w:r>
            <w:rPr>
              <w:rFonts w:ascii="宋体" w:hAnsi="宋体" w:cs="Times New Roman"/>
              <w:i w:val="0"/>
              <w:iCs w:val="0"/>
              <w:sz w:val="36"/>
              <w:szCs w:val="44"/>
            </w:rPr>
            <w:t>3.5 暖通专业填写说明</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_Toc113028988 \h </w:instrText>
          </w:r>
          <w:r>
            <w:rPr>
              <w:rFonts w:ascii="宋体" w:hAnsi="宋体" w:cs="Times New Roman"/>
              <w:i w:val="0"/>
              <w:iCs w:val="0"/>
              <w:sz w:val="36"/>
              <w:szCs w:val="44"/>
            </w:rPr>
            <w:fldChar w:fldCharType="separate"/>
          </w:r>
          <w:r>
            <w:rPr>
              <w:rFonts w:ascii="宋体" w:hAnsi="宋体" w:cs="Times New Roman"/>
              <w:i w:val="0"/>
              <w:iCs w:val="0"/>
              <w:sz w:val="36"/>
              <w:szCs w:val="44"/>
            </w:rPr>
            <w:t>115</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pPr>
            <w:pStyle w:val="22"/>
            <w:tabs>
              <w:tab w:val="right" w:leader="dot" w:pos="20204"/>
            </w:tabs>
            <w:rPr>
              <w:rFonts w:ascii="宋体" w:hAnsi="宋体" w:cs="Times New Roman"/>
              <w:i w:val="0"/>
              <w:iCs w:val="0"/>
              <w:sz w:val="36"/>
              <w:szCs w:val="44"/>
            </w:rPr>
          </w:pPr>
          <w:r>
            <w:fldChar w:fldCharType="begin"/>
          </w:r>
          <w:r>
            <w:instrText xml:space="preserve"> HYPERLINK \l "_Toc113028989" </w:instrText>
          </w:r>
          <w:r>
            <w:fldChar w:fldCharType="separate"/>
          </w:r>
          <w:r>
            <w:rPr>
              <w:rFonts w:ascii="宋体" w:hAnsi="宋体" w:cs="Times New Roman"/>
              <w:i w:val="0"/>
              <w:iCs w:val="0"/>
              <w:sz w:val="36"/>
              <w:szCs w:val="44"/>
            </w:rPr>
            <w:t>3.6 电气及智能化专业填写说明</w:t>
          </w:r>
          <w:r>
            <w:rPr>
              <w:rFonts w:ascii="宋体" w:hAnsi="宋体" w:cs="Times New Roman"/>
              <w:i w:val="0"/>
              <w:iCs w:val="0"/>
              <w:sz w:val="36"/>
              <w:szCs w:val="44"/>
            </w:rPr>
            <w:tab/>
          </w:r>
          <w:r>
            <w:rPr>
              <w:rFonts w:ascii="宋体" w:hAnsi="宋体" w:cs="Times New Roman"/>
              <w:i w:val="0"/>
              <w:iCs w:val="0"/>
              <w:sz w:val="36"/>
              <w:szCs w:val="44"/>
            </w:rPr>
            <w:fldChar w:fldCharType="begin"/>
          </w:r>
          <w:r>
            <w:rPr>
              <w:rFonts w:ascii="宋体" w:hAnsi="宋体" w:cs="Times New Roman"/>
              <w:i w:val="0"/>
              <w:iCs w:val="0"/>
              <w:sz w:val="36"/>
              <w:szCs w:val="44"/>
            </w:rPr>
            <w:instrText xml:space="preserve"> PAGEREF _Toc113028989 \h </w:instrText>
          </w:r>
          <w:r>
            <w:rPr>
              <w:rFonts w:ascii="宋体" w:hAnsi="宋体" w:cs="Times New Roman"/>
              <w:i w:val="0"/>
              <w:iCs w:val="0"/>
              <w:sz w:val="36"/>
              <w:szCs w:val="44"/>
            </w:rPr>
            <w:fldChar w:fldCharType="separate"/>
          </w:r>
          <w:r>
            <w:rPr>
              <w:rFonts w:ascii="宋体" w:hAnsi="宋体" w:cs="Times New Roman"/>
              <w:i w:val="0"/>
              <w:iCs w:val="0"/>
              <w:sz w:val="36"/>
              <w:szCs w:val="44"/>
            </w:rPr>
            <w:t>127</w:t>
          </w:r>
          <w:r>
            <w:rPr>
              <w:rFonts w:ascii="宋体" w:hAnsi="宋体" w:cs="Times New Roman"/>
              <w:i w:val="0"/>
              <w:iCs w:val="0"/>
              <w:sz w:val="36"/>
              <w:szCs w:val="44"/>
            </w:rPr>
            <w:fldChar w:fldCharType="end"/>
          </w:r>
          <w:r>
            <w:rPr>
              <w:rFonts w:ascii="宋体" w:hAnsi="宋体" w:cs="Times New Roman"/>
              <w:i w:val="0"/>
              <w:iCs w:val="0"/>
              <w:sz w:val="36"/>
              <w:szCs w:val="44"/>
            </w:rPr>
            <w:fldChar w:fldCharType="end"/>
          </w:r>
        </w:p>
        <w:p>
          <w:r>
            <w:rPr>
              <w:rFonts w:hAnsi="宋体"/>
              <w:sz w:val="36"/>
              <w:szCs w:val="44"/>
            </w:rPr>
            <w:fldChar w:fldCharType="end"/>
          </w:r>
        </w:p>
      </w:sdtContent>
    </w:sdt>
    <w:p>
      <w:pPr>
        <w:widowControl/>
        <w:tabs>
          <w:tab w:val="right" w:leader="dot" w:pos="19950"/>
          <w:tab w:val="right" w:leader="dot" w:pos="20160"/>
        </w:tabs>
        <w:ind w:firstLine="720"/>
        <w:jc w:val="left"/>
        <w:rPr>
          <w:rFonts w:hAnsi="宋体"/>
          <w:sz w:val="36"/>
          <w:szCs w:val="44"/>
        </w:rPr>
      </w:pPr>
    </w:p>
    <w:p>
      <w:pPr>
        <w:widowControl/>
        <w:ind w:firstLine="560"/>
        <w:jc w:val="left"/>
        <w:rPr>
          <w:rFonts w:hAnsi="宋体"/>
          <w:sz w:val="28"/>
          <w:szCs w:val="28"/>
        </w:rPr>
      </w:pPr>
      <w:r>
        <w:rPr>
          <w:rFonts w:hAnsi="宋体"/>
          <w:sz w:val="28"/>
          <w:szCs w:val="28"/>
        </w:rPr>
        <w:br w:type="page"/>
      </w:r>
    </w:p>
    <w:p>
      <w:pPr>
        <w:spacing w:line="540" w:lineRule="exact"/>
        <w:ind w:left="284"/>
        <w:rPr>
          <w:rFonts w:hAnsi="宋体"/>
          <w:sz w:val="28"/>
          <w:szCs w:val="28"/>
        </w:rPr>
      </w:pPr>
      <w:r>
        <w:rPr>
          <w:rFonts w:hint="eastAsia" w:hAnsi="宋体"/>
          <w:sz w:val="28"/>
          <w:szCs w:val="28"/>
        </w:rPr>
        <w:t>项目名称：</w:t>
      </w:r>
    </w:p>
    <w:p>
      <w:pPr>
        <w:spacing w:line="540" w:lineRule="exact"/>
        <w:ind w:left="284"/>
        <w:rPr>
          <w:rFonts w:hAnsi="宋体"/>
          <w:sz w:val="28"/>
          <w:szCs w:val="28"/>
        </w:rPr>
      </w:pPr>
      <w:r>
        <w:rPr>
          <w:rFonts w:hint="eastAsia" w:hAnsi="宋体"/>
          <w:sz w:val="28"/>
          <w:szCs w:val="28"/>
        </w:rPr>
        <w:t>建设单位：</w:t>
      </w:r>
    </w:p>
    <w:p>
      <w:pPr>
        <w:spacing w:line="540" w:lineRule="exact"/>
        <w:ind w:left="284"/>
        <w:rPr>
          <w:rFonts w:hAnsi="宋体"/>
          <w:sz w:val="28"/>
          <w:szCs w:val="28"/>
        </w:rPr>
      </w:pPr>
      <w:r>
        <w:rPr>
          <w:rFonts w:hint="eastAsia" w:hAnsi="宋体"/>
          <w:sz w:val="28"/>
          <w:szCs w:val="28"/>
        </w:rPr>
        <w:t>设计单位：</w:t>
      </w:r>
    </w:p>
    <w:p>
      <w:pPr>
        <w:spacing w:line="540" w:lineRule="exact"/>
        <w:ind w:left="284"/>
        <w:rPr>
          <w:rFonts w:hAnsi="宋体"/>
          <w:sz w:val="28"/>
          <w:szCs w:val="28"/>
        </w:rPr>
      </w:pPr>
      <w:r>
        <w:rPr>
          <w:rFonts w:hint="eastAsia" w:hAnsi="宋体"/>
          <w:sz w:val="28"/>
          <w:szCs w:val="28"/>
        </w:rPr>
        <w:t>证书等级：</w:t>
      </w:r>
    </w:p>
    <w:p>
      <w:pPr>
        <w:spacing w:line="540" w:lineRule="exact"/>
        <w:ind w:left="284"/>
        <w:rPr>
          <w:rFonts w:hAnsi="宋体"/>
          <w:sz w:val="28"/>
          <w:szCs w:val="28"/>
        </w:rPr>
      </w:pPr>
      <w:r>
        <w:rPr>
          <w:rFonts w:hint="eastAsia" w:hAnsi="宋体"/>
          <w:sz w:val="28"/>
          <w:szCs w:val="28"/>
        </w:rPr>
        <w:t>证书编号：</w:t>
      </w:r>
    </w:p>
    <w:p>
      <w:pPr>
        <w:spacing w:line="540" w:lineRule="exact"/>
        <w:ind w:left="284"/>
        <w:rPr>
          <w:rFonts w:hAnsi="宋体"/>
          <w:sz w:val="28"/>
          <w:szCs w:val="28"/>
        </w:rPr>
      </w:pPr>
      <w:r>
        <w:rPr>
          <w:rFonts w:hint="eastAsia" w:hAnsi="宋体"/>
          <w:sz w:val="28"/>
          <w:szCs w:val="28"/>
        </w:rPr>
        <w:t>项目负责人（设计总负责人）：</w:t>
      </w:r>
    </w:p>
    <w:p>
      <w:pPr>
        <w:spacing w:line="540" w:lineRule="exact"/>
        <w:ind w:left="284"/>
        <w:jc w:val="center"/>
        <w:rPr>
          <w:rFonts w:hAnsi="宋体"/>
          <w:sz w:val="28"/>
          <w:szCs w:val="28"/>
        </w:rPr>
      </w:pPr>
      <w:r>
        <w:rPr>
          <w:rFonts w:hint="eastAsia" w:hAnsi="宋体"/>
          <w:sz w:val="28"/>
          <w:szCs w:val="28"/>
        </w:rPr>
        <w:t>设计人员一览表</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1980"/>
        <w:gridCol w:w="2520"/>
        <w:gridCol w:w="2520"/>
        <w:gridCol w:w="2520"/>
        <w:gridCol w:w="2160"/>
        <w:gridCol w:w="2880"/>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2700" w:type="dxa"/>
            <w:vAlign w:val="center"/>
          </w:tcPr>
          <w:p>
            <w:pPr>
              <w:spacing w:line="540" w:lineRule="exact"/>
              <w:jc w:val="center"/>
              <w:rPr>
                <w:rFonts w:hAnsi="宋体"/>
                <w:sz w:val="24"/>
              </w:rPr>
            </w:pPr>
            <w:r>
              <w:rPr>
                <w:rFonts w:hint="eastAsia" w:hAnsi="宋体"/>
                <w:sz w:val="24"/>
              </w:rPr>
              <w:t>专业</w:t>
            </w:r>
          </w:p>
        </w:tc>
        <w:tc>
          <w:tcPr>
            <w:tcW w:w="1980" w:type="dxa"/>
            <w:vAlign w:val="center"/>
          </w:tcPr>
          <w:p>
            <w:pPr>
              <w:spacing w:line="540" w:lineRule="exact"/>
              <w:jc w:val="center"/>
              <w:rPr>
                <w:rFonts w:hAnsi="宋体"/>
                <w:sz w:val="24"/>
              </w:rPr>
            </w:pPr>
            <w:r>
              <w:rPr>
                <w:rFonts w:hint="eastAsia" w:hAnsi="宋体"/>
                <w:sz w:val="24"/>
              </w:rPr>
              <w:t>签署</w:t>
            </w:r>
          </w:p>
        </w:tc>
        <w:tc>
          <w:tcPr>
            <w:tcW w:w="2520" w:type="dxa"/>
            <w:vAlign w:val="center"/>
          </w:tcPr>
          <w:p>
            <w:pPr>
              <w:spacing w:line="540" w:lineRule="exact"/>
              <w:jc w:val="center"/>
              <w:rPr>
                <w:rFonts w:hAnsi="宋体"/>
                <w:sz w:val="24"/>
              </w:rPr>
            </w:pPr>
            <w:r>
              <w:rPr>
                <w:rFonts w:hint="eastAsia" w:hAnsi="宋体"/>
                <w:sz w:val="24"/>
              </w:rPr>
              <w:t>姓名</w:t>
            </w:r>
          </w:p>
        </w:tc>
        <w:tc>
          <w:tcPr>
            <w:tcW w:w="2520" w:type="dxa"/>
            <w:vAlign w:val="center"/>
          </w:tcPr>
          <w:p>
            <w:pPr>
              <w:spacing w:line="540" w:lineRule="exact"/>
              <w:jc w:val="center"/>
              <w:rPr>
                <w:rFonts w:hAnsi="宋体"/>
                <w:sz w:val="24"/>
              </w:rPr>
            </w:pPr>
            <w:r>
              <w:rPr>
                <w:rFonts w:hint="eastAsia" w:hAnsi="宋体"/>
                <w:sz w:val="24"/>
              </w:rPr>
              <w:t>签名</w:t>
            </w:r>
          </w:p>
        </w:tc>
        <w:tc>
          <w:tcPr>
            <w:tcW w:w="2520" w:type="dxa"/>
            <w:vAlign w:val="center"/>
          </w:tcPr>
          <w:p>
            <w:pPr>
              <w:spacing w:line="540" w:lineRule="exact"/>
              <w:jc w:val="center"/>
              <w:rPr>
                <w:rFonts w:hAnsi="宋体"/>
                <w:sz w:val="24"/>
              </w:rPr>
            </w:pPr>
            <w:r>
              <w:rPr>
                <w:rFonts w:hint="eastAsia" w:hAnsi="宋体"/>
                <w:sz w:val="24"/>
              </w:rPr>
              <w:t>专业</w:t>
            </w:r>
          </w:p>
        </w:tc>
        <w:tc>
          <w:tcPr>
            <w:tcW w:w="2160" w:type="dxa"/>
            <w:vAlign w:val="center"/>
          </w:tcPr>
          <w:p>
            <w:pPr>
              <w:spacing w:line="540" w:lineRule="exact"/>
              <w:jc w:val="center"/>
              <w:rPr>
                <w:rFonts w:hAnsi="宋体"/>
                <w:sz w:val="24"/>
              </w:rPr>
            </w:pPr>
            <w:r>
              <w:rPr>
                <w:rFonts w:hint="eastAsia" w:hAnsi="宋体"/>
                <w:sz w:val="24"/>
              </w:rPr>
              <w:t>签署</w:t>
            </w:r>
          </w:p>
        </w:tc>
        <w:tc>
          <w:tcPr>
            <w:tcW w:w="2880" w:type="dxa"/>
            <w:vAlign w:val="center"/>
          </w:tcPr>
          <w:p>
            <w:pPr>
              <w:spacing w:line="540" w:lineRule="exact"/>
              <w:jc w:val="center"/>
              <w:rPr>
                <w:rFonts w:hAnsi="宋体"/>
                <w:sz w:val="24"/>
              </w:rPr>
            </w:pPr>
            <w:r>
              <w:rPr>
                <w:rFonts w:hint="eastAsia" w:hAnsi="宋体"/>
                <w:sz w:val="24"/>
              </w:rPr>
              <w:t>姓名</w:t>
            </w:r>
          </w:p>
        </w:tc>
        <w:tc>
          <w:tcPr>
            <w:tcW w:w="2520" w:type="dxa"/>
            <w:vAlign w:val="center"/>
          </w:tcPr>
          <w:p>
            <w:pPr>
              <w:spacing w:line="540" w:lineRule="exact"/>
              <w:jc w:val="center"/>
              <w:rPr>
                <w:rFonts w:hAnsi="宋体"/>
                <w:sz w:val="24"/>
              </w:rPr>
            </w:pPr>
            <w:r>
              <w:rPr>
                <w:rFonts w:hint="eastAsia" w:hAnsi="宋体"/>
                <w:sz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restart"/>
            <w:vAlign w:val="center"/>
          </w:tcPr>
          <w:p>
            <w:pPr>
              <w:spacing w:line="540" w:lineRule="exact"/>
              <w:jc w:val="center"/>
              <w:rPr>
                <w:rFonts w:hAnsi="宋体"/>
                <w:sz w:val="24"/>
              </w:rPr>
            </w:pPr>
            <w:r>
              <w:rPr>
                <w:rFonts w:hint="eastAsia" w:hAnsi="宋体"/>
                <w:sz w:val="24"/>
              </w:rPr>
              <w:t>建筑</w:t>
            </w:r>
          </w:p>
        </w:tc>
        <w:tc>
          <w:tcPr>
            <w:tcW w:w="1980" w:type="dxa"/>
            <w:vAlign w:val="center"/>
          </w:tcPr>
          <w:p>
            <w:pPr>
              <w:spacing w:line="540" w:lineRule="exact"/>
              <w:jc w:val="center"/>
              <w:rPr>
                <w:rFonts w:hAnsi="宋体"/>
                <w:sz w:val="24"/>
              </w:rPr>
            </w:pPr>
            <w:r>
              <w:rPr>
                <w:rFonts w:hint="eastAsia" w:hAnsi="宋体"/>
                <w:sz w:val="24"/>
              </w:rPr>
              <w:t>专业负责</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restart"/>
            <w:vAlign w:val="center"/>
          </w:tcPr>
          <w:p>
            <w:pPr>
              <w:spacing w:line="540" w:lineRule="exact"/>
              <w:jc w:val="center"/>
              <w:rPr>
                <w:rFonts w:hAnsi="宋体"/>
                <w:sz w:val="24"/>
              </w:rPr>
            </w:pPr>
            <w:r>
              <w:rPr>
                <w:rFonts w:hint="eastAsia" w:hAnsi="宋体"/>
                <w:sz w:val="24"/>
              </w:rPr>
              <w:t>结构</w:t>
            </w:r>
          </w:p>
        </w:tc>
        <w:tc>
          <w:tcPr>
            <w:tcW w:w="2160" w:type="dxa"/>
            <w:vAlign w:val="center"/>
          </w:tcPr>
          <w:p>
            <w:pPr>
              <w:spacing w:line="540" w:lineRule="exact"/>
              <w:jc w:val="center"/>
              <w:rPr>
                <w:rFonts w:hAnsi="宋体"/>
                <w:sz w:val="24"/>
              </w:rPr>
            </w:pPr>
            <w:r>
              <w:rPr>
                <w:rFonts w:hint="eastAsia" w:hAnsi="宋体"/>
                <w:sz w:val="24"/>
              </w:rPr>
              <w:t>专业负责</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设计</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设计</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校对</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校对</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审核</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审核</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审定</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审定</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restart"/>
            <w:vAlign w:val="center"/>
          </w:tcPr>
          <w:p>
            <w:pPr>
              <w:spacing w:line="540" w:lineRule="exact"/>
              <w:jc w:val="center"/>
              <w:rPr>
                <w:rFonts w:hAnsi="宋体"/>
                <w:sz w:val="24"/>
              </w:rPr>
            </w:pPr>
            <w:r>
              <w:rPr>
                <w:rFonts w:hint="eastAsia" w:hAnsi="宋体"/>
                <w:sz w:val="24"/>
              </w:rPr>
              <w:t>给排水</w:t>
            </w:r>
          </w:p>
        </w:tc>
        <w:tc>
          <w:tcPr>
            <w:tcW w:w="1980" w:type="dxa"/>
            <w:vAlign w:val="center"/>
          </w:tcPr>
          <w:p>
            <w:pPr>
              <w:spacing w:line="540" w:lineRule="exact"/>
              <w:jc w:val="center"/>
              <w:rPr>
                <w:rFonts w:hAnsi="宋体"/>
                <w:sz w:val="24"/>
              </w:rPr>
            </w:pPr>
            <w:r>
              <w:rPr>
                <w:rFonts w:hint="eastAsia" w:hAnsi="宋体"/>
                <w:sz w:val="24"/>
              </w:rPr>
              <w:t>专业负责</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restart"/>
            <w:vAlign w:val="center"/>
          </w:tcPr>
          <w:p>
            <w:pPr>
              <w:spacing w:line="540" w:lineRule="exact"/>
              <w:jc w:val="center"/>
              <w:rPr>
                <w:rFonts w:hAnsi="宋体"/>
                <w:sz w:val="24"/>
              </w:rPr>
            </w:pPr>
            <w:r>
              <w:rPr>
                <w:rFonts w:hint="eastAsia" w:hAnsi="宋体"/>
                <w:sz w:val="24"/>
              </w:rPr>
              <w:t>暖通</w:t>
            </w:r>
          </w:p>
        </w:tc>
        <w:tc>
          <w:tcPr>
            <w:tcW w:w="2160" w:type="dxa"/>
            <w:vAlign w:val="center"/>
          </w:tcPr>
          <w:p>
            <w:pPr>
              <w:spacing w:line="540" w:lineRule="exact"/>
              <w:jc w:val="center"/>
              <w:rPr>
                <w:rFonts w:hAnsi="宋体"/>
                <w:sz w:val="24"/>
              </w:rPr>
            </w:pPr>
            <w:r>
              <w:rPr>
                <w:rFonts w:hint="eastAsia" w:hAnsi="宋体"/>
                <w:sz w:val="24"/>
              </w:rPr>
              <w:t>专业负责</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设计</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设计</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校对</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校对</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审核</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审核</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审定</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审定</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restart"/>
            <w:vAlign w:val="center"/>
          </w:tcPr>
          <w:p>
            <w:pPr>
              <w:spacing w:line="540" w:lineRule="exact"/>
              <w:jc w:val="center"/>
              <w:rPr>
                <w:rFonts w:hAnsi="宋体"/>
                <w:sz w:val="24"/>
              </w:rPr>
            </w:pPr>
            <w:r>
              <w:rPr>
                <w:rFonts w:hint="eastAsia" w:hAnsi="宋体"/>
                <w:sz w:val="24"/>
              </w:rPr>
              <w:t>建筑电气</w:t>
            </w:r>
          </w:p>
        </w:tc>
        <w:tc>
          <w:tcPr>
            <w:tcW w:w="1980" w:type="dxa"/>
            <w:vAlign w:val="center"/>
          </w:tcPr>
          <w:p>
            <w:pPr>
              <w:spacing w:line="540" w:lineRule="exact"/>
              <w:jc w:val="center"/>
              <w:rPr>
                <w:rFonts w:hAnsi="宋体"/>
                <w:sz w:val="24"/>
              </w:rPr>
            </w:pPr>
            <w:r>
              <w:rPr>
                <w:rFonts w:hint="eastAsia" w:hAnsi="宋体"/>
                <w:sz w:val="24"/>
              </w:rPr>
              <w:t>专业负责</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restart"/>
            <w:vAlign w:val="center"/>
          </w:tcPr>
          <w:p>
            <w:pPr>
              <w:spacing w:line="540" w:lineRule="exact"/>
              <w:jc w:val="center"/>
              <w:rPr>
                <w:rFonts w:hAnsi="宋体"/>
                <w:sz w:val="24"/>
              </w:rPr>
            </w:pPr>
            <w:r>
              <w:rPr>
                <w:rFonts w:hint="eastAsia" w:hAnsi="宋体"/>
                <w:sz w:val="24"/>
              </w:rPr>
              <w:t>智能化</w:t>
            </w:r>
          </w:p>
        </w:tc>
        <w:tc>
          <w:tcPr>
            <w:tcW w:w="2160" w:type="dxa"/>
            <w:vAlign w:val="center"/>
          </w:tcPr>
          <w:p>
            <w:pPr>
              <w:spacing w:line="540" w:lineRule="exact"/>
              <w:jc w:val="center"/>
              <w:rPr>
                <w:rFonts w:hAnsi="宋体"/>
                <w:sz w:val="24"/>
              </w:rPr>
            </w:pPr>
            <w:r>
              <w:rPr>
                <w:rFonts w:hint="eastAsia" w:hAnsi="宋体"/>
                <w:sz w:val="24"/>
              </w:rPr>
              <w:t>专业负责</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设计</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设计</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校对</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校对</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审核</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审核</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审定</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审定</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bl>
    <w:p>
      <w:pPr>
        <w:spacing w:line="540" w:lineRule="exact"/>
        <w:ind w:left="284" w:firstLine="560"/>
        <w:rPr>
          <w:rFonts w:hAnsi="宋体"/>
          <w:sz w:val="28"/>
          <w:szCs w:val="28"/>
        </w:rPr>
        <w:sectPr>
          <w:headerReference r:id="rId5" w:type="first"/>
          <w:footerReference r:id="rId8" w:type="first"/>
          <w:headerReference r:id="rId3" w:type="default"/>
          <w:footerReference r:id="rId6" w:type="default"/>
          <w:headerReference r:id="rId4" w:type="even"/>
          <w:footerReference r:id="rId7" w:type="even"/>
          <w:pgSz w:w="23814" w:h="16840" w:orient="landscape"/>
          <w:pgMar w:top="1440" w:right="1800" w:bottom="1440" w:left="1800" w:header="851" w:footer="992" w:gutter="0"/>
          <w:pgNumType w:start="1"/>
          <w:cols w:space="720" w:num="1"/>
          <w:docGrid w:type="lines" w:linePitch="312" w:charSpace="0"/>
        </w:sectPr>
      </w:pPr>
    </w:p>
    <w:p>
      <w:pPr>
        <w:widowControl/>
        <w:spacing w:line="360" w:lineRule="auto"/>
        <w:ind w:firstLine="1040"/>
        <w:jc w:val="center"/>
        <w:rPr>
          <w:rFonts w:hAnsi="宋体"/>
          <w:kern w:val="0"/>
          <w:sz w:val="52"/>
          <w:szCs w:val="52"/>
        </w:rPr>
      </w:pPr>
    </w:p>
    <w:p>
      <w:pPr>
        <w:widowControl/>
        <w:spacing w:line="360" w:lineRule="auto"/>
        <w:ind w:firstLine="1040"/>
        <w:jc w:val="center"/>
        <w:rPr>
          <w:rFonts w:hAnsi="宋体"/>
          <w:kern w:val="0"/>
          <w:sz w:val="52"/>
          <w:szCs w:val="52"/>
        </w:rPr>
      </w:pPr>
    </w:p>
    <w:p>
      <w:pPr>
        <w:widowControl/>
        <w:spacing w:line="360" w:lineRule="auto"/>
        <w:rPr>
          <w:rFonts w:hAnsi="宋体"/>
          <w:kern w:val="0"/>
          <w:sz w:val="52"/>
          <w:szCs w:val="52"/>
        </w:rPr>
      </w:pPr>
    </w:p>
    <w:p>
      <w:pPr>
        <w:pStyle w:val="2"/>
        <w:rPr>
          <w:sz w:val="52"/>
          <w:szCs w:val="52"/>
        </w:rPr>
        <w:sectPr>
          <w:headerReference r:id="rId9" w:type="default"/>
          <w:footerReference r:id="rId10" w:type="default"/>
          <w:pgSz w:w="16838" w:h="11906" w:orient="landscape"/>
          <w:pgMar w:top="1800" w:right="1440" w:bottom="1800" w:left="1440" w:header="851" w:footer="992" w:gutter="0"/>
          <w:pgNumType w:start="1"/>
          <w:cols w:space="425" w:num="1"/>
          <w:docGrid w:type="lines" w:linePitch="312" w:charSpace="0"/>
        </w:sectPr>
      </w:pPr>
      <w:bookmarkStart w:id="0" w:name="_Toc73698819"/>
      <w:bookmarkStart w:id="1" w:name="_Toc113028980"/>
      <w:r>
        <w:rPr>
          <w:rFonts w:hint="eastAsia"/>
          <w:sz w:val="52"/>
          <w:szCs w:val="52"/>
        </w:rPr>
        <w:t>第一</w:t>
      </w:r>
      <w:r>
        <w:rPr>
          <w:sz w:val="52"/>
          <w:szCs w:val="52"/>
        </w:rPr>
        <w:t>部分：</w:t>
      </w:r>
      <w:bookmarkEnd w:id="0"/>
      <w:r>
        <w:rPr>
          <w:rFonts w:hint="eastAsia"/>
          <w:sz w:val="52"/>
          <w:szCs w:val="52"/>
        </w:rPr>
        <w:t>杭州市民用建筑绿色与节能设计施工图专篇</w:t>
      </w:r>
      <w:bookmarkEnd w:id="1"/>
    </w:p>
    <w:p>
      <w:pPr>
        <w:widowControl/>
        <w:ind w:firstLine="482"/>
        <w:rPr>
          <w:rFonts w:asciiTheme="minorEastAsia" w:hAnsiTheme="minorEastAsia" w:eastAsiaTheme="minorEastAsia"/>
          <w:b/>
          <w:bCs/>
          <w:kern w:val="0"/>
          <w:sz w:val="24"/>
        </w:rPr>
      </w:pPr>
    </w:p>
    <w:tbl>
      <w:tblPr>
        <w:tblStyle w:val="44"/>
        <w:tblW w:w="99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56" w:type="dxa"/>
          <w:bottom w:w="0" w:type="dxa"/>
          <w:right w:w="56" w:type="dxa"/>
        </w:tblCellMar>
      </w:tblPr>
      <w:tblGrid>
        <w:gridCol w:w="1182"/>
        <w:gridCol w:w="1046"/>
        <w:gridCol w:w="130"/>
        <w:gridCol w:w="1636"/>
        <w:gridCol w:w="425"/>
        <w:gridCol w:w="268"/>
        <w:gridCol w:w="1008"/>
        <w:gridCol w:w="503"/>
        <w:gridCol w:w="489"/>
        <w:gridCol w:w="567"/>
        <w:gridCol w:w="821"/>
        <w:gridCol w:w="1207"/>
        <w:gridCol w:w="65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0" w:hRule="atLeast"/>
          <w:jc w:val="center"/>
        </w:trPr>
        <w:tc>
          <w:tcPr>
            <w:tcW w:w="9939" w:type="dxa"/>
            <w:gridSpan w:val="13"/>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szCs w:val="21"/>
              </w:rPr>
            </w:pPr>
            <w:r>
              <w:rPr>
                <w:rFonts w:hint="eastAsia" w:asciiTheme="minorEastAsia" w:hAnsiTheme="minorEastAsia" w:eastAsiaTheme="minorEastAsia"/>
                <w:b/>
                <w:bCs/>
                <w:kern w:val="0"/>
                <w:szCs w:val="21"/>
              </w:rPr>
              <w:t xml:space="preserve">1 </w:t>
            </w:r>
            <w:r>
              <w:rPr>
                <w:rFonts w:asciiTheme="minorEastAsia" w:hAnsiTheme="minorEastAsia" w:eastAsiaTheme="minorEastAsia"/>
                <w:b/>
                <w:bCs/>
                <w:kern w:val="0"/>
                <w:szCs w:val="21"/>
              </w:rPr>
              <w:t>工程基本情况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项目名称</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建设单位</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建设地点</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55"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项目性质</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□新建</w:t>
            </w:r>
            <w:r>
              <w:rPr>
                <w:rFonts w:hint="eastAsia" w:asciiTheme="minorEastAsia" w:hAnsiTheme="minorEastAsia" w:eastAsiaTheme="minorEastAsia"/>
                <w:szCs w:val="21"/>
              </w:rPr>
              <w:t>；</w:t>
            </w:r>
            <w:r>
              <w:rPr>
                <w:rFonts w:asciiTheme="minorEastAsia" w:hAnsiTheme="minorEastAsia" w:eastAsiaTheme="minorEastAsia"/>
                <w:szCs w:val="21"/>
              </w:rPr>
              <w:t>□扩建</w:t>
            </w:r>
            <w:r>
              <w:rPr>
                <w:rFonts w:hint="eastAsia" w:asciiTheme="minorEastAsia" w:hAnsiTheme="minorEastAsia" w:eastAsiaTheme="minorEastAsia"/>
                <w:szCs w:val="21"/>
              </w:rPr>
              <w:t>、</w:t>
            </w:r>
            <w:r>
              <w:rPr>
                <w:rFonts w:asciiTheme="minorEastAsia" w:hAnsiTheme="minorEastAsia" w:eastAsiaTheme="minorEastAsia"/>
                <w:szCs w:val="21"/>
              </w:rPr>
              <w:t>改</w:t>
            </w:r>
            <w:r>
              <w:rPr>
                <w:rFonts w:hint="eastAsia" w:asciiTheme="minorEastAsia" w:hAnsiTheme="minorEastAsia" w:eastAsiaTheme="minorEastAsia"/>
                <w:szCs w:val="21"/>
              </w:rPr>
              <w:t>建；</w:t>
            </w:r>
            <w:r>
              <w:rPr>
                <w:rFonts w:asciiTheme="minorEastAsia" w:hAnsiTheme="minorEastAsia" w:eastAsiaTheme="minorEastAsia"/>
                <w:szCs w:val="21"/>
              </w:rPr>
              <w:t>□</w:t>
            </w:r>
            <w:r>
              <w:rPr>
                <w:rFonts w:hint="eastAsia" w:asciiTheme="minorEastAsia" w:hAnsiTheme="minorEastAsia" w:eastAsiaTheme="minorEastAsia"/>
                <w:szCs w:val="21"/>
              </w:rPr>
              <w:t>居住建筑配套公建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节能分类</w:t>
            </w:r>
          </w:p>
        </w:tc>
        <w:tc>
          <w:tcPr>
            <w:tcW w:w="3337"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甲类建筑；</w:t>
            </w:r>
            <w:r>
              <w:rPr>
                <w:rFonts w:asciiTheme="minorEastAsia" w:hAnsiTheme="minorEastAsia" w:eastAsiaTheme="minorEastAsia"/>
                <w:szCs w:val="21"/>
              </w:rPr>
              <w:t>□</w:t>
            </w:r>
            <w:r>
              <w:rPr>
                <w:rFonts w:hint="eastAsia" w:asciiTheme="minorEastAsia" w:hAnsiTheme="minorEastAsia" w:eastAsiaTheme="minorEastAsia"/>
                <w:szCs w:val="21"/>
              </w:rPr>
              <w:t>乙类建筑</w:t>
            </w:r>
          </w:p>
        </w:tc>
        <w:tc>
          <w:tcPr>
            <w:tcW w:w="2380"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项目用地面积</w:t>
            </w:r>
          </w:p>
        </w:tc>
        <w:tc>
          <w:tcPr>
            <w:tcW w:w="1864"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绿地率</w:t>
            </w:r>
            <w:r>
              <w:rPr>
                <w:rFonts w:hint="eastAsia" w:asciiTheme="minorEastAsia" w:hAnsiTheme="minorEastAsia" w:eastAsiaTheme="minorEastAsia"/>
                <w:szCs w:val="21"/>
              </w:rPr>
              <w:t>（％）</w:t>
            </w:r>
          </w:p>
        </w:tc>
        <w:tc>
          <w:tcPr>
            <w:tcW w:w="1636"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1701"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建筑密度</w:t>
            </w:r>
          </w:p>
        </w:tc>
        <w:tc>
          <w:tcPr>
            <w:tcW w:w="1559"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821"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容积率</w:t>
            </w:r>
          </w:p>
        </w:tc>
        <w:tc>
          <w:tcPr>
            <w:tcW w:w="1864"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51" w:hRule="atLeast"/>
          <w:jc w:val="center"/>
        </w:trPr>
        <w:tc>
          <w:tcPr>
            <w:tcW w:w="2358" w:type="dxa"/>
            <w:gridSpan w:val="3"/>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总</w:t>
            </w:r>
            <w:r>
              <w:rPr>
                <w:rFonts w:asciiTheme="minorEastAsia" w:hAnsiTheme="minorEastAsia" w:eastAsiaTheme="minorEastAsia"/>
                <w:szCs w:val="21"/>
              </w:rPr>
              <w:t>建筑面积</w:t>
            </w:r>
            <w:r>
              <w:rPr>
                <w:rFonts w:hint="eastAsia" w:asciiTheme="minorEastAsia" w:hAnsiTheme="minorEastAsia" w:eastAsiaTheme="minorEastAsia"/>
                <w:szCs w:val="21"/>
              </w:rPr>
              <w:t>（m²）</w:t>
            </w:r>
          </w:p>
        </w:tc>
        <w:tc>
          <w:tcPr>
            <w:tcW w:w="1636" w:type="dxa"/>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p>
        </w:tc>
        <w:tc>
          <w:tcPr>
            <w:tcW w:w="693" w:type="dxa"/>
            <w:gridSpan w:val="2"/>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其中</w:t>
            </w:r>
          </w:p>
        </w:tc>
        <w:tc>
          <w:tcPr>
            <w:tcW w:w="2567"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地下</w:t>
            </w:r>
            <w:r>
              <w:rPr>
                <w:rFonts w:hint="eastAsia" w:asciiTheme="minorEastAsia" w:hAnsiTheme="minorEastAsia" w:eastAsiaTheme="minorEastAsia"/>
                <w:szCs w:val="21"/>
              </w:rPr>
              <w:t>建筑面积（m²）</w:t>
            </w:r>
          </w:p>
        </w:tc>
        <w:tc>
          <w:tcPr>
            <w:tcW w:w="2685"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9" w:hRule="atLeast"/>
          <w:jc w:val="center"/>
        </w:trPr>
        <w:tc>
          <w:tcPr>
            <w:tcW w:w="2358" w:type="dxa"/>
            <w:gridSpan w:val="3"/>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1636" w:type="dxa"/>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693" w:type="dxa"/>
            <w:gridSpan w:val="2"/>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2567"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地上</w:t>
            </w:r>
            <w:r>
              <w:rPr>
                <w:rFonts w:hint="eastAsia" w:asciiTheme="minorEastAsia" w:hAnsiTheme="minorEastAsia" w:eastAsiaTheme="minorEastAsia"/>
                <w:szCs w:val="21"/>
              </w:rPr>
              <w:t>建筑面积（m</w:t>
            </w:r>
            <w:r>
              <w:rPr>
                <w:rFonts w:asciiTheme="minorEastAsia" w:hAnsiTheme="minorEastAsia" w:eastAsiaTheme="minorEastAsia"/>
                <w:szCs w:val="21"/>
              </w:rPr>
              <w:t>²</w:t>
            </w:r>
            <w:r>
              <w:rPr>
                <w:rFonts w:hint="eastAsia" w:asciiTheme="minorEastAsia" w:hAnsiTheme="minorEastAsia" w:eastAsiaTheme="minorEastAsia"/>
                <w:szCs w:val="21"/>
              </w:rPr>
              <w:t>）</w:t>
            </w:r>
          </w:p>
        </w:tc>
        <w:tc>
          <w:tcPr>
            <w:tcW w:w="2685"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用地内单体建筑数量（幢）</w:t>
            </w:r>
          </w:p>
        </w:tc>
        <w:tc>
          <w:tcPr>
            <w:tcW w:w="1636"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3260" w:type="dxa"/>
            <w:gridSpan w:val="6"/>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本次设计单体数量（幢）</w:t>
            </w:r>
          </w:p>
        </w:tc>
        <w:tc>
          <w:tcPr>
            <w:tcW w:w="2685"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建筑高度</w:t>
            </w:r>
            <w:r>
              <w:rPr>
                <w:rFonts w:hint="eastAsia" w:asciiTheme="minorEastAsia" w:hAnsiTheme="minorEastAsia" w:eastAsiaTheme="minorEastAsia"/>
                <w:szCs w:val="21"/>
              </w:rPr>
              <w:t>（m）</w:t>
            </w:r>
          </w:p>
        </w:tc>
        <w:tc>
          <w:tcPr>
            <w:tcW w:w="1636" w:type="dxa"/>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p>
        </w:tc>
        <w:tc>
          <w:tcPr>
            <w:tcW w:w="3260" w:type="dxa"/>
            <w:gridSpan w:val="6"/>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建筑主要朝向</w:t>
            </w:r>
          </w:p>
        </w:tc>
        <w:tc>
          <w:tcPr>
            <w:tcW w:w="2685" w:type="dxa"/>
            <w:gridSpan w:val="3"/>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建筑层数</w:t>
            </w:r>
            <w:r>
              <w:rPr>
                <w:rFonts w:hint="eastAsia" w:asciiTheme="minorEastAsia" w:hAnsiTheme="minorEastAsia" w:eastAsiaTheme="minorEastAsia"/>
                <w:szCs w:val="21"/>
              </w:rPr>
              <w:t>（层）</w:t>
            </w:r>
          </w:p>
        </w:tc>
        <w:tc>
          <w:tcPr>
            <w:tcW w:w="1636"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5945" w:type="dxa"/>
            <w:gridSpan w:val="9"/>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其中</w:t>
            </w:r>
            <w:r>
              <w:rPr>
                <w:rFonts w:asciiTheme="minorEastAsia" w:hAnsiTheme="minorEastAsia" w:eastAsiaTheme="minorEastAsia"/>
                <w:szCs w:val="21"/>
              </w:rPr>
              <w:t>地上</w:t>
            </w:r>
            <w:r>
              <w:rPr>
                <w:rFonts w:hint="eastAsia" w:asciiTheme="minorEastAsia" w:hAnsiTheme="minorEastAsia" w:eastAsiaTheme="minorEastAsia"/>
                <w:szCs w:val="21"/>
              </w:rPr>
              <w:t xml:space="preserve">：        </w:t>
            </w:r>
            <w:r>
              <w:rPr>
                <w:rFonts w:asciiTheme="minorEastAsia" w:hAnsiTheme="minorEastAsia" w:eastAsiaTheme="minorEastAsia"/>
                <w:szCs w:val="21"/>
              </w:rPr>
              <w:t>层</w:t>
            </w:r>
            <w:r>
              <w:rPr>
                <w:rFonts w:hint="eastAsia" w:asciiTheme="minorEastAsia" w:hAnsiTheme="minorEastAsia" w:eastAsiaTheme="minorEastAsia"/>
                <w:szCs w:val="21"/>
              </w:rPr>
              <w:t>；</w:t>
            </w:r>
            <w:r>
              <w:rPr>
                <w:rFonts w:asciiTheme="minorEastAsia" w:hAnsiTheme="minorEastAsia" w:eastAsiaTheme="minorEastAsia"/>
                <w:szCs w:val="21"/>
              </w:rPr>
              <w:t>地</w:t>
            </w:r>
            <w:r>
              <w:rPr>
                <w:rFonts w:hint="eastAsia" w:asciiTheme="minorEastAsia" w:hAnsiTheme="minorEastAsia" w:eastAsiaTheme="minorEastAsia"/>
                <w:szCs w:val="21"/>
              </w:rPr>
              <w:t xml:space="preserve">下：         </w:t>
            </w:r>
            <w:r>
              <w:rPr>
                <w:rFonts w:asciiTheme="minorEastAsia" w:hAnsiTheme="minorEastAsia" w:eastAsiaTheme="minorEastAsia"/>
                <w:szCs w:val="21"/>
              </w:rPr>
              <w:t>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设计使用年限</w:t>
            </w:r>
          </w:p>
        </w:tc>
        <w:tc>
          <w:tcPr>
            <w:tcW w:w="1636"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2204"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结构安全等级</w:t>
            </w:r>
          </w:p>
        </w:tc>
        <w:tc>
          <w:tcPr>
            <w:tcW w:w="3741" w:type="dxa"/>
            <w:gridSpan w:val="5"/>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抗震设防类别</w:t>
            </w:r>
          </w:p>
        </w:tc>
        <w:tc>
          <w:tcPr>
            <w:tcW w:w="1636"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2204"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抗震设防烈度</w:t>
            </w:r>
          </w:p>
        </w:tc>
        <w:tc>
          <w:tcPr>
            <w:tcW w:w="3741" w:type="dxa"/>
            <w:gridSpan w:val="5"/>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结构形式</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建筑工业化技术</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ind w:left="69" w:leftChars="33"/>
              <w:rPr>
                <w:rFonts w:asciiTheme="minorEastAsia" w:hAnsiTheme="minorEastAsia" w:eastAsiaTheme="minorEastAsia"/>
                <w:szCs w:val="21"/>
              </w:rPr>
            </w:pPr>
            <w:r>
              <w:rPr>
                <w:rFonts w:hint="eastAsia" w:asciiTheme="minorEastAsia" w:hAnsiTheme="minorEastAsia" w:eastAsiaTheme="minorEastAsia"/>
                <w:szCs w:val="21"/>
              </w:rPr>
              <w:t>符合《装配式建筑评价标准》DB</w:t>
            </w:r>
            <w:r>
              <w:rPr>
                <w:rFonts w:asciiTheme="minorEastAsia" w:hAnsiTheme="minorEastAsia" w:eastAsiaTheme="minorEastAsia"/>
                <w:szCs w:val="21"/>
              </w:rPr>
              <w:t xml:space="preserve"> 33</w:t>
            </w:r>
            <w:r>
              <w:rPr>
                <w:rFonts w:hint="eastAsia" w:asciiTheme="minorEastAsia" w:hAnsiTheme="minorEastAsia" w:eastAsiaTheme="minorEastAsia"/>
                <w:szCs w:val="21"/>
              </w:rPr>
              <w:t>/</w:t>
            </w:r>
            <w:r>
              <w:rPr>
                <w:rFonts w:asciiTheme="minorEastAsia" w:hAnsiTheme="minorEastAsia" w:eastAsiaTheme="minorEastAsia"/>
                <w:szCs w:val="21"/>
              </w:rPr>
              <w:t>T 1165</w:t>
            </w:r>
            <w:r>
              <w:rPr>
                <w:rFonts w:hint="eastAsia" w:asciiTheme="minorEastAsia" w:hAnsiTheme="minorEastAsia" w:eastAsiaTheme="minorEastAsia"/>
                <w:szCs w:val="21"/>
              </w:rPr>
              <w:t>的规定：</w:t>
            </w:r>
            <w:r>
              <w:rPr>
                <w:rFonts w:asciiTheme="minorEastAsia" w:hAnsiTheme="minorEastAsia" w:eastAsiaTheme="minorEastAsia"/>
                <w:szCs w:val="21"/>
              </w:rPr>
              <w:t>□</w:t>
            </w:r>
            <w:r>
              <w:rPr>
                <w:rFonts w:hint="eastAsia" w:asciiTheme="minorEastAsia" w:hAnsiTheme="minorEastAsia" w:eastAsiaTheme="minorEastAsia"/>
                <w:szCs w:val="21"/>
              </w:rPr>
              <w:t xml:space="preserve">是； </w:t>
            </w:r>
            <w:r>
              <w:rPr>
                <w:rFonts w:asciiTheme="minorEastAsia" w:hAnsiTheme="minorEastAsia" w:eastAsiaTheme="minorEastAsia"/>
                <w:szCs w:val="21"/>
              </w:rPr>
              <w:t xml:space="preserve">  □</w:t>
            </w:r>
            <w:r>
              <w:rPr>
                <w:rFonts w:hint="eastAsia" w:asciiTheme="minorEastAsia" w:hAnsiTheme="minor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2061" w:type="dxa"/>
            <w:gridSpan w:val="2"/>
            <w:tcBorders>
              <w:top w:val="single" w:color="auto" w:sz="4" w:space="0"/>
              <w:left w:val="single" w:color="auto" w:sz="4" w:space="0"/>
              <w:bottom w:val="single" w:color="auto" w:sz="4" w:space="0"/>
              <w:right w:val="single" w:color="auto" w:sz="4" w:space="0"/>
            </w:tcBorders>
            <w:vAlign w:val="center"/>
          </w:tcPr>
          <w:p>
            <w:pPr>
              <w:snapToGrid w:val="0"/>
              <w:ind w:left="56"/>
              <w:rPr>
                <w:rFonts w:asciiTheme="minorEastAsia" w:hAnsiTheme="minorEastAsia" w:eastAsiaTheme="minorEastAsia"/>
                <w:szCs w:val="21"/>
              </w:rPr>
            </w:pPr>
            <w:r>
              <w:rPr>
                <w:rFonts w:hint="eastAsia" w:asciiTheme="minorEastAsia" w:hAnsiTheme="minorEastAsia" w:eastAsiaTheme="minorEastAsia"/>
                <w:szCs w:val="21"/>
              </w:rPr>
              <w:t>建筑的装配率（％）</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4244" w:type="dxa"/>
            <w:gridSpan w:val="6"/>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619" w:hRule="atLeast"/>
          <w:jc w:val="center"/>
        </w:trPr>
        <w:tc>
          <w:tcPr>
            <w:tcW w:w="2358" w:type="dxa"/>
            <w:gridSpan w:val="3"/>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低影响开发控制项指标</w:t>
            </w:r>
          </w:p>
        </w:tc>
        <w:tc>
          <w:tcPr>
            <w:tcW w:w="2061"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雨水年径流总量</w:t>
            </w:r>
          </w:p>
          <w:p>
            <w:pPr>
              <w:snapToGrid w:val="0"/>
              <w:rPr>
                <w:rFonts w:asciiTheme="minorEastAsia" w:hAnsiTheme="minorEastAsia" w:eastAsiaTheme="minorEastAsia"/>
                <w:szCs w:val="21"/>
              </w:rPr>
            </w:pPr>
            <w:r>
              <w:rPr>
                <w:rFonts w:hint="eastAsia" w:asciiTheme="minorEastAsia" w:hAnsiTheme="minorEastAsia" w:eastAsiaTheme="minorEastAsia"/>
                <w:szCs w:val="21"/>
              </w:rPr>
              <w:t>控制率（％）</w:t>
            </w:r>
          </w:p>
        </w:tc>
        <w:tc>
          <w:tcPr>
            <w:tcW w:w="1276"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1559" w:type="dxa"/>
            <w:gridSpan w:val="3"/>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b/>
                <w:szCs w:val="21"/>
              </w:rPr>
            </w:pPr>
            <w:r>
              <w:rPr>
                <w:rFonts w:hint="eastAsia" w:asciiTheme="minorEastAsia" w:hAnsiTheme="minorEastAsia" w:eastAsiaTheme="minorEastAsia"/>
                <w:szCs w:val="21"/>
              </w:rPr>
              <w:t>外排雨水综合径流系数</w:t>
            </w:r>
          </w:p>
        </w:tc>
        <w:tc>
          <w:tcPr>
            <w:tcW w:w="821"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b/>
                <w:szCs w:val="21"/>
              </w:rPr>
            </w:pPr>
          </w:p>
        </w:tc>
        <w:tc>
          <w:tcPr>
            <w:tcW w:w="1207"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SS去除率</w:t>
            </w:r>
            <w:r>
              <w:rPr>
                <w:rFonts w:hint="eastAsia" w:asciiTheme="minorEastAsia" w:hAnsiTheme="minorEastAsia" w:eastAsiaTheme="minorEastAsia"/>
                <w:szCs w:val="21"/>
              </w:rPr>
              <w:t>（％）</w:t>
            </w:r>
          </w:p>
        </w:tc>
        <w:tc>
          <w:tcPr>
            <w:tcW w:w="657"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415" w:hRule="atLeast"/>
          <w:jc w:val="center"/>
        </w:trPr>
        <w:tc>
          <w:tcPr>
            <w:tcW w:w="2358" w:type="dxa"/>
            <w:gridSpan w:val="3"/>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项目基准建筑规模（倍）</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空调形式</w:t>
            </w:r>
          </w:p>
        </w:tc>
        <w:tc>
          <w:tcPr>
            <w:tcW w:w="7581" w:type="dxa"/>
            <w:gridSpan w:val="10"/>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358"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项目投资(万元)</w:t>
            </w:r>
          </w:p>
        </w:tc>
        <w:tc>
          <w:tcPr>
            <w:tcW w:w="1636"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5945" w:type="dxa"/>
            <w:gridSpan w:val="9"/>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政府投资</w:t>
            </w:r>
            <w:r>
              <w:rPr>
                <w:rFonts w:hint="eastAsia" w:asciiTheme="minorEastAsia" w:hAnsiTheme="minorEastAsia" w:eastAsiaTheme="minorEastAsia"/>
                <w:szCs w:val="21"/>
              </w:rPr>
              <w:t>或者以政府投资为主；□国家机关办公建筑；□其他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576" w:hRule="atLeast"/>
          <w:jc w:val="center"/>
        </w:trPr>
        <w:tc>
          <w:tcPr>
            <w:tcW w:w="3994" w:type="dxa"/>
            <w:gridSpan w:val="4"/>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可达绿色建筑</w:t>
            </w:r>
            <w:r>
              <w:rPr>
                <w:rFonts w:hint="eastAsia" w:asciiTheme="minorEastAsia" w:hAnsiTheme="minorEastAsia" w:eastAsiaTheme="minorEastAsia"/>
                <w:szCs w:val="21"/>
              </w:rPr>
              <w:t>预评价</w:t>
            </w:r>
            <w:r>
              <w:rPr>
                <w:rFonts w:asciiTheme="minorEastAsia" w:hAnsiTheme="minorEastAsia" w:eastAsiaTheme="minorEastAsia"/>
                <w:szCs w:val="21"/>
              </w:rPr>
              <w:t>等级</w:t>
            </w:r>
          </w:p>
          <w:p>
            <w:pPr>
              <w:snapToGrid w:val="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参照</w:t>
            </w:r>
            <w:r>
              <w:rPr>
                <w:rFonts w:hint="eastAsia" w:asciiTheme="minorEastAsia" w:hAnsiTheme="minorEastAsia" w:eastAsiaTheme="minorEastAsia"/>
                <w:szCs w:val="21"/>
              </w:rPr>
              <w:t>《绿色建筑评价标准》</w:t>
            </w:r>
            <w:r>
              <w:rPr>
                <w:rFonts w:asciiTheme="minorEastAsia" w:hAnsiTheme="minorEastAsia" w:eastAsiaTheme="minorEastAsia"/>
                <w:szCs w:val="21"/>
              </w:rPr>
              <w:t>GB/T 50378</w:t>
            </w:r>
            <w:r>
              <w:rPr>
                <w:rFonts w:hint="eastAsia" w:asciiTheme="minorEastAsia" w:hAnsiTheme="minorEastAsia" w:eastAsiaTheme="minorEastAsia"/>
                <w:szCs w:val="21"/>
              </w:rPr>
              <w:t>-</w:t>
            </w:r>
            <w:r>
              <w:rPr>
                <w:rFonts w:asciiTheme="minorEastAsia" w:hAnsiTheme="minorEastAsia" w:eastAsiaTheme="minorEastAsia"/>
                <w:szCs w:val="21"/>
              </w:rPr>
              <w:t>2019</w:t>
            </w:r>
            <w:r>
              <w:rPr>
                <w:rFonts w:hint="eastAsia" w:asciiTheme="minorEastAsia" w:hAnsiTheme="minorEastAsia" w:eastAsiaTheme="minorEastAsia"/>
                <w:szCs w:val="21"/>
              </w:rPr>
              <w:t>）</w:t>
            </w:r>
          </w:p>
        </w:tc>
        <w:tc>
          <w:tcPr>
            <w:tcW w:w="5945" w:type="dxa"/>
            <w:gridSpan w:val="9"/>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一</w:t>
            </w:r>
            <w:r>
              <w:rPr>
                <w:rFonts w:asciiTheme="minorEastAsia" w:hAnsiTheme="minorEastAsia" w:eastAsiaTheme="minorEastAsia"/>
                <w:szCs w:val="21"/>
              </w:rPr>
              <w:t>星级</w:t>
            </w:r>
            <w:r>
              <w:rPr>
                <w:rFonts w:hint="eastAsia" w:asciiTheme="minorEastAsia" w:hAnsiTheme="minorEastAsia" w:eastAsiaTheme="minorEastAsia"/>
                <w:szCs w:val="21"/>
              </w:rPr>
              <w:t>；</w:t>
            </w:r>
            <w:r>
              <w:rPr>
                <w:rFonts w:asciiTheme="minorEastAsia" w:hAnsiTheme="minorEastAsia" w:eastAsiaTheme="minorEastAsia"/>
                <w:szCs w:val="21"/>
              </w:rPr>
              <w:t>□二星级</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三</w:t>
            </w:r>
            <w:r>
              <w:rPr>
                <w:rFonts w:asciiTheme="minorEastAsia" w:hAnsiTheme="minorEastAsia" w:eastAsiaTheme="minorEastAsia"/>
                <w:szCs w:val="21"/>
              </w:rPr>
              <w:t>星级</w:t>
            </w:r>
            <w:r>
              <w:rPr>
                <w:rFonts w:hint="eastAsia"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3994"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可再生能源</w:t>
            </w:r>
            <w:r>
              <w:rPr>
                <w:rFonts w:hint="eastAsia" w:asciiTheme="minorEastAsia" w:hAnsiTheme="minorEastAsia" w:eastAsiaTheme="minorEastAsia"/>
                <w:szCs w:val="21"/>
              </w:rPr>
              <w:t>应用形式</w:t>
            </w:r>
          </w:p>
        </w:tc>
        <w:tc>
          <w:tcPr>
            <w:tcW w:w="5945" w:type="dxa"/>
            <w:gridSpan w:val="9"/>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太阳能；</w:t>
            </w:r>
            <w:r>
              <w:rPr>
                <w:rFonts w:asciiTheme="minorEastAsia" w:hAnsiTheme="minorEastAsia" w:eastAsiaTheme="minorEastAsia"/>
                <w:szCs w:val="21"/>
              </w:rPr>
              <w:t>□</w:t>
            </w:r>
            <w:r>
              <w:rPr>
                <w:rFonts w:hint="eastAsia" w:asciiTheme="minorEastAsia" w:hAnsiTheme="minorEastAsia" w:eastAsiaTheme="minorEastAsia"/>
                <w:szCs w:val="21"/>
              </w:rPr>
              <w:t>风能；</w:t>
            </w:r>
            <w:r>
              <w:rPr>
                <w:rFonts w:asciiTheme="minorEastAsia" w:hAnsiTheme="minorEastAsia" w:eastAsiaTheme="minorEastAsia"/>
                <w:szCs w:val="21"/>
              </w:rPr>
              <w:t>□</w:t>
            </w:r>
            <w:r>
              <w:rPr>
                <w:rFonts w:hint="eastAsia" w:asciiTheme="minorEastAsia" w:hAnsiTheme="minorEastAsia" w:eastAsiaTheme="minorEastAsia"/>
                <w:szCs w:val="21"/>
              </w:rPr>
              <w:t>水能；</w:t>
            </w:r>
            <w:r>
              <w:rPr>
                <w:rFonts w:asciiTheme="minorEastAsia" w:hAnsiTheme="minorEastAsia" w:eastAsiaTheme="minorEastAsia"/>
                <w:szCs w:val="21"/>
              </w:rPr>
              <w:t>□</w:t>
            </w:r>
            <w:r>
              <w:rPr>
                <w:rFonts w:hint="eastAsia" w:asciiTheme="minorEastAsia" w:hAnsiTheme="minorEastAsia" w:eastAsiaTheme="minorEastAsia"/>
                <w:szCs w:val="21"/>
              </w:rPr>
              <w:t xml:space="preserve"> 空气能；</w:t>
            </w:r>
            <w:r>
              <w:rPr>
                <w:rFonts w:asciiTheme="minorEastAsia" w:hAnsiTheme="minorEastAsia" w:eastAsiaTheme="minorEastAsia"/>
                <w:szCs w:val="21"/>
              </w:rPr>
              <w:t>□生物质能</w:t>
            </w:r>
            <w:r>
              <w:rPr>
                <w:rFonts w:hint="eastAsia" w:asciiTheme="minorEastAsia" w:hAnsiTheme="minorEastAsia" w:eastAsiaTheme="minorEastAsia"/>
                <w:szCs w:val="21"/>
              </w:rPr>
              <w:t>；</w:t>
            </w:r>
          </w:p>
          <w:p>
            <w:pPr>
              <w:snapToGrid w:val="0"/>
              <w:rPr>
                <w:rFonts w:asciiTheme="minorEastAsia" w:hAnsiTheme="minorEastAsia" w:eastAsiaTheme="minorEastAsia"/>
                <w:szCs w:val="21"/>
              </w:rPr>
            </w:pPr>
            <w:r>
              <w:rPr>
                <w:rFonts w:asciiTheme="minorEastAsia" w:hAnsiTheme="minorEastAsia" w:eastAsiaTheme="minorEastAsia"/>
                <w:szCs w:val="21"/>
              </w:rPr>
              <w:t>□地热能</w:t>
            </w:r>
            <w:r>
              <w:rPr>
                <w:rFonts w:hint="eastAsia" w:asciiTheme="minorEastAsia" w:hAnsiTheme="minorEastAsia" w:eastAsiaTheme="minorEastAsia"/>
                <w:szCs w:val="21"/>
              </w:rPr>
              <w:t>；</w:t>
            </w:r>
            <w:r>
              <w:rPr>
                <w:rFonts w:asciiTheme="minorEastAsia" w:hAnsiTheme="minorEastAsia" w:eastAsiaTheme="minorEastAsia"/>
                <w:szCs w:val="21"/>
              </w:rPr>
              <w:t>□海洋能</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82" w:type="dxa"/>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可再生能源</w:t>
            </w:r>
            <w:r>
              <w:rPr>
                <w:rFonts w:hint="eastAsia" w:asciiTheme="minorEastAsia" w:hAnsiTheme="minorEastAsia" w:eastAsiaTheme="minorEastAsia"/>
                <w:szCs w:val="21"/>
              </w:rPr>
              <w:t>及（余热或废热）回收</w:t>
            </w:r>
            <w:r>
              <w:rPr>
                <w:rFonts w:asciiTheme="minorEastAsia" w:hAnsiTheme="minorEastAsia" w:eastAsiaTheme="minorEastAsia"/>
                <w:szCs w:val="21"/>
              </w:rPr>
              <w:t>总量</w:t>
            </w:r>
          </w:p>
        </w:tc>
        <w:tc>
          <w:tcPr>
            <w:tcW w:w="5505"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asciiTheme="minorEastAsia" w:hAnsiTheme="minorEastAsia" w:eastAsiaTheme="minorEastAsia"/>
                <w:szCs w:val="21"/>
              </w:rPr>
            </w:pPr>
            <w:r>
              <w:rPr>
                <w:rFonts w:asciiTheme="minorEastAsia" w:hAnsiTheme="minorEastAsia" w:eastAsiaTheme="minorEastAsia"/>
                <w:szCs w:val="21"/>
              </w:rPr>
              <w:t>可再生能源</w:t>
            </w:r>
            <w:r>
              <w:rPr>
                <w:rFonts w:hint="eastAsia" w:asciiTheme="minorEastAsia" w:hAnsiTheme="minorEastAsia" w:eastAsiaTheme="minorEastAsia"/>
                <w:szCs w:val="21"/>
              </w:rPr>
              <w:t>综合利用量最小值（kWh/</w:t>
            </w:r>
            <w:r>
              <w:rPr>
                <w:rFonts w:asciiTheme="minorEastAsia" w:hAnsiTheme="minorEastAsia" w:eastAsiaTheme="minorEastAsia"/>
                <w:szCs w:val="21"/>
              </w:rPr>
              <w:t>a</w:t>
            </w:r>
            <w:r>
              <w:rPr>
                <w:rFonts w:hint="eastAsia" w:asciiTheme="minorEastAsia" w:hAnsiTheme="minorEastAsia" w:eastAsiaTheme="minorEastAsia"/>
                <w:szCs w:val="21"/>
              </w:rPr>
              <w:t>）</w:t>
            </w:r>
          </w:p>
          <w:p>
            <w:pPr>
              <w:snapToGrid w:val="0"/>
              <w:rPr>
                <w:rFonts w:asciiTheme="minorEastAsia" w:hAnsiTheme="minorEastAsia" w:eastAsiaTheme="minorEastAsia"/>
                <w:szCs w:val="21"/>
              </w:rPr>
            </w:pPr>
            <w:r>
              <w:rPr>
                <w:rFonts w:hint="eastAsia" w:asciiTheme="minorEastAsia" w:hAnsiTheme="minorEastAsia" w:eastAsiaTheme="minorEastAsia"/>
                <w:szCs w:val="21"/>
              </w:rPr>
              <w:t>（参照《民用建筑可再生能源应用核算标准》DB</w:t>
            </w:r>
            <w:r>
              <w:rPr>
                <w:rFonts w:asciiTheme="minorEastAsia" w:hAnsiTheme="minorEastAsia" w:eastAsiaTheme="minorEastAsia"/>
                <w:szCs w:val="21"/>
              </w:rPr>
              <w:t xml:space="preserve"> 33/1105</w:t>
            </w:r>
            <w:r>
              <w:rPr>
                <w:rFonts w:hint="eastAsia" w:asciiTheme="minorEastAsia" w:hAnsiTheme="minorEastAsia" w:eastAsiaTheme="minorEastAsia"/>
                <w:szCs w:val="21"/>
              </w:rPr>
              <w:t>）</w:t>
            </w:r>
          </w:p>
        </w:tc>
        <w:tc>
          <w:tcPr>
            <w:tcW w:w="3252"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82" w:type="dxa"/>
            <w:vMerge w:val="continue"/>
            <w:tcBorders>
              <w:left w:val="single" w:color="auto" w:sz="4" w:space="0"/>
              <w:right w:val="single" w:color="auto" w:sz="4" w:space="0"/>
            </w:tcBorders>
            <w:vAlign w:val="center"/>
          </w:tcPr>
          <w:p>
            <w:pPr>
              <w:snapToGrid w:val="0"/>
              <w:rPr>
                <w:rFonts w:asciiTheme="minorEastAsia" w:hAnsiTheme="minorEastAsia" w:eastAsiaTheme="minorEastAsia"/>
                <w:szCs w:val="21"/>
              </w:rPr>
            </w:pPr>
          </w:p>
        </w:tc>
        <w:tc>
          <w:tcPr>
            <w:tcW w:w="5505" w:type="dxa"/>
            <w:gridSpan w:val="8"/>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本项目可再生能源综合利用量（kWh/</w:t>
            </w:r>
            <w:r>
              <w:rPr>
                <w:rFonts w:asciiTheme="minorEastAsia" w:hAnsiTheme="minorEastAsia" w:eastAsiaTheme="minorEastAsia"/>
                <w:szCs w:val="21"/>
              </w:rPr>
              <w:t>a</w:t>
            </w:r>
            <w:r>
              <w:rPr>
                <w:rFonts w:hint="eastAsia" w:asciiTheme="minorEastAsia" w:hAnsiTheme="minorEastAsia" w:eastAsiaTheme="minorEastAsia"/>
                <w:szCs w:val="21"/>
              </w:rPr>
              <w:t>）</w:t>
            </w:r>
          </w:p>
        </w:tc>
        <w:tc>
          <w:tcPr>
            <w:tcW w:w="3252"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82" w:type="dxa"/>
            <w:vMerge w:val="continue"/>
            <w:tcBorders>
              <w:left w:val="single" w:color="auto" w:sz="4" w:space="0"/>
              <w:right w:val="single" w:color="auto" w:sz="4" w:space="0"/>
            </w:tcBorders>
            <w:vAlign w:val="center"/>
          </w:tcPr>
          <w:p>
            <w:pPr>
              <w:snapToGrid w:val="0"/>
              <w:rPr>
                <w:rFonts w:asciiTheme="minorEastAsia" w:hAnsiTheme="minorEastAsia" w:eastAsiaTheme="minorEastAsia"/>
                <w:szCs w:val="21"/>
              </w:rPr>
            </w:pPr>
          </w:p>
        </w:tc>
        <w:tc>
          <w:tcPr>
            <w:tcW w:w="1046" w:type="dxa"/>
            <w:vMerge w:val="restart"/>
            <w:tcBorders>
              <w:top w:val="single" w:color="auto" w:sz="4" w:space="0"/>
              <w:left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其中</w:t>
            </w:r>
          </w:p>
        </w:tc>
        <w:tc>
          <w:tcPr>
            <w:tcW w:w="4459" w:type="dxa"/>
            <w:gridSpan w:val="7"/>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asciiTheme="minorEastAsia" w:hAnsiTheme="minorEastAsia" w:eastAsiaTheme="minorEastAsia"/>
                <w:szCs w:val="21"/>
              </w:rPr>
              <w:t>可再生能源</w:t>
            </w:r>
            <w:r>
              <w:rPr>
                <w:rFonts w:hint="eastAsia" w:asciiTheme="minorEastAsia" w:hAnsiTheme="minorEastAsia" w:eastAsiaTheme="minorEastAsia"/>
                <w:szCs w:val="21"/>
              </w:rPr>
              <w:t>年综合利用量（Q</w:t>
            </w:r>
            <w:r>
              <w:rPr>
                <w:rFonts w:asciiTheme="minorEastAsia" w:hAnsiTheme="minorEastAsia" w:eastAsiaTheme="minorEastAsia"/>
                <w:szCs w:val="21"/>
                <w:vertAlign w:val="subscript"/>
              </w:rPr>
              <w:t>L</w:t>
            </w:r>
            <w:r>
              <w:rPr>
                <w:rFonts w:hint="eastAsia" w:asciiTheme="minorEastAsia" w:hAnsiTheme="minorEastAsia" w:eastAsiaTheme="minorEastAsia"/>
                <w:szCs w:val="21"/>
              </w:rPr>
              <w:t>）（kWh/</w:t>
            </w:r>
            <w:r>
              <w:rPr>
                <w:rFonts w:asciiTheme="minorEastAsia" w:hAnsiTheme="minorEastAsia" w:eastAsiaTheme="minorEastAsia"/>
                <w:szCs w:val="21"/>
              </w:rPr>
              <w:t>a</w:t>
            </w:r>
            <w:r>
              <w:rPr>
                <w:rFonts w:hint="eastAsia" w:asciiTheme="minorEastAsia" w:hAnsiTheme="minorEastAsia" w:eastAsiaTheme="minorEastAsia"/>
                <w:szCs w:val="21"/>
              </w:rPr>
              <w:t>）</w:t>
            </w:r>
          </w:p>
        </w:tc>
        <w:tc>
          <w:tcPr>
            <w:tcW w:w="3252"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82" w:type="dxa"/>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1046" w:type="dxa"/>
            <w:vMerge w:val="continue"/>
            <w:tcBorders>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c>
          <w:tcPr>
            <w:tcW w:w="4459" w:type="dxa"/>
            <w:gridSpan w:val="7"/>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余热或废热（Q</w:t>
            </w:r>
            <w:r>
              <w:rPr>
                <w:rFonts w:hint="eastAsia" w:asciiTheme="minorEastAsia" w:hAnsiTheme="minorEastAsia" w:eastAsiaTheme="minorEastAsia"/>
                <w:szCs w:val="21"/>
                <w:vertAlign w:val="subscript"/>
              </w:rPr>
              <w:t>G</w:t>
            </w:r>
            <w:r>
              <w:rPr>
                <w:rFonts w:hint="eastAsia" w:asciiTheme="minorEastAsia" w:hAnsiTheme="minorEastAsia" w:eastAsiaTheme="minorEastAsia"/>
                <w:szCs w:val="21"/>
              </w:rPr>
              <w:t>）（kWh/</w:t>
            </w:r>
            <w:r>
              <w:rPr>
                <w:rFonts w:asciiTheme="minorEastAsia" w:hAnsiTheme="minorEastAsia" w:eastAsiaTheme="minorEastAsia"/>
                <w:szCs w:val="21"/>
              </w:rPr>
              <w:t>a</w:t>
            </w:r>
            <w:r>
              <w:rPr>
                <w:rFonts w:hint="eastAsia" w:asciiTheme="minorEastAsia" w:hAnsiTheme="minorEastAsia" w:eastAsiaTheme="minorEastAsia"/>
                <w:szCs w:val="21"/>
              </w:rPr>
              <w:t>）</w:t>
            </w:r>
          </w:p>
        </w:tc>
        <w:tc>
          <w:tcPr>
            <w:tcW w:w="3252"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1695" w:hRule="atLeast"/>
          <w:jc w:val="center"/>
        </w:trPr>
        <w:tc>
          <w:tcPr>
            <w:tcW w:w="3994" w:type="dxa"/>
            <w:gridSpan w:val="4"/>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其他需要说明的内容</w:t>
            </w:r>
          </w:p>
        </w:tc>
        <w:tc>
          <w:tcPr>
            <w:tcW w:w="5945" w:type="dxa"/>
            <w:gridSpan w:val="9"/>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p>
            <w:pPr>
              <w:snapToGrid w:val="0"/>
              <w:rPr>
                <w:rFonts w:asciiTheme="minorEastAsia" w:hAnsiTheme="minorEastAsia" w:eastAsiaTheme="minorEastAsia"/>
                <w:szCs w:val="21"/>
              </w:rPr>
            </w:pPr>
          </w:p>
          <w:p>
            <w:pPr>
              <w:snapToGrid w:val="0"/>
              <w:rPr>
                <w:rFonts w:asciiTheme="minorEastAsia" w:hAnsiTheme="minorEastAsia" w:eastAsiaTheme="minorEastAsia"/>
                <w:szCs w:val="21"/>
              </w:rPr>
            </w:pPr>
          </w:p>
          <w:p>
            <w:pPr>
              <w:snapToGrid w:val="0"/>
              <w:rPr>
                <w:rFonts w:asciiTheme="minorEastAsia" w:hAnsiTheme="minorEastAsia" w:eastAsiaTheme="minorEastAsia"/>
                <w:szCs w:val="21"/>
              </w:rPr>
            </w:pPr>
          </w:p>
        </w:tc>
      </w:tr>
    </w:tbl>
    <w:p>
      <w:pPr>
        <w:ind w:firstLine="420"/>
        <w:rPr>
          <w:rFonts w:asciiTheme="minorEastAsia" w:hAnsiTheme="minorEastAsia" w:eastAsiaTheme="minorEastAsia"/>
        </w:rPr>
      </w:pPr>
    </w:p>
    <w:p>
      <w:pPr>
        <w:ind w:firstLine="420"/>
        <w:rPr>
          <w:rFonts w:asciiTheme="minorEastAsia" w:hAnsiTheme="minorEastAsia" w:eastAsiaTheme="minorEastAsia"/>
        </w:rPr>
      </w:pPr>
    </w:p>
    <w:p>
      <w:pPr>
        <w:ind w:firstLine="420"/>
        <w:rPr>
          <w:rFonts w:asciiTheme="minorEastAsia" w:hAnsiTheme="minorEastAsia" w:eastAsiaTheme="minorEastAsia"/>
        </w:rPr>
      </w:pPr>
    </w:p>
    <w:p>
      <w:pPr>
        <w:ind w:firstLine="420"/>
        <w:rPr>
          <w:rFonts w:asciiTheme="minorEastAsia" w:hAnsiTheme="minorEastAsia" w:eastAsiaTheme="minorEastAsia"/>
        </w:rPr>
      </w:pPr>
    </w:p>
    <w:tbl>
      <w:tblPr>
        <w:tblStyle w:val="44"/>
        <w:tblW w:w="99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56" w:type="dxa"/>
          <w:bottom w:w="0" w:type="dxa"/>
          <w:right w:w="56" w:type="dxa"/>
        </w:tblCellMar>
      </w:tblPr>
      <w:tblGrid>
        <w:gridCol w:w="988"/>
        <w:gridCol w:w="880"/>
        <w:gridCol w:w="2126"/>
        <w:gridCol w:w="2693"/>
        <w:gridCol w:w="325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940"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szCs w:val="21"/>
              </w:rPr>
            </w:pPr>
            <w:r>
              <w:rPr>
                <w:rFonts w:hint="eastAsia" w:asciiTheme="minorEastAsia" w:hAnsiTheme="minorEastAsia" w:eastAsiaTheme="minorEastAsia"/>
                <w:b/>
                <w:bCs/>
                <w:kern w:val="0"/>
                <w:szCs w:val="21"/>
              </w:rPr>
              <w:t xml:space="preserve">2 </w:t>
            </w:r>
            <w:r>
              <w:rPr>
                <w:rFonts w:asciiTheme="minorEastAsia" w:hAnsiTheme="minorEastAsia" w:eastAsiaTheme="minorEastAsia"/>
                <w:b/>
                <w:bCs/>
                <w:kern w:val="0"/>
                <w:szCs w:val="21"/>
              </w:rPr>
              <w:t>关键设计指标汇总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指标</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单位</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填报数据(小数点后保留两位)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地下建筑面积与总用地面积之比R</w:t>
            </w:r>
            <w:r>
              <w:rPr>
                <w:rFonts w:hint="eastAsia" w:asciiTheme="minorEastAsia" w:hAnsiTheme="minorEastAsia" w:eastAsiaTheme="minorEastAsia"/>
                <w:szCs w:val="21"/>
                <w:vertAlign w:val="subscript"/>
              </w:rPr>
              <w:t>P</w:t>
            </w:r>
            <w:r>
              <w:rPr>
                <w:rFonts w:eastAsiaTheme="minorEastAsia"/>
                <w:szCs w:val="21"/>
                <w:lang w:eastAsia="ko-KR"/>
              </w:rPr>
              <w:t>₁</w:t>
            </w:r>
          </w:p>
        </w:tc>
        <w:tc>
          <w:tcPr>
            <w:tcW w:w="2693" w:type="dxa"/>
            <w:tcBorders>
              <w:top w:val="single" w:color="auto" w:sz="4" w:space="0"/>
              <w:left w:val="single" w:color="auto" w:sz="4" w:space="0"/>
              <w:bottom w:val="single" w:color="auto" w:sz="4" w:space="0"/>
              <w:right w:val="single" w:color="auto" w:sz="4" w:space="0"/>
            </w:tcBorders>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r>
              <w:rPr>
                <w:rFonts w:hint="eastAsia" w:asciiTheme="minorEastAsia" w:hAnsiTheme="minorEastAsia" w:eastAsiaTheme="minorEastAsia"/>
                <w:szCs w:val="21"/>
              </w:rPr>
              <w:t>地下一层建筑面积与总用地面积之比R</w:t>
            </w:r>
            <w:r>
              <w:rPr>
                <w:rFonts w:hint="eastAsia" w:asciiTheme="minorEastAsia" w:hAnsiTheme="minorEastAsia" w:eastAsiaTheme="minorEastAsia"/>
                <w:szCs w:val="21"/>
                <w:vertAlign w:val="subscript"/>
              </w:rPr>
              <w:t>P</w:t>
            </w:r>
          </w:p>
        </w:tc>
        <w:tc>
          <w:tcPr>
            <w:tcW w:w="2693" w:type="dxa"/>
            <w:tcBorders>
              <w:top w:val="single" w:color="auto" w:sz="4" w:space="0"/>
              <w:left w:val="single" w:color="auto" w:sz="4" w:space="0"/>
              <w:bottom w:val="single" w:color="auto" w:sz="4" w:space="0"/>
              <w:right w:val="single" w:color="auto" w:sz="4" w:space="0"/>
            </w:tcBorders>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透水地面面积比</w:t>
            </w:r>
          </w:p>
        </w:tc>
        <w:tc>
          <w:tcPr>
            <w:tcW w:w="2693" w:type="dxa"/>
            <w:tcBorders>
              <w:top w:val="single" w:color="auto" w:sz="4" w:space="0"/>
              <w:left w:val="single" w:color="auto" w:sz="4" w:space="0"/>
              <w:bottom w:val="single" w:color="auto" w:sz="4" w:space="0"/>
              <w:right w:val="single" w:color="auto" w:sz="4" w:space="0"/>
            </w:tcBorders>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项目总能耗</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tce/a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hAnsi="宋体"/>
                <w:szCs w:val="21"/>
              </w:rPr>
              <w:t>单位面积能耗</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Ansi="宋体"/>
                <w:szCs w:val="21"/>
              </w:rPr>
              <w:t>tce/m²a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节能率</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可再生能源发电量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万</w:t>
            </w:r>
            <w:r>
              <w:rPr>
                <w:rFonts w:asciiTheme="minorEastAsia" w:hAnsiTheme="minorEastAsia" w:eastAsiaTheme="minorEastAsia"/>
                <w:szCs w:val="21"/>
              </w:rPr>
              <w:t>kWh/a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 xml:space="preserve"> 项目总用电量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万</w:t>
            </w:r>
            <w:r>
              <w:rPr>
                <w:rFonts w:asciiTheme="minorEastAsia" w:hAnsiTheme="minorEastAsia" w:eastAsiaTheme="minorEastAsia"/>
                <w:szCs w:val="21"/>
              </w:rPr>
              <w:t>kWh/a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可再生能源</w:t>
            </w:r>
            <w:r>
              <w:rPr>
                <w:rFonts w:asciiTheme="minorEastAsia" w:hAnsiTheme="minorEastAsia" w:eastAsiaTheme="minorEastAsia"/>
                <w:szCs w:val="21"/>
              </w:rPr>
              <w:t>提供电量比例</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可再生能源产生的热水量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m³</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建筑生活热水量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m³</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可再生能源</w:t>
            </w:r>
            <w:r>
              <w:rPr>
                <w:rFonts w:hint="eastAsia" w:asciiTheme="minorEastAsia" w:hAnsiTheme="minorEastAsia" w:eastAsiaTheme="minorEastAsia"/>
                <w:szCs w:val="21"/>
              </w:rPr>
              <w:t>提供</w:t>
            </w:r>
            <w:r>
              <w:rPr>
                <w:rFonts w:asciiTheme="minorEastAsia" w:hAnsiTheme="minorEastAsia" w:eastAsiaTheme="minorEastAsia"/>
                <w:szCs w:val="21"/>
              </w:rPr>
              <w:t>的</w:t>
            </w:r>
            <w:r>
              <w:rPr>
                <w:rFonts w:hint="eastAsia" w:asciiTheme="minorEastAsia" w:hAnsiTheme="minorEastAsia" w:eastAsiaTheme="minorEastAsia"/>
                <w:szCs w:val="21"/>
              </w:rPr>
              <w:t>热水</w:t>
            </w:r>
            <w:r>
              <w:rPr>
                <w:rFonts w:asciiTheme="minorEastAsia" w:hAnsiTheme="minorEastAsia" w:eastAsiaTheme="minorEastAsia"/>
                <w:szCs w:val="21"/>
              </w:rPr>
              <w:t>比例</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非传统水</w:t>
            </w:r>
            <w:r>
              <w:rPr>
                <w:rFonts w:hint="eastAsia" w:asciiTheme="minorEastAsia" w:hAnsiTheme="minorEastAsia" w:eastAsiaTheme="minorEastAsia"/>
                <w:szCs w:val="21"/>
              </w:rPr>
              <w:t>用</w:t>
            </w:r>
            <w:r>
              <w:rPr>
                <w:rFonts w:asciiTheme="minorEastAsia" w:hAnsiTheme="minorEastAsia" w:eastAsiaTheme="minorEastAsia"/>
                <w:szCs w:val="21"/>
              </w:rPr>
              <w:t>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m³</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项目</w:t>
            </w:r>
            <w:r>
              <w:rPr>
                <w:rFonts w:asciiTheme="minorEastAsia" w:hAnsiTheme="minorEastAsia" w:eastAsiaTheme="minorEastAsia"/>
                <w:szCs w:val="21"/>
              </w:rPr>
              <w:t>总用水量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m³</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asciiTheme="minorEastAsia" w:hAnsiTheme="minorEastAsia" w:eastAsiaTheme="minorEastAsia"/>
                <w:szCs w:val="21"/>
              </w:rPr>
              <w:t>非传统水源利用率</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建筑材料总重量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可再循环材料重量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可再循环材料利用率</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可再利用材料重量</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90" w:hRule="atLeast"/>
          <w:jc w:val="center"/>
        </w:trPr>
        <w:tc>
          <w:tcPr>
            <w:tcW w:w="3994" w:type="dxa"/>
            <w:gridSpan w:val="3"/>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可再利用材料使用率</w:t>
            </w:r>
          </w:p>
        </w:tc>
        <w:tc>
          <w:tcPr>
            <w:tcW w:w="26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3253" w:type="dxa"/>
            <w:tcBorders>
              <w:top w:val="single" w:color="auto" w:sz="4" w:space="0"/>
              <w:left w:val="single" w:color="auto" w:sz="4" w:space="0"/>
              <w:bottom w:val="single" w:color="auto" w:sz="4" w:space="0"/>
              <w:right w:val="single" w:color="auto" w:sz="4" w:space="0"/>
            </w:tcBorders>
            <w:vAlign w:val="center"/>
          </w:tcPr>
          <w:p>
            <w:pPr>
              <w:snapToGrid w:val="0"/>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restart"/>
            <w:tcBorders>
              <w:left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主要</w:t>
            </w:r>
          </w:p>
          <w:p>
            <w:pPr>
              <w:jc w:val="center"/>
              <w:rPr>
                <w:rFonts w:asciiTheme="minorEastAsia" w:hAnsiTheme="minorEastAsia" w:eastAsiaTheme="minorEastAsia"/>
                <w:szCs w:val="21"/>
              </w:rPr>
            </w:pPr>
            <w:r>
              <w:rPr>
                <w:rFonts w:asciiTheme="minorEastAsia" w:hAnsiTheme="minorEastAsia" w:eastAsiaTheme="minorEastAsia"/>
                <w:szCs w:val="21"/>
              </w:rPr>
              <w:t>能耗</w:t>
            </w:r>
          </w:p>
          <w:p>
            <w:pPr>
              <w:jc w:val="center"/>
              <w:rPr>
                <w:rFonts w:asciiTheme="minorEastAsia" w:hAnsiTheme="minorEastAsia" w:eastAsiaTheme="minorEastAsia"/>
                <w:szCs w:val="21"/>
              </w:rPr>
            </w:pPr>
            <w:r>
              <w:rPr>
                <w:rFonts w:asciiTheme="minorEastAsia" w:hAnsiTheme="minorEastAsia" w:eastAsiaTheme="minorEastAsia"/>
                <w:szCs w:val="21"/>
              </w:rPr>
              <w:t>品种及</w:t>
            </w:r>
          </w:p>
          <w:p>
            <w:pPr>
              <w:jc w:val="center"/>
              <w:rPr>
                <w:rFonts w:asciiTheme="minorEastAsia" w:hAnsiTheme="minorEastAsia" w:eastAsiaTheme="minorEastAsia"/>
                <w:szCs w:val="21"/>
              </w:rPr>
            </w:pPr>
            <w:r>
              <w:rPr>
                <w:rFonts w:asciiTheme="minorEastAsia" w:hAnsiTheme="minorEastAsia" w:eastAsiaTheme="minorEastAsia"/>
                <w:szCs w:val="21"/>
              </w:rPr>
              <w:t>耗能量</w:t>
            </w:r>
          </w:p>
        </w:tc>
        <w:tc>
          <w:tcPr>
            <w:tcW w:w="3006" w:type="dxa"/>
            <w:gridSpan w:val="2"/>
            <w:tcBorders>
              <w:top w:val="single" w:color="auto" w:sz="4" w:space="0"/>
              <w:left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电力</w:t>
            </w:r>
          </w:p>
        </w:tc>
        <w:tc>
          <w:tcPr>
            <w:tcW w:w="2693" w:type="dxa"/>
            <w:tcBorders>
              <w:top w:val="single" w:color="auto" w:sz="4" w:space="0"/>
              <w:left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万kWh</w:t>
            </w:r>
            <w:r>
              <w:rPr>
                <w:rFonts w:asciiTheme="minorEastAsia" w:hAnsiTheme="minorEastAsia" w:eastAsiaTheme="minorEastAsia"/>
                <w:szCs w:val="21"/>
              </w:rPr>
              <w:t>/a</w:t>
            </w:r>
          </w:p>
        </w:tc>
        <w:tc>
          <w:tcPr>
            <w:tcW w:w="3253" w:type="dxa"/>
            <w:tcBorders>
              <w:top w:val="single" w:color="auto" w:sz="4" w:space="0"/>
              <w:left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jc w:val="center"/>
              <w:rPr>
                <w:rFonts w:asciiTheme="minorEastAsia" w:hAnsiTheme="minorEastAsia" w:eastAsiaTheme="minorEastAsia"/>
                <w:szCs w:val="21"/>
              </w:rPr>
            </w:pPr>
          </w:p>
        </w:tc>
        <w:tc>
          <w:tcPr>
            <w:tcW w:w="880" w:type="dxa"/>
            <w:vMerge w:val="restart"/>
            <w:tcBorders>
              <w:top w:val="single" w:color="auto" w:sz="4" w:space="0"/>
              <w:left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其他</w:t>
            </w:r>
          </w:p>
          <w:p>
            <w:pPr>
              <w:jc w:val="center"/>
              <w:rPr>
                <w:rFonts w:asciiTheme="minorEastAsia" w:hAnsiTheme="minorEastAsia" w:eastAsiaTheme="minorEastAsia"/>
                <w:szCs w:val="21"/>
              </w:rPr>
            </w:pPr>
            <w:r>
              <w:rPr>
                <w:rFonts w:hint="eastAsia" w:asciiTheme="minorEastAsia" w:hAnsiTheme="minorEastAsia" w:eastAsiaTheme="minorEastAsia"/>
                <w:szCs w:val="21"/>
              </w:rPr>
              <w:t>耗能</w:t>
            </w:r>
          </w:p>
          <w:p>
            <w:pPr>
              <w:jc w:val="center"/>
              <w:rPr>
                <w:rFonts w:asciiTheme="minorEastAsia" w:hAnsiTheme="minorEastAsia" w:eastAsiaTheme="minorEastAsia"/>
                <w:szCs w:val="21"/>
              </w:rPr>
            </w:pPr>
            <w:r>
              <w:rPr>
                <w:rFonts w:asciiTheme="minorEastAsia" w:hAnsiTheme="minorEastAsia" w:eastAsiaTheme="minorEastAsia"/>
                <w:szCs w:val="21"/>
              </w:rPr>
              <w:t>种类</w:t>
            </w:r>
          </w:p>
        </w:tc>
        <w:tc>
          <w:tcPr>
            <w:tcW w:w="2126" w:type="dxa"/>
            <w:tcBorders>
              <w:top w:val="single" w:color="auto" w:sz="4" w:space="0"/>
              <w:left w:val="single" w:color="auto" w:sz="4" w:space="0"/>
              <w:bottom w:val="single" w:color="auto" w:sz="4" w:space="0"/>
              <w:right w:val="single" w:color="auto" w:sz="4" w:space="0"/>
            </w:tcBorders>
            <w:vAlign w:val="center"/>
          </w:tcPr>
          <w:p>
            <w:pPr>
              <w:ind w:left="57"/>
              <w:rPr>
                <w:rFonts w:asciiTheme="minorEastAsia" w:hAnsiTheme="minorEastAsia" w:eastAsiaTheme="minorEastAsia"/>
                <w:szCs w:val="21"/>
              </w:rPr>
            </w:pPr>
            <w:r>
              <w:rPr>
                <w:rFonts w:asciiTheme="minorEastAsia" w:hAnsiTheme="minorEastAsia" w:eastAsiaTheme="minorEastAsia"/>
                <w:szCs w:val="21"/>
              </w:rPr>
              <w:t>□燃气</w:t>
            </w:r>
          </w:p>
        </w:tc>
        <w:tc>
          <w:tcPr>
            <w:tcW w:w="2693"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tce</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jc w:val="center"/>
              <w:rPr>
                <w:rFonts w:asciiTheme="minorEastAsia" w:hAnsiTheme="minorEastAsia" w:eastAsiaTheme="minorEastAsia"/>
                <w:szCs w:val="21"/>
              </w:rPr>
            </w:pPr>
          </w:p>
        </w:tc>
        <w:tc>
          <w:tcPr>
            <w:tcW w:w="880"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ind w:left="57"/>
              <w:rPr>
                <w:rFonts w:asciiTheme="minorEastAsia" w:hAnsiTheme="minorEastAsia" w:eastAsiaTheme="minorEastAsia"/>
                <w:szCs w:val="21"/>
              </w:rPr>
            </w:pPr>
            <w:r>
              <w:rPr>
                <w:rFonts w:asciiTheme="minorEastAsia" w:hAnsiTheme="minorEastAsia" w:eastAsiaTheme="minorEastAsia"/>
                <w:szCs w:val="21"/>
              </w:rPr>
              <w:t>□燃油</w:t>
            </w:r>
          </w:p>
        </w:tc>
        <w:tc>
          <w:tcPr>
            <w:tcW w:w="2693" w:type="dxa"/>
            <w:tcBorders>
              <w:top w:val="single" w:color="auto" w:sz="4" w:space="0"/>
              <w:left w:val="single" w:color="auto" w:sz="4" w:space="0"/>
              <w:bottom w:val="single" w:color="auto" w:sz="4" w:space="0"/>
              <w:right w:val="single" w:color="auto" w:sz="4" w:space="0"/>
            </w:tcBorders>
            <w:vAlign w:val="center"/>
          </w:tcPr>
          <w:p>
            <w:pPr>
              <w:ind w:left="57"/>
              <w:jc w:val="center"/>
              <w:rPr>
                <w:rFonts w:asciiTheme="minorEastAsia" w:hAnsiTheme="minorEastAsia" w:eastAsiaTheme="minorEastAsia"/>
                <w:szCs w:val="21"/>
              </w:rPr>
            </w:pPr>
            <w:r>
              <w:rPr>
                <w:rFonts w:hint="eastAsia" w:asciiTheme="minorEastAsia" w:hAnsiTheme="minorEastAsia" w:eastAsiaTheme="minorEastAsia"/>
                <w:szCs w:val="21"/>
              </w:rPr>
              <w:t>tce</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jc w:val="center"/>
              <w:rPr>
                <w:rFonts w:asciiTheme="minorEastAsia" w:hAnsiTheme="minorEastAsia" w:eastAsiaTheme="minorEastAsia"/>
                <w:szCs w:val="21"/>
              </w:rPr>
            </w:pPr>
          </w:p>
        </w:tc>
        <w:tc>
          <w:tcPr>
            <w:tcW w:w="880"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ind w:left="57"/>
              <w:rPr>
                <w:rFonts w:asciiTheme="minorEastAsia" w:hAnsiTheme="minorEastAsia" w:eastAsiaTheme="minorEastAsia"/>
                <w:szCs w:val="21"/>
              </w:rPr>
            </w:pPr>
            <w:r>
              <w:rPr>
                <w:rFonts w:asciiTheme="minorEastAsia" w:hAnsiTheme="minorEastAsia" w:eastAsiaTheme="minorEastAsia"/>
                <w:szCs w:val="21"/>
              </w:rPr>
              <w:t>□燃</w:t>
            </w:r>
            <w:r>
              <w:rPr>
                <w:rFonts w:hint="eastAsia" w:asciiTheme="minorEastAsia" w:hAnsiTheme="minorEastAsia" w:eastAsiaTheme="minorEastAsia"/>
                <w:szCs w:val="21"/>
              </w:rPr>
              <w:t>煤</w:t>
            </w:r>
          </w:p>
        </w:tc>
        <w:tc>
          <w:tcPr>
            <w:tcW w:w="2693" w:type="dxa"/>
            <w:tcBorders>
              <w:top w:val="single" w:color="auto" w:sz="4" w:space="0"/>
              <w:left w:val="single" w:color="auto" w:sz="4" w:space="0"/>
              <w:bottom w:val="single" w:color="auto" w:sz="4" w:space="0"/>
              <w:right w:val="single" w:color="auto" w:sz="4" w:space="0"/>
            </w:tcBorders>
            <w:vAlign w:val="center"/>
          </w:tcPr>
          <w:p>
            <w:pPr>
              <w:ind w:left="57"/>
              <w:jc w:val="center"/>
              <w:rPr>
                <w:rFonts w:asciiTheme="minorEastAsia" w:hAnsiTheme="minorEastAsia" w:eastAsiaTheme="minorEastAsia"/>
                <w:szCs w:val="21"/>
              </w:rPr>
            </w:pPr>
            <w:r>
              <w:rPr>
                <w:rFonts w:hint="eastAsia" w:asciiTheme="minorEastAsia" w:hAnsiTheme="minorEastAsia" w:eastAsiaTheme="minorEastAsia"/>
                <w:szCs w:val="21"/>
              </w:rPr>
              <w:t>tce</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jc w:val="center"/>
              <w:rPr>
                <w:rFonts w:asciiTheme="minorEastAsia" w:hAnsiTheme="minorEastAsia" w:eastAsiaTheme="minorEastAsia"/>
                <w:szCs w:val="21"/>
              </w:rPr>
            </w:pPr>
          </w:p>
        </w:tc>
        <w:tc>
          <w:tcPr>
            <w:tcW w:w="880" w:type="dxa"/>
            <w:vMerge w:val="continue"/>
            <w:tcBorders>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2126" w:type="dxa"/>
            <w:tcBorders>
              <w:top w:val="single" w:color="auto" w:sz="4" w:space="0"/>
              <w:left w:val="single" w:color="auto" w:sz="4" w:space="0"/>
              <w:bottom w:val="single" w:color="auto" w:sz="4" w:space="0"/>
              <w:right w:val="single" w:color="auto" w:sz="4" w:space="0"/>
            </w:tcBorders>
            <w:vAlign w:val="center"/>
          </w:tcPr>
          <w:p>
            <w:pPr>
              <w:ind w:left="57"/>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其他热力</w:t>
            </w:r>
          </w:p>
        </w:tc>
        <w:tc>
          <w:tcPr>
            <w:tcW w:w="2693" w:type="dxa"/>
            <w:tcBorders>
              <w:top w:val="single" w:color="auto" w:sz="4" w:space="0"/>
              <w:left w:val="single" w:color="auto" w:sz="4" w:space="0"/>
              <w:bottom w:val="single" w:color="auto" w:sz="4" w:space="0"/>
              <w:right w:val="single" w:color="auto" w:sz="4" w:space="0"/>
            </w:tcBorders>
            <w:vAlign w:val="center"/>
          </w:tcPr>
          <w:p>
            <w:pPr>
              <w:ind w:left="57"/>
              <w:jc w:val="center"/>
              <w:rPr>
                <w:rFonts w:asciiTheme="minorEastAsia" w:hAnsiTheme="minorEastAsia" w:eastAsiaTheme="minorEastAsia"/>
                <w:szCs w:val="21"/>
              </w:rPr>
            </w:pPr>
            <w:r>
              <w:rPr>
                <w:rFonts w:hint="eastAsia" w:asciiTheme="minorEastAsia" w:hAnsiTheme="minorEastAsia" w:eastAsiaTheme="minorEastAsia"/>
                <w:szCs w:val="21"/>
              </w:rPr>
              <w:t>tce</w:t>
            </w:r>
            <w:r>
              <w:rPr>
                <w:rFonts w:asciiTheme="minorEastAsia" w:hAnsiTheme="minorEastAsia" w:eastAsiaTheme="minorEastAsia"/>
                <w:szCs w:val="21"/>
              </w:rPr>
              <w:t>/a</w:t>
            </w: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restart"/>
            <w:tcBorders>
              <w:top w:val="single" w:color="auto" w:sz="4" w:space="0"/>
              <w:left w:val="single" w:color="auto" w:sz="4" w:space="0"/>
              <w:right w:val="single" w:color="auto" w:sz="4" w:space="0"/>
            </w:tcBorders>
            <w:vAlign w:val="center"/>
          </w:tcPr>
          <w:p>
            <w:pPr>
              <w:snapToGrid w:val="0"/>
              <w:spacing w:before="31" w:beforeLines="10" w:after="31" w:afterLines="10"/>
              <w:jc w:val="center"/>
              <w:rPr>
                <w:rFonts w:asciiTheme="minorEastAsia" w:hAnsiTheme="minorEastAsia" w:eastAsiaTheme="minorEastAsia"/>
                <w:szCs w:val="21"/>
              </w:rPr>
            </w:pPr>
            <w:r>
              <w:rPr>
                <w:rFonts w:hint="eastAsia" w:asciiTheme="minorEastAsia" w:hAnsiTheme="minorEastAsia" w:eastAsiaTheme="minorEastAsia"/>
                <w:szCs w:val="21"/>
              </w:rPr>
              <w:t>项目</w:t>
            </w:r>
          </w:p>
          <w:p>
            <w:pPr>
              <w:jc w:val="center"/>
              <w:rPr>
                <w:rFonts w:asciiTheme="minorEastAsia" w:hAnsiTheme="minorEastAsia" w:eastAsiaTheme="minorEastAsia"/>
                <w:szCs w:val="21"/>
              </w:rPr>
            </w:pPr>
            <w:r>
              <w:rPr>
                <w:rFonts w:asciiTheme="minorEastAsia" w:hAnsiTheme="minorEastAsia" w:eastAsiaTheme="minorEastAsia"/>
                <w:szCs w:val="21"/>
              </w:rPr>
              <w:t>分项</w:t>
            </w:r>
          </w:p>
          <w:p>
            <w:pPr>
              <w:jc w:val="center"/>
              <w:rPr>
                <w:rFonts w:asciiTheme="minorEastAsia" w:hAnsiTheme="minorEastAsia" w:eastAsiaTheme="minorEastAsia"/>
                <w:szCs w:val="21"/>
              </w:rPr>
            </w:pPr>
            <w:r>
              <w:rPr>
                <w:rFonts w:asciiTheme="minorEastAsia" w:hAnsiTheme="minorEastAsia" w:eastAsiaTheme="minorEastAsia"/>
                <w:szCs w:val="21"/>
              </w:rPr>
              <w:t>能耗</w:t>
            </w: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耗能系统</w:t>
            </w:r>
          </w:p>
        </w:tc>
        <w:tc>
          <w:tcPr>
            <w:tcW w:w="2693"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设计年耗能量（tce）</w:t>
            </w:r>
          </w:p>
        </w:tc>
        <w:tc>
          <w:tcPr>
            <w:tcW w:w="3253"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分项能耗占总能耗百分比</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暖通空调系统</w:t>
            </w:r>
          </w:p>
        </w:tc>
        <w:tc>
          <w:tcPr>
            <w:tcW w:w="2693"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照明</w:t>
            </w:r>
            <w:r>
              <w:rPr>
                <w:rFonts w:hint="eastAsia" w:asciiTheme="minorEastAsia" w:hAnsiTheme="minorEastAsia" w:eastAsiaTheme="minorEastAsia"/>
                <w:szCs w:val="21"/>
              </w:rPr>
              <w:t>、插座</w:t>
            </w:r>
          </w:p>
        </w:tc>
        <w:tc>
          <w:tcPr>
            <w:tcW w:w="2693"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生活热水系统</w:t>
            </w:r>
          </w:p>
        </w:tc>
        <w:tc>
          <w:tcPr>
            <w:tcW w:w="269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生活给水系统</w:t>
            </w:r>
          </w:p>
        </w:tc>
        <w:tc>
          <w:tcPr>
            <w:tcW w:w="269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厨房炊事系统</w:t>
            </w:r>
            <w:r>
              <w:rPr>
                <w:rFonts w:hint="eastAsia" w:asciiTheme="minorEastAsia" w:hAnsiTheme="minorEastAsia" w:eastAsiaTheme="minorEastAsia"/>
                <w:szCs w:val="21"/>
              </w:rPr>
              <w:t>（燃气）</w:t>
            </w:r>
          </w:p>
        </w:tc>
        <w:tc>
          <w:tcPr>
            <w:tcW w:w="269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asciiTheme="minorEastAsia" w:hAnsiTheme="minorEastAsia" w:eastAsiaTheme="minorEastAsia"/>
                <w:szCs w:val="21"/>
              </w:rPr>
              <w:t>电梯运输系统</w:t>
            </w:r>
          </w:p>
        </w:tc>
        <w:tc>
          <w:tcPr>
            <w:tcW w:w="2693"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widowControl/>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变压器损耗</w:t>
            </w:r>
          </w:p>
        </w:tc>
        <w:tc>
          <w:tcPr>
            <w:tcW w:w="269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88" w:type="dxa"/>
            <w:vMerge w:val="continue"/>
            <w:tcBorders>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3006"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szCs w:val="21"/>
              </w:rPr>
            </w:pPr>
            <w:r>
              <w:rPr>
                <w:rFonts w:hint="eastAsia" w:asciiTheme="minorEastAsia" w:hAnsiTheme="minorEastAsia" w:eastAsiaTheme="minorEastAsia"/>
                <w:szCs w:val="21"/>
              </w:rPr>
              <w:t>其他</w:t>
            </w:r>
          </w:p>
        </w:tc>
        <w:tc>
          <w:tcPr>
            <w:tcW w:w="269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c>
          <w:tcPr>
            <w:tcW w:w="3253"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974" w:hRule="atLeast"/>
          <w:jc w:val="center"/>
        </w:trPr>
        <w:tc>
          <w:tcPr>
            <w:tcW w:w="9940" w:type="dxa"/>
            <w:gridSpan w:val="5"/>
            <w:tcBorders>
              <w:left w:val="single" w:color="auto" w:sz="4" w:space="0"/>
              <w:bottom w:val="single" w:color="auto" w:sz="4" w:space="0"/>
              <w:right w:val="single" w:color="auto" w:sz="4" w:space="0"/>
            </w:tcBorders>
            <w:vAlign w:val="center"/>
          </w:tcPr>
          <w:p>
            <w:pPr>
              <w:rPr>
                <w:rFonts w:asciiTheme="minorEastAsia" w:hAnsiTheme="minorEastAsia" w:eastAsiaTheme="minorEastAsia"/>
                <w:szCs w:val="21"/>
              </w:rPr>
            </w:pPr>
            <w:r>
              <w:rPr>
                <w:rFonts w:hint="eastAsia" w:asciiTheme="minorEastAsia" w:hAnsiTheme="minorEastAsia" w:eastAsiaTheme="minorEastAsia"/>
                <w:szCs w:val="21"/>
              </w:rPr>
              <w:t>其他指标说明：</w:t>
            </w:r>
          </w:p>
          <w:p>
            <w:pPr>
              <w:rPr>
                <w:rFonts w:asciiTheme="minorEastAsia" w:hAnsiTheme="minorEastAsia" w:eastAsiaTheme="minorEastAsia"/>
                <w:szCs w:val="21"/>
              </w:rPr>
            </w:pPr>
          </w:p>
          <w:p>
            <w:pP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31" w:hRule="atLeast"/>
          <w:jc w:val="center"/>
        </w:trPr>
        <w:tc>
          <w:tcPr>
            <w:tcW w:w="9940"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szCs w:val="21"/>
              </w:rPr>
            </w:pPr>
            <w:r>
              <w:rPr>
                <w:rFonts w:hint="eastAsia" w:asciiTheme="minorEastAsia" w:hAnsiTheme="minorEastAsia" w:eastAsiaTheme="minorEastAsia"/>
                <w:b/>
                <w:bCs/>
                <w:kern w:val="0"/>
                <w:szCs w:val="21"/>
              </w:rPr>
              <w:t>3 绿色建筑设计技术措施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67" w:hRule="atLeast"/>
          <w:jc w:val="center"/>
        </w:trPr>
        <w:tc>
          <w:tcPr>
            <w:tcW w:w="9940"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Theme="minorEastAsia" w:hAnsiTheme="minorEastAsia" w:eastAsiaTheme="minorEastAsia"/>
                <w:szCs w:val="21"/>
              </w:rPr>
            </w:pPr>
            <w:r>
              <w:rPr>
                <w:rFonts w:hint="eastAsia" w:asciiTheme="minorEastAsia" w:hAnsiTheme="minorEastAsia" w:eastAsiaTheme="minorEastAsia"/>
                <w:szCs w:val="21"/>
              </w:rPr>
              <w:t>详见各专业绿建施工图。</w:t>
            </w:r>
          </w:p>
        </w:tc>
      </w:tr>
    </w:tbl>
    <w:p>
      <w:pPr>
        <w:ind w:firstLine="420"/>
        <w:rPr>
          <w:rFonts w:asciiTheme="minorEastAsia" w:hAnsiTheme="minorEastAsia" w:eastAsiaTheme="minorEastAsia"/>
        </w:rPr>
        <w:sectPr>
          <w:headerReference r:id="rId11" w:type="default"/>
          <w:pgSz w:w="23814" w:h="16840" w:orient="landscape"/>
          <w:pgMar w:top="1134" w:right="1134" w:bottom="1134" w:left="1134" w:header="851" w:footer="810" w:gutter="0"/>
          <w:cols w:space="630" w:num="2"/>
          <w:docGrid w:type="lines" w:linePitch="312" w:charSpace="0"/>
        </w:sectPr>
      </w:pPr>
    </w:p>
    <w:p>
      <w:pPr>
        <w:pStyle w:val="63"/>
        <w:ind w:firstLine="0"/>
        <w:rPr>
          <w:rFonts w:asciiTheme="minorEastAsia" w:hAnsiTheme="minorEastAsia" w:eastAsiaTheme="minorEastAsia"/>
          <w:b/>
        </w:rPr>
      </w:pPr>
      <w:bookmarkStart w:id="2" w:name="_Toc109325287"/>
      <w:bookmarkStart w:id="3" w:name="_Toc109325923"/>
      <w:r>
        <w:rPr>
          <w:rFonts w:hint="eastAsia" w:asciiTheme="minorEastAsia" w:hAnsiTheme="minorEastAsia" w:eastAsiaTheme="minorEastAsia"/>
          <w:b/>
        </w:rPr>
        <w:t>一、建筑主要设计依据</w:t>
      </w:r>
      <w:bookmarkEnd w:id="2"/>
      <w:bookmarkEnd w:id="3"/>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《浙江省绿色建筑条例》；</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《建筑节能与可再生能源利用通用规范》 GB 55015-2021；</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《建筑环境通用规范》 GB 55016-2021；</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 xml:space="preserve">浙江省《公共建筑节能设计标准》DB </w:t>
      </w:r>
      <w:r>
        <w:rPr>
          <w:rFonts w:asciiTheme="minorEastAsia" w:hAnsiTheme="minorEastAsia" w:eastAsiaTheme="minorEastAsia"/>
          <w:szCs w:val="21"/>
        </w:rPr>
        <w:t>33</w:t>
      </w:r>
      <w:r>
        <w:rPr>
          <w:rFonts w:hint="eastAsia" w:asciiTheme="minorEastAsia" w:hAnsiTheme="minorEastAsia" w:eastAsiaTheme="minorEastAsia"/>
          <w:szCs w:val="21"/>
        </w:rPr>
        <w:t>/1036-2021；</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浙江省《绿色建筑设计标准》DB</w:t>
      </w:r>
      <w:r>
        <w:rPr>
          <w:rFonts w:asciiTheme="minorEastAsia" w:hAnsiTheme="minorEastAsia" w:eastAsiaTheme="minorEastAsia"/>
          <w:szCs w:val="21"/>
        </w:rPr>
        <w:t xml:space="preserve"> 33</w:t>
      </w:r>
      <w:r>
        <w:rPr>
          <w:rFonts w:hint="eastAsia" w:asciiTheme="minorEastAsia" w:hAnsiTheme="minorEastAsia" w:eastAsiaTheme="minorEastAsia"/>
          <w:szCs w:val="21"/>
        </w:rPr>
        <w:t>/1092-</w:t>
      </w:r>
      <w:r>
        <w:rPr>
          <w:rFonts w:asciiTheme="minorEastAsia" w:hAnsiTheme="minorEastAsia" w:eastAsiaTheme="minorEastAsia"/>
          <w:szCs w:val="21"/>
        </w:rPr>
        <w:t>2021</w:t>
      </w:r>
      <w:r>
        <w:rPr>
          <w:rFonts w:hint="eastAsia" w:asciiTheme="minorEastAsia" w:hAnsiTheme="minorEastAsia" w:eastAsiaTheme="minorEastAsia"/>
          <w:szCs w:val="21"/>
        </w:rPr>
        <w:t>；</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《绿色建筑评价标准》GB/T</w:t>
      </w:r>
      <w:r>
        <w:rPr>
          <w:rFonts w:asciiTheme="minorEastAsia" w:hAnsiTheme="minorEastAsia" w:eastAsiaTheme="minorEastAsia"/>
          <w:szCs w:val="21"/>
        </w:rPr>
        <w:t xml:space="preserve"> </w:t>
      </w:r>
      <w:r>
        <w:rPr>
          <w:rFonts w:hint="eastAsia" w:asciiTheme="minorEastAsia" w:hAnsiTheme="minorEastAsia" w:eastAsiaTheme="minorEastAsia"/>
          <w:szCs w:val="21"/>
        </w:rPr>
        <w:t>50378-</w:t>
      </w:r>
      <w:r>
        <w:rPr>
          <w:rFonts w:hint="eastAsia" w:cs="宋体" w:asciiTheme="minorEastAsia" w:hAnsiTheme="minorEastAsia" w:eastAsiaTheme="minorEastAsia"/>
          <w:kern w:val="0"/>
          <w:szCs w:val="21"/>
        </w:rPr>
        <w:t>201</w:t>
      </w:r>
      <w:r>
        <w:rPr>
          <w:rFonts w:cs="宋体" w:asciiTheme="minorEastAsia" w:hAnsiTheme="minorEastAsia" w:eastAsiaTheme="minorEastAsia"/>
          <w:kern w:val="0"/>
          <w:szCs w:val="21"/>
        </w:rPr>
        <w:t>9</w:t>
      </w:r>
      <w:r>
        <w:rPr>
          <w:rFonts w:hint="eastAsia" w:asciiTheme="minorEastAsia" w:hAnsiTheme="minorEastAsia" w:eastAsiaTheme="minorEastAsia"/>
          <w:szCs w:val="21"/>
        </w:rPr>
        <w:t>；</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《民用建筑绿色设计规范》JGJ/T</w:t>
      </w:r>
      <w:r>
        <w:rPr>
          <w:rFonts w:asciiTheme="minorEastAsia" w:hAnsiTheme="minorEastAsia" w:eastAsiaTheme="minorEastAsia"/>
          <w:szCs w:val="21"/>
        </w:rPr>
        <w:t xml:space="preserve"> </w:t>
      </w:r>
      <w:r>
        <w:rPr>
          <w:rFonts w:hint="eastAsia" w:asciiTheme="minorEastAsia" w:hAnsiTheme="minorEastAsia" w:eastAsiaTheme="minorEastAsia"/>
          <w:szCs w:val="21"/>
        </w:rPr>
        <w:t>229-2010；</w:t>
      </w:r>
    </w:p>
    <w:p>
      <w:pPr>
        <w:widowControl/>
        <w:numPr>
          <w:ilvl w:val="0"/>
          <w:numId w:val="13"/>
        </w:numPr>
        <w:spacing w:line="400" w:lineRule="exact"/>
        <w:ind w:left="426" w:firstLine="0"/>
        <w:rPr>
          <w:rFonts w:asciiTheme="minorEastAsia" w:hAnsiTheme="minorEastAsia" w:eastAsiaTheme="minorEastAsia"/>
          <w:szCs w:val="21"/>
        </w:rPr>
      </w:pPr>
      <w:r>
        <w:rPr>
          <w:rFonts w:asciiTheme="minorEastAsia" w:hAnsiTheme="minorEastAsia" w:eastAsiaTheme="minorEastAsia"/>
          <w:szCs w:val="21"/>
        </w:rPr>
        <w:t>《民用建筑热工设计规范》GB 50176-</w:t>
      </w:r>
      <w:r>
        <w:rPr>
          <w:rFonts w:hint="eastAsia" w:asciiTheme="minorEastAsia" w:hAnsiTheme="minorEastAsia" w:eastAsiaTheme="minorEastAsia"/>
          <w:szCs w:val="21"/>
        </w:rPr>
        <w:t>2016；</w:t>
      </w:r>
    </w:p>
    <w:p>
      <w:pPr>
        <w:widowControl/>
        <w:numPr>
          <w:ilvl w:val="0"/>
          <w:numId w:val="13"/>
        </w:numPr>
        <w:spacing w:line="400" w:lineRule="exact"/>
        <w:ind w:left="426" w:firstLine="0"/>
        <w:rPr>
          <w:rFonts w:asciiTheme="minorEastAsia" w:hAnsiTheme="minorEastAsia" w:eastAsiaTheme="minorEastAsia"/>
          <w:szCs w:val="21"/>
        </w:rPr>
      </w:pPr>
      <w:r>
        <w:rPr>
          <w:rFonts w:asciiTheme="minorEastAsia" w:hAnsiTheme="minorEastAsia" w:eastAsiaTheme="minorEastAsia"/>
          <w:szCs w:val="21"/>
        </w:rPr>
        <w:t>《建筑设计防火规范》GB 50016-</w:t>
      </w:r>
      <w:r>
        <w:rPr>
          <w:rFonts w:hint="eastAsia" w:cs="宋体" w:asciiTheme="minorEastAsia" w:hAnsiTheme="minorEastAsia" w:eastAsiaTheme="minorEastAsia"/>
          <w:kern w:val="0"/>
          <w:szCs w:val="21"/>
        </w:rPr>
        <w:t>2014</w:t>
      </w:r>
      <w:r>
        <w:rPr>
          <w:rFonts w:hint="eastAsia" w:asciiTheme="minorEastAsia" w:hAnsiTheme="minorEastAsia" w:eastAsiaTheme="minorEastAsia"/>
          <w:szCs w:val="21"/>
        </w:rPr>
        <w:t>（2</w:t>
      </w:r>
      <w:r>
        <w:rPr>
          <w:rFonts w:asciiTheme="minorEastAsia" w:hAnsiTheme="minorEastAsia" w:eastAsiaTheme="minorEastAsia"/>
          <w:szCs w:val="21"/>
        </w:rPr>
        <w:t>018</w:t>
      </w:r>
      <w:r>
        <w:rPr>
          <w:rFonts w:hint="eastAsia" w:asciiTheme="minorEastAsia" w:hAnsiTheme="minorEastAsia" w:eastAsiaTheme="minorEastAsia"/>
          <w:szCs w:val="21"/>
        </w:rPr>
        <w:t>年版）；</w:t>
      </w:r>
    </w:p>
    <w:p>
      <w:pPr>
        <w:numPr>
          <w:ilvl w:val="0"/>
          <w:numId w:val="13"/>
        </w:numPr>
        <w:spacing w:line="400" w:lineRule="exact"/>
        <w:ind w:left="426" w:firstLine="0"/>
        <w:rPr>
          <w:rFonts w:asciiTheme="minorEastAsia" w:hAnsiTheme="minorEastAsia" w:eastAsiaTheme="minorEastAsia"/>
          <w:szCs w:val="21"/>
        </w:rPr>
      </w:pPr>
      <w:r>
        <w:rPr>
          <w:rFonts w:hint="eastAsia" w:cs="宋体" w:asciiTheme="minorEastAsia" w:hAnsiTheme="minorEastAsia" w:eastAsiaTheme="minorEastAsia"/>
          <w:kern w:val="0"/>
          <w:szCs w:val="21"/>
        </w:rPr>
        <w:t>《建筑外门窗气密、水密、抗风压性能检测方法》</w:t>
      </w:r>
      <w:r>
        <w:rPr>
          <w:rFonts w:cs="宋体" w:asciiTheme="minorEastAsia" w:hAnsiTheme="minorEastAsia" w:eastAsiaTheme="minorEastAsia"/>
          <w:kern w:val="0"/>
          <w:szCs w:val="21"/>
        </w:rPr>
        <w:t>GB/T 7106-2019</w:t>
      </w:r>
      <w:r>
        <w:rPr>
          <w:rFonts w:hint="eastAsia" w:cs="宋体" w:asciiTheme="minorEastAsia" w:hAnsiTheme="minorEastAsia" w:eastAsiaTheme="minorEastAsia"/>
          <w:kern w:val="0"/>
          <w:szCs w:val="21"/>
        </w:rPr>
        <w:t>；</w:t>
      </w:r>
    </w:p>
    <w:p>
      <w:pPr>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《建筑幕墙、门窗通用技术条件》GB/T 31433-2015；</w:t>
      </w:r>
    </w:p>
    <w:p>
      <w:pPr>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《建筑采光设计标准》GB</w:t>
      </w:r>
      <w:r>
        <w:rPr>
          <w:rFonts w:asciiTheme="minorEastAsia" w:hAnsiTheme="minorEastAsia" w:eastAsiaTheme="minorEastAsia"/>
          <w:szCs w:val="21"/>
        </w:rPr>
        <w:t xml:space="preserve"> </w:t>
      </w:r>
      <w:r>
        <w:rPr>
          <w:rFonts w:hint="eastAsia" w:asciiTheme="minorEastAsia" w:hAnsiTheme="minorEastAsia" w:eastAsiaTheme="minorEastAsia"/>
          <w:szCs w:val="21"/>
        </w:rPr>
        <w:t>50033-2013；</w:t>
      </w:r>
    </w:p>
    <w:p>
      <w:pPr>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《声环境质量标准》GB</w:t>
      </w:r>
      <w:r>
        <w:rPr>
          <w:rFonts w:asciiTheme="minorEastAsia" w:hAnsiTheme="minorEastAsia" w:eastAsiaTheme="minorEastAsia"/>
          <w:szCs w:val="21"/>
        </w:rPr>
        <w:t xml:space="preserve"> </w:t>
      </w:r>
      <w:r>
        <w:rPr>
          <w:rFonts w:hint="eastAsia" w:asciiTheme="minorEastAsia" w:hAnsiTheme="minorEastAsia" w:eastAsiaTheme="minorEastAsia"/>
          <w:szCs w:val="21"/>
        </w:rPr>
        <w:t>3096-2008；</w:t>
      </w:r>
    </w:p>
    <w:p>
      <w:pPr>
        <w:numPr>
          <w:ilvl w:val="0"/>
          <w:numId w:val="13"/>
        </w:numPr>
        <w:spacing w:line="400" w:lineRule="exact"/>
        <w:ind w:left="850" w:leftChars="205" w:hangingChars="200"/>
        <w:rPr>
          <w:rFonts w:asciiTheme="minorEastAsia" w:hAnsiTheme="minorEastAsia" w:eastAsiaTheme="minorEastAsia"/>
          <w:szCs w:val="21"/>
        </w:rPr>
      </w:pPr>
      <w:r>
        <w:rPr>
          <w:rFonts w:hint="eastAsia" w:cs="宋体" w:asciiTheme="minorEastAsia" w:hAnsiTheme="minorEastAsia" w:eastAsiaTheme="minorEastAsia"/>
          <w:kern w:val="0"/>
          <w:szCs w:val="21"/>
        </w:rPr>
        <w:t>《浙江省建设领域推广应用技术公告》和《浙江省建设领域禁止和限制使用技术公告》（浙建发〔2014〕284号）；</w:t>
      </w:r>
    </w:p>
    <w:p>
      <w:pPr>
        <w:numPr>
          <w:ilvl w:val="0"/>
          <w:numId w:val="13"/>
        </w:numPr>
        <w:spacing w:line="400" w:lineRule="exact"/>
        <w:ind w:left="426" w:firstLine="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项目环境影响评价报告：</w:t>
      </w:r>
      <w:r>
        <w:rPr>
          <w:rFonts w:hint="eastAsia" w:hAnsi="宋体" w:cs="宋体"/>
          <w:kern w:val="0"/>
          <w:szCs w:val="21"/>
        </w:rPr>
        <w:t>_</w:t>
      </w:r>
      <w:r>
        <w:rPr>
          <w:rFonts w:hAnsi="宋体" w:cs="宋体"/>
          <w:kern w:val="0"/>
          <w:szCs w:val="21"/>
        </w:rPr>
        <w:t>_________________</w:t>
      </w:r>
      <w:r>
        <w:rPr>
          <w:rFonts w:hint="eastAsia" w:cs="宋体" w:asciiTheme="minorEastAsia" w:hAnsiTheme="minorEastAsia" w:eastAsiaTheme="minorEastAsia"/>
          <w:kern w:val="0"/>
          <w:szCs w:val="21"/>
        </w:rPr>
        <w:t>；</w:t>
      </w:r>
    </w:p>
    <w:p>
      <w:pPr>
        <w:numPr>
          <w:ilvl w:val="0"/>
          <w:numId w:val="13"/>
        </w:numPr>
        <w:spacing w:line="400" w:lineRule="exact"/>
        <w:ind w:left="426" w:firstLine="0"/>
        <w:rPr>
          <w:rFonts w:cs="宋体" w:asciiTheme="minorEastAsia" w:hAnsiTheme="minorEastAsia" w:eastAsiaTheme="minorEastAsia"/>
          <w:kern w:val="0"/>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13"/>
        </w:numPr>
        <w:spacing w:line="400" w:lineRule="exact"/>
        <w:ind w:left="426" w:firstLine="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建设单位提供的任务书、往来函件等文件资料要求；</w:t>
      </w:r>
    </w:p>
    <w:p>
      <w:pPr>
        <w:numPr>
          <w:ilvl w:val="0"/>
          <w:numId w:val="13"/>
        </w:numPr>
        <w:spacing w:line="400" w:lineRule="exact"/>
        <w:ind w:left="426" w:firstLine="0"/>
        <w:rPr>
          <w:rFonts w:cs="宋体" w:asciiTheme="minorEastAsia" w:hAnsiTheme="minorEastAsia" w:eastAsiaTheme="minorEastAsia"/>
          <w:kern w:val="0"/>
          <w:szCs w:val="21"/>
        </w:rPr>
      </w:pPr>
      <w:r>
        <w:rPr>
          <w:rFonts w:cs="宋体" w:asciiTheme="minorEastAsia" w:hAnsiTheme="minorEastAsia" w:eastAsiaTheme="minorEastAsia"/>
          <w:kern w:val="0"/>
          <w:szCs w:val="21"/>
        </w:rPr>
        <w:t>现行国家、</w:t>
      </w:r>
      <w:r>
        <w:rPr>
          <w:rFonts w:hint="eastAsia" w:cs="宋体" w:asciiTheme="minorEastAsia" w:hAnsiTheme="minorEastAsia" w:eastAsiaTheme="minorEastAsia"/>
          <w:kern w:val="0"/>
          <w:szCs w:val="21"/>
        </w:rPr>
        <w:t>行业、浙江省</w:t>
      </w:r>
      <w:r>
        <w:rPr>
          <w:rFonts w:cs="宋体" w:asciiTheme="minorEastAsia" w:hAnsiTheme="minorEastAsia" w:eastAsiaTheme="minorEastAsia"/>
          <w:kern w:val="0"/>
          <w:szCs w:val="21"/>
        </w:rPr>
        <w:t>相关</w:t>
      </w:r>
      <w:r>
        <w:rPr>
          <w:rFonts w:hint="eastAsia" w:cs="宋体" w:asciiTheme="minorEastAsia" w:hAnsiTheme="minorEastAsia" w:eastAsiaTheme="minorEastAsia"/>
          <w:kern w:val="0"/>
          <w:szCs w:val="21"/>
        </w:rPr>
        <w:t>绿色建筑与</w:t>
      </w:r>
      <w:r>
        <w:rPr>
          <w:rFonts w:cs="宋体" w:asciiTheme="minorEastAsia" w:hAnsiTheme="minorEastAsia" w:eastAsiaTheme="minorEastAsia"/>
          <w:kern w:val="0"/>
          <w:szCs w:val="21"/>
        </w:rPr>
        <w:t>节能</w:t>
      </w:r>
      <w:r>
        <w:rPr>
          <w:rFonts w:hint="eastAsia" w:cs="宋体" w:asciiTheme="minorEastAsia" w:hAnsiTheme="minorEastAsia" w:eastAsiaTheme="minorEastAsia"/>
          <w:kern w:val="0"/>
          <w:szCs w:val="21"/>
        </w:rPr>
        <w:t>的</w:t>
      </w:r>
      <w:r>
        <w:rPr>
          <w:rFonts w:cs="宋体" w:asciiTheme="minorEastAsia" w:hAnsiTheme="minorEastAsia" w:eastAsiaTheme="minorEastAsia"/>
          <w:kern w:val="0"/>
          <w:szCs w:val="21"/>
        </w:rPr>
        <w:t>法律、法规</w:t>
      </w:r>
      <w:r>
        <w:rPr>
          <w:rFonts w:hint="eastAsia" w:cs="宋体" w:asciiTheme="minorEastAsia" w:hAnsiTheme="minorEastAsia" w:eastAsiaTheme="minorEastAsia"/>
          <w:kern w:val="0"/>
          <w:szCs w:val="21"/>
        </w:rPr>
        <w:t>和规范性文件。</w:t>
      </w:r>
    </w:p>
    <w:p>
      <w:pPr>
        <w:spacing w:line="360" w:lineRule="auto"/>
        <w:rPr>
          <w:rFonts w:asciiTheme="minorEastAsia" w:hAnsiTheme="minorEastAsia" w:eastAsiaTheme="minorEastAsia"/>
        </w:rPr>
      </w:pPr>
    </w:p>
    <w:p>
      <w:pPr>
        <w:pStyle w:val="63"/>
        <w:ind w:firstLine="0"/>
        <w:rPr>
          <w:rFonts w:asciiTheme="minorEastAsia" w:hAnsiTheme="minorEastAsia" w:eastAsiaTheme="minorEastAsia"/>
          <w:b/>
        </w:rPr>
      </w:pPr>
      <w:bookmarkStart w:id="4" w:name="_Toc109325924"/>
      <w:bookmarkStart w:id="5" w:name="_Toc109325288"/>
      <w:r>
        <w:rPr>
          <w:rFonts w:hint="eastAsia" w:asciiTheme="minorEastAsia" w:hAnsiTheme="minorEastAsia" w:eastAsiaTheme="minorEastAsia"/>
          <w:b/>
        </w:rPr>
        <w:t>二、建筑设计技术措施:</w:t>
      </w:r>
      <w:bookmarkEnd w:id="4"/>
      <w:bookmarkEnd w:id="5"/>
    </w:p>
    <w:p>
      <w:pPr>
        <w:spacing w:line="360" w:lineRule="auto"/>
        <w:ind w:firstLine="482"/>
        <w:rPr>
          <w:rFonts w:asciiTheme="minorEastAsia" w:hAnsiTheme="minorEastAsia" w:eastAsiaTheme="minorEastAsia"/>
          <w:b/>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一</w:t>
      </w:r>
      <w:r>
        <w:rPr>
          <w:rFonts w:asciiTheme="minorEastAsia" w:hAnsiTheme="minorEastAsia" w:eastAsiaTheme="minorEastAsia"/>
          <w:b/>
          <w:sz w:val="24"/>
        </w:rPr>
        <w:t>星级</w:t>
      </w:r>
      <w:r>
        <w:rPr>
          <w:rFonts w:hint="eastAsia" w:asciiTheme="minorEastAsia" w:hAnsiTheme="minorEastAsia" w:eastAsiaTheme="minorEastAsia"/>
          <w:b/>
          <w:sz w:val="24"/>
        </w:rPr>
        <w:t>；</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6"/>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（一）总平面设计技术措施</w:t>
      </w:r>
    </w:p>
    <w:p>
      <w:pPr>
        <w:pBdr>
          <w:top w:val="single" w:color="auto" w:sz="4" w:space="6"/>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14"/>
        </w:numPr>
        <w:rPr>
          <w:rFonts w:asciiTheme="minorEastAsia" w:hAnsiTheme="minorEastAsia" w:eastAsiaTheme="minorEastAsia"/>
        </w:rPr>
      </w:pPr>
      <w:r>
        <w:rPr>
          <w:rFonts w:asciiTheme="minorEastAsia" w:hAnsiTheme="minorEastAsia" w:eastAsiaTheme="minorEastAsia"/>
        </w:rPr>
        <w:t>场地的规划设计符合项目所在地城乡规划的要求</w:t>
      </w:r>
      <w:r>
        <w:rPr>
          <w:rFonts w:hint="eastAsia" w:asciiTheme="minorEastAsia" w:hAnsiTheme="minorEastAsia" w:eastAsiaTheme="minorEastAsia"/>
        </w:rPr>
        <w:t>，节约集约利用土地，合理控制场地开发强度，建筑规划布局符合国家和地方现行日照标准的规定，且不降低周边建筑的日照标准。</w:t>
      </w:r>
    </w:p>
    <w:p>
      <w:pPr>
        <w:pStyle w:val="90"/>
        <w:numPr>
          <w:ilvl w:val="0"/>
          <w:numId w:val="14"/>
        </w:numPr>
        <w:rPr>
          <w:rFonts w:asciiTheme="minorEastAsia" w:hAnsiTheme="minorEastAsia" w:eastAsiaTheme="minorEastAsia"/>
        </w:rPr>
      </w:pPr>
      <w:r>
        <w:rPr>
          <w:rFonts w:hint="eastAsia" w:asciiTheme="minorEastAsia" w:hAnsiTheme="minorEastAsia" w:eastAsiaTheme="minorEastAsia"/>
        </w:rPr>
        <w:t>场地避开滑坡、泥石流等</w:t>
      </w:r>
      <w:r>
        <w:rPr>
          <w:rFonts w:asciiTheme="minorEastAsia" w:hAnsiTheme="minorEastAsia" w:eastAsiaTheme="minorEastAsia"/>
        </w:rPr>
        <w:t>地质危险</w:t>
      </w:r>
      <w:r>
        <w:rPr>
          <w:rFonts w:hint="eastAsia" w:asciiTheme="minorEastAsia" w:hAnsiTheme="minorEastAsia" w:eastAsiaTheme="minorEastAsia"/>
        </w:rPr>
        <w:t>地段、避开不利于建筑抗震和容易产生风切变的地段，易发生洪涝地区有可靠的防洪涝基础设施；场地无危险化学品、易燃易爆危险源的威胁，无电磁辐射、含氡土壤的危害；场地内无排放超标的污染源。</w:t>
      </w:r>
    </w:p>
    <w:p>
      <w:pPr>
        <w:pStyle w:val="90"/>
        <w:rPr>
          <w:rFonts w:asciiTheme="minorEastAsia" w:hAnsiTheme="minorEastAsia" w:eastAsiaTheme="minorEastAsia"/>
        </w:rPr>
      </w:pPr>
    </w:p>
    <w:p>
      <w:pPr>
        <w:pStyle w:val="90"/>
        <w:rPr>
          <w:rFonts w:asciiTheme="minorEastAsia" w:hAnsiTheme="minorEastAsia" w:eastAsiaTheme="minorEastAsia"/>
        </w:rPr>
      </w:pPr>
    </w:p>
    <w:p>
      <w:pPr>
        <w:pStyle w:val="90"/>
        <w:ind w:left="1050"/>
        <w:rPr>
          <w:rFonts w:asciiTheme="minorEastAsia" w:hAnsiTheme="minorEastAsia" w:eastAsiaTheme="minorEastAsia"/>
        </w:rPr>
      </w:pPr>
    </w:p>
    <w:p>
      <w:pPr>
        <w:pBdr>
          <w:top w:val="single" w:color="auto" w:sz="4" w:space="6"/>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15"/>
        </w:numPr>
        <w:rPr>
          <w:rFonts w:asciiTheme="minorEastAsia" w:hAnsiTheme="minorEastAsia" w:eastAsiaTheme="minorEastAsia"/>
          <w:b/>
          <w:bCs/>
        </w:rPr>
      </w:pPr>
      <w:r>
        <w:rPr>
          <w:rFonts w:asciiTheme="minorEastAsia" w:hAnsiTheme="minorEastAsia" w:eastAsiaTheme="minorEastAsia"/>
          <w:b/>
          <w:bCs/>
        </w:rPr>
        <w:t>场地</w:t>
      </w:r>
      <w:r>
        <w:rPr>
          <w:rFonts w:hint="eastAsia" w:asciiTheme="minorEastAsia" w:hAnsiTheme="minorEastAsia" w:eastAsiaTheme="minorEastAsia"/>
          <w:b/>
          <w:bCs/>
        </w:rPr>
        <w:t>规划与资源利用：</w:t>
      </w:r>
    </w:p>
    <w:p>
      <w:pPr>
        <w:pStyle w:val="88"/>
        <w:ind w:left="840" w:hanging="420"/>
        <w:rPr>
          <w:rFonts w:asciiTheme="minorEastAsia" w:hAnsiTheme="minorEastAsia" w:eastAsiaTheme="minorEastAsia"/>
        </w:rPr>
      </w:pPr>
      <w:r>
        <w:rPr>
          <w:rFonts w:hint="eastAsia" w:asciiTheme="minorEastAsia" w:hAnsiTheme="minorEastAsia" w:eastAsiaTheme="minorEastAsia"/>
        </w:rPr>
        <w:t>建筑物的布局、形式、高度、体量、色调未对周边物理环境造成不良影响：□是；□否。</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rPr>
        <w:t>生活垃圾分类收集，垃圾容器和收集点的设置合理并与周围景观协调：□是；□否。</w:t>
      </w:r>
      <w:r>
        <w:rPr>
          <w:rFonts w:asciiTheme="minorEastAsia" w:hAnsiTheme="minorEastAsia" w:eastAsiaTheme="minorEastAsia"/>
        </w:rPr>
        <w:t xml:space="preserve"> </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rPr>
        <w:t>项目利用场地内的可再生能源类型为：</w:t>
      </w:r>
    </w:p>
    <w:p>
      <w:pPr>
        <w:pStyle w:val="88"/>
        <w:numPr>
          <w:ilvl w:val="1"/>
          <w:numId w:val="0"/>
        </w:numPr>
        <w:ind w:left="420" w:firstLine="420" w:firstLineChars="200"/>
        <w:rPr>
          <w:rFonts w:asciiTheme="minorEastAsia" w:hAnsiTheme="minorEastAsia" w:eastAsiaTheme="minorEastAsia"/>
        </w:rPr>
      </w:pPr>
      <w:r>
        <w:rPr>
          <w:rFonts w:hint="eastAsia" w:asciiTheme="minorEastAsia" w:hAnsiTheme="minorEastAsia" w:eastAsiaTheme="minorEastAsia"/>
          <w:lang w:val="en-GB"/>
        </w:rPr>
        <w:t>□</w:t>
      </w:r>
      <w:r>
        <w:rPr>
          <w:rFonts w:hint="eastAsia" w:asciiTheme="minorEastAsia" w:hAnsiTheme="minorEastAsia" w:eastAsiaTheme="minorEastAsia"/>
        </w:rPr>
        <w:t>地下水资源；</w:t>
      </w:r>
      <w:r>
        <w:rPr>
          <w:rFonts w:hint="eastAsia" w:asciiTheme="minorEastAsia" w:hAnsiTheme="minorEastAsia" w:eastAsiaTheme="minorEastAsia"/>
          <w:lang w:val="en-GB"/>
        </w:rPr>
        <w:t>□</w:t>
      </w:r>
      <w:r>
        <w:rPr>
          <w:rFonts w:hint="eastAsia" w:asciiTheme="minorEastAsia" w:hAnsiTheme="minorEastAsia" w:eastAsiaTheme="minorEastAsia"/>
        </w:rPr>
        <w:t>地热能；</w:t>
      </w:r>
      <w:r>
        <w:rPr>
          <w:rFonts w:hint="eastAsia" w:asciiTheme="minorEastAsia" w:hAnsiTheme="minorEastAsia" w:eastAsiaTheme="minorEastAsia"/>
          <w:lang w:val="en-GB"/>
        </w:rPr>
        <w:t>□</w:t>
      </w:r>
      <w:r>
        <w:rPr>
          <w:rFonts w:hint="eastAsia" w:asciiTheme="minorEastAsia" w:hAnsiTheme="minorEastAsia" w:eastAsiaTheme="minorEastAsia"/>
        </w:rPr>
        <w:t>太阳能；</w:t>
      </w:r>
      <w:r>
        <w:rPr>
          <w:rFonts w:hint="eastAsia" w:asciiTheme="minorEastAsia" w:hAnsiTheme="minorEastAsia" w:eastAsiaTheme="minorEastAsia"/>
          <w:lang w:val="en-GB"/>
        </w:rPr>
        <w:t>□</w:t>
      </w:r>
      <w:r>
        <w:rPr>
          <w:rFonts w:hint="eastAsia" w:asciiTheme="minorEastAsia" w:hAnsiTheme="minorEastAsia" w:eastAsiaTheme="minorEastAsia"/>
        </w:rPr>
        <w:t>风能；</w:t>
      </w:r>
      <w:r>
        <w:rPr>
          <w:rFonts w:hint="eastAsia" w:asciiTheme="minorEastAsia" w:hAnsiTheme="minorEastAsia" w:eastAsiaTheme="minorEastAsia"/>
          <w:lang w:val="en-GB"/>
        </w:rPr>
        <w:t>□</w:t>
      </w:r>
      <w:r>
        <w:rPr>
          <w:rFonts w:hint="eastAsia" w:asciiTheme="minorEastAsia" w:hAnsiTheme="minorEastAsia" w:eastAsiaTheme="minorEastAsia"/>
        </w:rPr>
        <w:t>空气能；</w:t>
      </w:r>
    </w:p>
    <w:p>
      <w:pPr>
        <w:pStyle w:val="88"/>
        <w:numPr>
          <w:ilvl w:val="1"/>
          <w:numId w:val="0"/>
        </w:numPr>
        <w:ind w:left="425" w:firstLine="420" w:firstLineChars="200"/>
        <w:rPr>
          <w:rFonts w:asciiTheme="minorEastAsia" w:hAnsiTheme="minorEastAsia" w:eastAsiaTheme="minorEastAsia"/>
        </w:rPr>
      </w:pPr>
      <w:r>
        <w:rPr>
          <w:rFonts w:hint="eastAsia" w:asciiTheme="minorEastAsia" w:hAnsiTheme="minorEastAsia" w:eastAsiaTheme="minorEastAsia"/>
          <w:lang w:val="en-GB"/>
        </w:rPr>
        <w:sym w:font="Wingdings 2" w:char="00A3"/>
      </w:r>
      <w:r>
        <w:rPr>
          <w:rFonts w:hint="eastAsia" w:asciiTheme="minorEastAsia" w:hAnsiTheme="minorEastAsia" w:eastAsiaTheme="minorEastAsia"/>
        </w:rPr>
        <w:t>其他，具体为</w:t>
      </w:r>
      <w:r>
        <w:rPr>
          <w:rFonts w:hint="eastAsia" w:asciiTheme="minorEastAsia" w:hAnsiTheme="minorEastAsia" w:eastAsiaTheme="minorEastAsia"/>
          <w:lang w:val="en-GB"/>
        </w:rPr>
        <w:t>_______________________</w:t>
      </w:r>
      <w:r>
        <w:rPr>
          <w:rFonts w:hint="eastAsia" w:asciiTheme="minorEastAsia" w:hAnsiTheme="minorEastAsia" w:eastAsiaTheme="minorEastAsia"/>
        </w:rPr>
        <w:t>。</w:t>
      </w:r>
    </w:p>
    <w:p>
      <w:pPr>
        <w:pStyle w:val="88"/>
        <w:ind w:left="840" w:hanging="420"/>
        <w:rPr>
          <w:rFonts w:asciiTheme="minorEastAsia" w:hAnsiTheme="minorEastAsia" w:eastAsiaTheme="minorEastAsia"/>
        </w:rPr>
      </w:pPr>
      <w:r>
        <w:rPr>
          <w:rFonts w:hint="eastAsia" w:asciiTheme="minorEastAsia" w:hAnsiTheme="minorEastAsia" w:eastAsiaTheme="minorEastAsia"/>
        </w:rPr>
        <w:t>项目地下室设置情况：□有；□无，简述原因：</w:t>
      </w:r>
      <w:r>
        <w:rPr>
          <w:rFonts w:hint="eastAsia" w:asciiTheme="minorEastAsia" w:hAnsiTheme="minorEastAsia" w:eastAsiaTheme="minorEastAsia"/>
          <w:lang w:val="en-GB"/>
        </w:rPr>
        <w:t>__________________________</w:t>
      </w:r>
      <w:r>
        <w:rPr>
          <w:rFonts w:hint="eastAsia" w:asciiTheme="minorEastAsia" w:hAnsiTheme="minorEastAsia" w:eastAsiaTheme="minorEastAsia"/>
        </w:rPr>
        <w:t>；</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 xml:space="preserve">地下室层数：______层；地下室面积：_______m²。  </w:t>
      </w:r>
    </w:p>
    <w:p>
      <w:pPr>
        <w:pStyle w:val="88"/>
        <w:ind w:left="840" w:hanging="420"/>
        <w:rPr>
          <w:rFonts w:asciiTheme="minorEastAsia" w:hAnsiTheme="minorEastAsia" w:eastAsiaTheme="minorEastAsia"/>
        </w:rPr>
      </w:pPr>
      <w:r>
        <w:rPr>
          <w:rFonts w:hint="eastAsia" w:asciiTheme="minorEastAsia" w:hAnsiTheme="minorEastAsia" w:eastAsiaTheme="minorEastAsia"/>
        </w:rPr>
        <w:t>地下空间开发利用指标：Rp</w:t>
      </w: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 xml:space="preserve"> </w:t>
      </w:r>
      <w:r>
        <w:rPr>
          <w:rFonts w:hint="eastAsia" w:asciiTheme="minorEastAsia" w:hAnsiTheme="minorEastAsia" w:eastAsiaTheme="minorEastAsia"/>
        </w:rPr>
        <w:t>_____；Rp=</w:t>
      </w:r>
      <w:r>
        <w:rPr>
          <w:rFonts w:asciiTheme="minorEastAsia" w:hAnsiTheme="minorEastAsia" w:eastAsiaTheme="minorEastAsia"/>
        </w:rPr>
        <w:t xml:space="preserve"> </w:t>
      </w:r>
      <w:r>
        <w:rPr>
          <w:rFonts w:hint="eastAsia" w:asciiTheme="minorEastAsia" w:hAnsiTheme="minorEastAsia" w:eastAsiaTheme="minorEastAsia"/>
        </w:rPr>
        <w:t>_____；</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（注：Rp</w:t>
      </w:r>
      <w:r>
        <w:rPr>
          <w:rFonts w:asciiTheme="minorEastAsia" w:hAnsiTheme="minorEastAsia" w:eastAsiaTheme="minorEastAsia"/>
        </w:rPr>
        <w:t>1</w:t>
      </w:r>
      <w:r>
        <w:rPr>
          <w:rFonts w:hint="eastAsia" w:asciiTheme="minorEastAsia" w:hAnsiTheme="minorEastAsia" w:eastAsiaTheme="minorEastAsia"/>
        </w:rPr>
        <w:t>=地下建筑面积与总用地面积之比；Rp=地下一层建筑面积与总用地面积之比）</w:t>
      </w:r>
      <w:r>
        <w:rPr>
          <w:rFonts w:asciiTheme="minorEastAsia" w:hAnsiTheme="minorEastAsia" w:eastAsiaTheme="minorEastAsia"/>
        </w:rPr>
        <w:t xml:space="preserve"> </w:t>
      </w:r>
    </w:p>
    <w:p>
      <w:pPr>
        <w:spacing w:line="400" w:lineRule="exact"/>
        <w:ind w:firstLine="420"/>
      </w:pPr>
      <w:r>
        <w:tab/>
      </w:r>
      <w:r>
        <w:rPr>
          <w:rFonts w:hint="eastAsia"/>
        </w:rPr>
        <w:t>特殊情况说明：</w:t>
      </w:r>
      <w:r>
        <w:rPr>
          <w:rFonts w:hint="eastAsia" w:asciiTheme="minorEastAsia" w:hAnsiTheme="minorEastAsia" w:eastAsiaTheme="minorEastAsia"/>
        </w:rPr>
        <w:t>□无；□有：</w:t>
      </w:r>
      <w:r>
        <w:rPr>
          <w:rFonts w:hint="eastAsia" w:asciiTheme="minorEastAsia" w:hAnsiTheme="minorEastAsia" w:eastAsiaTheme="minorEastAsia"/>
          <w:lang w:val="en-GB"/>
        </w:rPr>
        <w:t>__________________________。</w:t>
      </w:r>
    </w:p>
    <w:p>
      <w:pPr>
        <w:pStyle w:val="88"/>
        <w:ind w:left="840" w:hanging="420"/>
      </w:pPr>
      <w:r>
        <w:rPr>
          <w:rFonts w:hint="eastAsia" w:asciiTheme="minorEastAsia" w:hAnsiTheme="minorEastAsia" w:eastAsiaTheme="minorEastAsia"/>
        </w:rPr>
        <w:t>项目</w:t>
      </w:r>
      <w:r>
        <w:rPr>
          <w:rFonts w:asciiTheme="minorEastAsia" w:hAnsiTheme="minorEastAsia" w:eastAsiaTheme="minorEastAsia"/>
        </w:rPr>
        <w:t>容积率</w:t>
      </w:r>
      <w:r>
        <w:rPr>
          <w:rFonts w:hint="eastAsia" w:asciiTheme="minorEastAsia" w:hAnsiTheme="minorEastAsia" w:eastAsiaTheme="minorEastAsia"/>
        </w:rPr>
        <w:t>（R），规划要求：_______；设计值：______。</w:t>
      </w:r>
    </w:p>
    <w:p>
      <w:pPr>
        <w:pStyle w:val="88"/>
        <w:ind w:left="840" w:hanging="420"/>
      </w:pPr>
      <w:r>
        <w:rPr>
          <w:rFonts w:hint="eastAsia" w:asciiTheme="minorEastAsia" w:hAnsiTheme="minorEastAsia" w:eastAsiaTheme="minorEastAsia"/>
        </w:rPr>
        <w:t>场地内规划配置公共服务设施和市政基础设施时，与周边区域共享、互补、集约化建设。□是；□否。</w:t>
      </w:r>
    </w:p>
    <w:p>
      <w:pPr>
        <w:pStyle w:val="88"/>
        <w:ind w:left="840" w:hanging="420"/>
        <w:rPr>
          <w:rFonts w:asciiTheme="minorEastAsia" w:hAnsiTheme="minorEastAsia" w:eastAsiaTheme="minorEastAsia"/>
          <w:lang w:val="en-GB"/>
        </w:rPr>
      </w:pPr>
      <w:r>
        <w:rPr>
          <w:rFonts w:hint="eastAsia"/>
        </w:rPr>
        <w:t>新建建筑地下空间与相邻建筑地下空间相连通或整体开发利用</w:t>
      </w:r>
      <w:r>
        <w:rPr>
          <w:rFonts w:hint="eastAsia" w:asciiTheme="minorEastAsia" w:hAnsiTheme="minorEastAsia" w:eastAsiaTheme="minorEastAsia"/>
        </w:rPr>
        <w:t>：□是；□否。</w:t>
      </w:r>
    </w:p>
    <w:p>
      <w:pPr>
        <w:pStyle w:val="87"/>
        <w:rPr>
          <w:rFonts w:asciiTheme="minorEastAsia" w:hAnsiTheme="minorEastAsia" w:eastAsiaTheme="minorEastAsia"/>
          <w:b/>
          <w:bCs/>
        </w:rPr>
      </w:pPr>
      <w:r>
        <w:rPr>
          <w:rFonts w:hint="eastAsia" w:asciiTheme="minorEastAsia" w:hAnsiTheme="minorEastAsia" w:eastAsiaTheme="minorEastAsia"/>
          <w:b/>
          <w:bCs/>
        </w:rPr>
        <w:t>场地生态与景观绿化：</w:t>
      </w:r>
    </w:p>
    <w:p>
      <w:pPr>
        <w:pStyle w:val="88"/>
        <w:numPr>
          <w:ilvl w:val="1"/>
          <w:numId w:val="16"/>
        </w:numPr>
        <w:rPr>
          <w:rFonts w:asciiTheme="minorEastAsia" w:hAnsiTheme="minorEastAsia" w:eastAsiaTheme="minorEastAsia"/>
        </w:rPr>
      </w:pPr>
      <w:r>
        <w:rPr>
          <w:rFonts w:hint="eastAsia" w:asciiTheme="minorEastAsia" w:hAnsiTheme="minorEastAsia" w:eastAsiaTheme="minorEastAsia"/>
        </w:rPr>
        <w:t>场地设计保护原有的自然水域、湿地和植被，采取净地表层土回收利用等生态补偿措施：</w:t>
      </w:r>
    </w:p>
    <w:p>
      <w:pPr>
        <w:pStyle w:val="88"/>
        <w:numPr>
          <w:ilvl w:val="0"/>
          <w:numId w:val="0"/>
        </w:numPr>
        <w:ind w:left="840"/>
        <w:rPr>
          <w:rFonts w:asciiTheme="minorEastAsia" w:hAnsiTheme="minorEastAsia" w:eastAsiaTheme="minorEastAsia"/>
          <w:lang w:val="en-GB"/>
        </w:rPr>
      </w:pPr>
      <w:r>
        <w:rPr>
          <w:rFonts w:hint="eastAsia" w:asciiTheme="minorEastAsia" w:hAnsiTheme="minorEastAsia" w:eastAsiaTheme="minorEastAsia"/>
        </w:rPr>
        <w:t>□是,采取的其他措施</w:t>
      </w:r>
      <w:r>
        <w:rPr>
          <w:rFonts w:hint="eastAsia" w:asciiTheme="minorEastAsia" w:hAnsiTheme="minorEastAsia" w:eastAsiaTheme="minorEastAsia"/>
          <w:lang w:val="en-GB"/>
        </w:rPr>
        <w:t>：__________________；</w:t>
      </w:r>
      <w:r>
        <w:rPr>
          <w:rFonts w:hint="eastAsia" w:asciiTheme="minorEastAsia" w:hAnsiTheme="minorEastAsia" w:eastAsiaTheme="minorEastAsia"/>
        </w:rPr>
        <w:t>□否。</w:t>
      </w:r>
      <w:r>
        <w:rPr>
          <w:rFonts w:asciiTheme="minorEastAsia" w:hAnsiTheme="minorEastAsia" w:eastAsiaTheme="minorEastAsia"/>
          <w:lang w:val="en-GB"/>
        </w:rPr>
        <w:t xml:space="preserve"> </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lang w:val="en-GB"/>
        </w:rPr>
        <w:t>项目场地内存在有保留价值的古树名木：</w:t>
      </w:r>
      <w:r>
        <w:rPr>
          <w:rFonts w:hint="eastAsia" w:asciiTheme="minorEastAsia" w:hAnsiTheme="minorEastAsia" w:eastAsiaTheme="minorEastAsia"/>
        </w:rPr>
        <w:t>□是，</w:t>
      </w:r>
      <w:r>
        <w:rPr>
          <w:rFonts w:hint="eastAsia" w:asciiTheme="minorEastAsia" w:hAnsiTheme="minorEastAsia" w:eastAsiaTheme="minorEastAsia"/>
          <w:lang w:val="en-GB"/>
        </w:rPr>
        <w:t>采取的保护措施：__________________；</w:t>
      </w:r>
      <w:r>
        <w:rPr>
          <w:rFonts w:hint="eastAsia" w:asciiTheme="minorEastAsia" w:hAnsiTheme="minorEastAsia" w:eastAsiaTheme="minorEastAsia"/>
        </w:rPr>
        <w:t>□否</w:t>
      </w:r>
      <w:r>
        <w:rPr>
          <w:rFonts w:hint="eastAsia" w:asciiTheme="minorEastAsia" w:hAnsiTheme="minorEastAsia" w:eastAsiaTheme="minorEastAsia"/>
          <w:lang w:val="en-GB"/>
        </w:rPr>
        <w:t>。</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lang w:val="en-GB"/>
        </w:rPr>
        <w:t>地下</w:t>
      </w:r>
      <w:r>
        <w:rPr>
          <w:rFonts w:hint="eastAsia" w:asciiTheme="minorEastAsia" w:hAnsiTheme="minorEastAsia" w:eastAsiaTheme="minorEastAsia"/>
        </w:rPr>
        <w:t>空间开发利用中，采取保护地下水体补充路径的措施：</w:t>
      </w:r>
    </w:p>
    <w:p>
      <w:pPr>
        <w:pStyle w:val="89"/>
        <w:numPr>
          <w:ilvl w:val="0"/>
          <w:numId w:val="0"/>
        </w:numPr>
        <w:ind w:left="992"/>
        <w:rPr>
          <w:rFonts w:asciiTheme="minorEastAsia" w:hAnsiTheme="minorEastAsia" w:eastAsiaTheme="minorEastAsia"/>
          <w:lang w:val="en-GB"/>
        </w:rPr>
      </w:pPr>
      <w:r>
        <w:rPr>
          <w:rFonts w:hint="eastAsia" w:asciiTheme="minorEastAsia" w:hAnsiTheme="minorEastAsia" w:eastAsiaTheme="minorEastAsia"/>
        </w:rPr>
        <w:t>□是，采取的措施</w:t>
      </w:r>
      <w:r>
        <w:rPr>
          <w:rFonts w:hint="eastAsia" w:asciiTheme="minorEastAsia" w:hAnsiTheme="minorEastAsia" w:eastAsiaTheme="minorEastAsia"/>
          <w:lang w:val="en-GB"/>
        </w:rPr>
        <w:t>：________________________；</w:t>
      </w:r>
      <w:r>
        <w:rPr>
          <w:rFonts w:hint="eastAsia" w:asciiTheme="minorEastAsia" w:hAnsiTheme="minorEastAsia" w:eastAsiaTheme="minorEastAsia"/>
        </w:rPr>
        <w:t>□否。</w:t>
      </w:r>
      <w:r>
        <w:rPr>
          <w:rFonts w:asciiTheme="minorEastAsia" w:hAnsiTheme="minorEastAsia" w:eastAsiaTheme="minorEastAsia"/>
          <w:lang w:val="en-GB"/>
        </w:rPr>
        <w:t xml:space="preserve"> </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rPr>
        <w:t>景观</w:t>
      </w:r>
      <w:r>
        <w:rPr>
          <w:rFonts w:hint="eastAsia" w:asciiTheme="minorEastAsia" w:hAnsiTheme="minorEastAsia" w:eastAsiaTheme="minorEastAsia"/>
          <w:lang w:val="en-GB"/>
        </w:rPr>
        <w:t>绿化设计：</w:t>
      </w:r>
      <w:r>
        <w:rPr>
          <w:rFonts w:asciiTheme="minorEastAsia" w:hAnsiTheme="minorEastAsia" w:eastAsiaTheme="minorEastAsia"/>
          <w:lang w:val="en-GB"/>
        </w:rPr>
        <w:t xml:space="preserve"> </w:t>
      </w:r>
    </w:p>
    <w:p>
      <w:pPr>
        <w:pStyle w:val="89"/>
        <w:ind w:leftChars="0" w:firstLineChars="0"/>
        <w:rPr>
          <w:rFonts w:asciiTheme="minorEastAsia" w:hAnsiTheme="minorEastAsia" w:eastAsiaTheme="minorEastAsia"/>
        </w:rPr>
      </w:pPr>
      <w:r>
        <w:rPr>
          <w:rFonts w:hint="eastAsia" w:asciiTheme="minorEastAsia" w:hAnsiTheme="minorEastAsia" w:eastAsiaTheme="minorEastAsia"/>
        </w:rPr>
        <w:t>景观设计结合项目进行专项设计：□是；□否。</w:t>
      </w:r>
    </w:p>
    <w:p>
      <w:pPr>
        <w:pStyle w:val="89"/>
        <w:ind w:leftChars="0" w:firstLineChars="0"/>
        <w:rPr>
          <w:rFonts w:asciiTheme="minorEastAsia" w:hAnsiTheme="minorEastAsia" w:eastAsiaTheme="minorEastAsia"/>
        </w:rPr>
      </w:pPr>
      <w:r>
        <w:rPr>
          <w:rFonts w:hint="eastAsia" w:asciiTheme="minorEastAsia" w:hAnsiTheme="minorEastAsia" w:eastAsiaTheme="minorEastAsia"/>
        </w:rPr>
        <w:t xml:space="preserve">规划条件要求绿地率：______％；设计绿地率：______％；可计入绿地率的绿地面积：_______m²； </w:t>
      </w:r>
    </w:p>
    <w:p>
      <w:pPr>
        <w:pStyle w:val="89"/>
        <w:numPr>
          <w:ilvl w:val="0"/>
          <w:numId w:val="0"/>
        </w:numPr>
        <w:ind w:left="992"/>
        <w:rPr>
          <w:rFonts w:asciiTheme="minorEastAsia" w:hAnsiTheme="minorEastAsia" w:eastAsiaTheme="minorEastAsia"/>
        </w:rPr>
      </w:pPr>
      <w:r>
        <w:rPr>
          <w:rFonts w:hint="eastAsia" w:asciiTheme="minorEastAsia" w:hAnsiTheme="minorEastAsia" w:eastAsiaTheme="minorEastAsia"/>
        </w:rPr>
        <w:t>绿地向社会公众开放：□是；□否。</w:t>
      </w:r>
    </w:p>
    <w:p>
      <w:pPr>
        <w:pStyle w:val="89"/>
        <w:ind w:leftChars="0" w:firstLineChars="0"/>
        <w:rPr>
          <w:rFonts w:asciiTheme="minorEastAsia" w:hAnsiTheme="minorEastAsia" w:eastAsiaTheme="minorEastAsia"/>
        </w:rPr>
      </w:pPr>
      <w:r>
        <w:rPr>
          <w:rFonts w:hint="eastAsia" w:asciiTheme="minorEastAsia" w:hAnsiTheme="minorEastAsia" w:eastAsiaTheme="minorEastAsia"/>
        </w:rPr>
        <w:t>绿化设置位置：</w:t>
      </w:r>
    </w:p>
    <w:p>
      <w:pPr>
        <w:pStyle w:val="89"/>
        <w:numPr>
          <w:ilvl w:val="0"/>
          <w:numId w:val="0"/>
        </w:numPr>
        <w:ind w:left="992"/>
        <w:rPr>
          <w:rFonts w:asciiTheme="minorEastAsia" w:hAnsiTheme="minorEastAsia" w:eastAsiaTheme="minorEastAsia"/>
        </w:rPr>
      </w:pPr>
      <w:r>
        <w:rPr>
          <w:rFonts w:hint="eastAsia" w:asciiTheme="minorEastAsia" w:hAnsiTheme="minorEastAsia" w:eastAsiaTheme="minorEastAsia"/>
        </w:rPr>
        <w:t xml:space="preserve">□地面；□地下室顶板上；□屋面，屋面绿化面积：___________m²；□垂直绿化；□其他。 </w:t>
      </w:r>
    </w:p>
    <w:p>
      <w:pPr>
        <w:pStyle w:val="89"/>
        <w:numPr>
          <w:ilvl w:val="2"/>
          <w:numId w:val="17"/>
        </w:numPr>
        <w:ind w:left="1050" w:leftChars="0" w:hanging="630" w:firstLineChars="0"/>
        <w:rPr>
          <w:rFonts w:asciiTheme="minorEastAsia" w:hAnsiTheme="minorEastAsia" w:eastAsiaTheme="minorEastAsia"/>
        </w:rPr>
      </w:pPr>
      <w:r>
        <w:rPr>
          <w:rFonts w:hint="eastAsia" w:asciiTheme="minorEastAsia" w:hAnsiTheme="minorEastAsia" w:eastAsiaTheme="minorEastAsia"/>
        </w:rPr>
        <w:t>多层公共建筑屋面及高层公共建筑裙房屋面绿化面积占可绿化屋</w:t>
      </w:r>
      <w:r>
        <w:rPr>
          <w:rFonts w:hint="eastAsia" w:asciiTheme="minorEastAsia" w:hAnsiTheme="minorEastAsia" w:eastAsiaTheme="minorEastAsia"/>
          <w:lang w:val="en-GB"/>
        </w:rPr>
        <w:t>面面积的比例（Rg）：</w:t>
      </w:r>
      <w:r>
        <w:rPr>
          <w:rFonts w:hint="eastAsia" w:asciiTheme="minorEastAsia" w:hAnsiTheme="minorEastAsia" w:eastAsiaTheme="minorEastAsia"/>
        </w:rPr>
        <w:t>_____％。</w:t>
      </w:r>
    </w:p>
    <w:p>
      <w:pPr>
        <w:pStyle w:val="89"/>
        <w:numPr>
          <w:ilvl w:val="2"/>
          <w:numId w:val="17"/>
        </w:numPr>
        <w:spacing w:line="400" w:lineRule="exact"/>
        <w:ind w:left="1050" w:leftChars="0" w:hanging="630" w:firstLineChars="0"/>
        <w:rPr>
          <w:rFonts w:asciiTheme="minorEastAsia" w:hAnsiTheme="minorEastAsia" w:eastAsiaTheme="minorEastAsia"/>
          <w:lang w:val="en-GB"/>
        </w:rPr>
      </w:pPr>
      <w:r>
        <w:rPr>
          <w:rFonts w:hint="eastAsia" w:asciiTheme="minorEastAsia" w:hAnsiTheme="minorEastAsia" w:eastAsiaTheme="minorEastAsia"/>
          <w:lang w:val="en-GB"/>
        </w:rPr>
        <w:t>室外绿化设计实施要求：（1）施工图中明确要求：</w:t>
      </w:r>
      <w:r>
        <w:rPr>
          <w:rFonts w:hint="eastAsia" w:asciiTheme="minorEastAsia" w:hAnsiTheme="minorEastAsia" w:eastAsiaTheme="minorEastAsia"/>
        </w:rPr>
        <w:t>□是；□否</w:t>
      </w:r>
      <w:r>
        <w:rPr>
          <w:rFonts w:hint="eastAsia" w:asciiTheme="minorEastAsia" w:hAnsiTheme="minorEastAsia" w:eastAsiaTheme="minorEastAsia"/>
          <w:lang w:val="en-GB"/>
        </w:rPr>
        <w:t>； （2）提供景观图纸：</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9"/>
        <w:numPr>
          <w:ilvl w:val="2"/>
          <w:numId w:val="17"/>
        </w:numPr>
        <w:spacing w:line="400" w:lineRule="exact"/>
        <w:ind w:left="1050" w:leftChars="0" w:hanging="630" w:firstLineChars="0"/>
        <w:rPr>
          <w:rFonts w:asciiTheme="minorEastAsia" w:hAnsiTheme="minorEastAsia" w:eastAsiaTheme="minorEastAsia"/>
          <w:lang w:val="en-GB"/>
        </w:rPr>
      </w:pPr>
      <w:r>
        <w:rPr>
          <w:rFonts w:hint="eastAsia" w:asciiTheme="minorEastAsia" w:hAnsiTheme="minorEastAsia" w:eastAsiaTheme="minorEastAsia"/>
          <w:lang w:val="en-GB"/>
        </w:rPr>
        <w:t>合理选择绿化方式，植物种植适应浙江省气候和土壤，且无毒害、易维护；</w:t>
      </w:r>
      <w:r>
        <w:rPr>
          <w:rFonts w:hint="eastAsia" w:asciiTheme="minorEastAsia" w:hAnsiTheme="minorEastAsia" w:eastAsiaTheme="minorEastAsia"/>
        </w:rPr>
        <w:t>□是；□否。</w:t>
      </w:r>
    </w:p>
    <w:p>
      <w:pPr>
        <w:pStyle w:val="89"/>
        <w:numPr>
          <w:ilvl w:val="2"/>
          <w:numId w:val="17"/>
        </w:numPr>
        <w:spacing w:line="400" w:lineRule="exact"/>
        <w:ind w:left="1050" w:leftChars="0" w:hanging="630" w:firstLineChars="0"/>
        <w:rPr>
          <w:rFonts w:asciiTheme="minorEastAsia" w:hAnsiTheme="minorEastAsia" w:eastAsiaTheme="minorEastAsia"/>
          <w:lang w:val="en-GB"/>
        </w:rPr>
      </w:pPr>
      <w:r>
        <w:rPr>
          <w:rFonts w:hint="eastAsia" w:asciiTheme="minorEastAsia" w:hAnsiTheme="minorEastAsia" w:eastAsiaTheme="minorEastAsia"/>
          <w:lang w:val="en-GB"/>
        </w:rPr>
        <w:t>种植区域覆土深度和排水能力满足植物生长需求，并采用</w:t>
      </w:r>
      <w:r>
        <w:rPr>
          <w:rFonts w:hint="eastAsia" w:asciiTheme="minorEastAsia" w:hAnsiTheme="minorEastAsia" w:eastAsiaTheme="minorEastAsia"/>
        </w:rPr>
        <w:t>乔、灌、草结合等</w:t>
      </w:r>
      <w:r>
        <w:rPr>
          <w:rFonts w:hint="eastAsia" w:asciiTheme="minorEastAsia" w:hAnsiTheme="minorEastAsia" w:eastAsiaTheme="minorEastAsia"/>
          <w:lang w:val="en-GB"/>
        </w:rPr>
        <w:t>复层绿化方式：</w:t>
      </w:r>
    </w:p>
    <w:p>
      <w:pPr>
        <w:pStyle w:val="89"/>
        <w:numPr>
          <w:ilvl w:val="0"/>
          <w:numId w:val="0"/>
        </w:numPr>
        <w:ind w:left="992"/>
        <w:rPr>
          <w:rFonts w:asciiTheme="minorEastAsia" w:hAnsiTheme="minorEastAsia" w:eastAsiaTheme="minorEastAsia"/>
        </w:rPr>
      </w:pPr>
      <w:r>
        <w:rPr>
          <w:rFonts w:hint="eastAsia" w:asciiTheme="minorEastAsia" w:hAnsiTheme="minorEastAsia" w:eastAsiaTheme="minorEastAsia"/>
        </w:rPr>
        <w:t>□是；□否。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lang w:val="en-GB"/>
        </w:rPr>
        <w:t>种植</w:t>
      </w:r>
      <w:r>
        <w:rPr>
          <w:rFonts w:hint="eastAsia" w:asciiTheme="minorEastAsia" w:hAnsiTheme="minorEastAsia" w:eastAsiaTheme="minorEastAsia"/>
        </w:rPr>
        <w:t>无须永久灌溉植物：□是；□否。</w:t>
      </w:r>
    </w:p>
    <w:p>
      <w:pPr>
        <w:pStyle w:val="89"/>
        <w:ind w:left="992" w:leftChars="0" w:hanging="567" w:firstLineChars="0"/>
        <w:rPr>
          <w:rFonts w:asciiTheme="minorEastAsia" w:hAnsiTheme="minorEastAsia" w:eastAsiaTheme="minorEastAsia"/>
          <w:lang w:val="en-GB"/>
        </w:rPr>
      </w:pPr>
      <w:r>
        <w:rPr>
          <w:rFonts w:hint="eastAsia" w:asciiTheme="minorEastAsia" w:hAnsiTheme="minorEastAsia" w:eastAsiaTheme="minorEastAsia"/>
        </w:rPr>
        <w:t>室外景观水体</w:t>
      </w:r>
      <w:r>
        <w:rPr>
          <w:rFonts w:hint="eastAsia" w:asciiTheme="minorEastAsia" w:hAnsiTheme="minorEastAsia" w:eastAsiaTheme="minorEastAsia"/>
          <w:lang w:val="en-GB"/>
        </w:rPr>
        <w:t>设计：</w:t>
      </w:r>
      <w:r>
        <w:rPr>
          <w:rFonts w:asciiTheme="minorEastAsia" w:hAnsiTheme="minorEastAsia" w:eastAsiaTheme="minorEastAsia"/>
          <w:lang w:val="en-GB"/>
        </w:rPr>
        <w:t xml:space="preserve"> </w:t>
      </w:r>
    </w:p>
    <w:p>
      <w:pPr>
        <w:pStyle w:val="89"/>
        <w:numPr>
          <w:ilvl w:val="0"/>
          <w:numId w:val="0"/>
        </w:numPr>
        <w:ind w:left="992"/>
        <w:rPr>
          <w:rFonts w:asciiTheme="minorEastAsia" w:hAnsiTheme="minorEastAsia" w:eastAsiaTheme="minorEastAsia"/>
        </w:rPr>
      </w:pPr>
      <w:r>
        <w:rPr>
          <w:rFonts w:hint="eastAsia" w:asciiTheme="minorEastAsia" w:hAnsiTheme="minorEastAsia" w:eastAsiaTheme="minorEastAsia"/>
        </w:rPr>
        <w:t>（1）利用水生动、植物保障水体水质：□是；□否；</w:t>
      </w:r>
    </w:p>
    <w:p>
      <w:pPr>
        <w:pStyle w:val="89"/>
        <w:numPr>
          <w:ilvl w:val="0"/>
          <w:numId w:val="0"/>
        </w:numPr>
        <w:ind w:left="992"/>
        <w:rPr>
          <w:rFonts w:asciiTheme="minorEastAsia" w:hAnsiTheme="minorEastAsia" w:eastAsiaTheme="minorEastAsia"/>
        </w:rPr>
      </w:pPr>
      <w:r>
        <w:rPr>
          <w:rFonts w:hint="eastAsia" w:asciiTheme="minorEastAsia" w:hAnsiTheme="minorEastAsia" w:eastAsiaTheme="minorEastAsia"/>
        </w:rPr>
        <w:t>（2）利用可再生能源提供景观水体循环的动力及景观照明：□是；□否。</w:t>
      </w:r>
    </w:p>
    <w:p>
      <w:pPr>
        <w:pStyle w:val="87"/>
        <w:rPr>
          <w:rFonts w:asciiTheme="minorEastAsia" w:hAnsiTheme="minorEastAsia" w:eastAsiaTheme="minorEastAsia"/>
          <w:b/>
          <w:bCs/>
        </w:rPr>
      </w:pPr>
      <w:r>
        <w:rPr>
          <w:rFonts w:hint="eastAsia" w:asciiTheme="minorEastAsia" w:hAnsiTheme="minorEastAsia" w:eastAsiaTheme="minorEastAsia"/>
          <w:b/>
          <w:bCs/>
        </w:rPr>
        <w:t>低影响开发的技术措施：</w:t>
      </w:r>
      <w:r>
        <w:rPr>
          <w:rFonts w:hint="eastAsia" w:asciiTheme="minorEastAsia" w:hAnsiTheme="minorEastAsia" w:eastAsiaTheme="minorEastAsia"/>
          <w:bCs/>
          <w:i/>
          <w:iCs/>
          <w:szCs w:val="24"/>
        </w:rPr>
        <w:t>（填写内容应与水专业一致）</w:t>
      </w:r>
    </w:p>
    <w:p>
      <w:pPr>
        <w:pStyle w:val="88"/>
        <w:numPr>
          <w:ilvl w:val="1"/>
          <w:numId w:val="18"/>
        </w:numPr>
        <w:rPr>
          <w:rFonts w:asciiTheme="minorEastAsia" w:hAnsiTheme="minorEastAsia" w:eastAsiaTheme="minorEastAsia"/>
        </w:rPr>
      </w:pPr>
      <w:r>
        <w:rPr>
          <w:rFonts w:hint="eastAsia" w:asciiTheme="minorEastAsia" w:hAnsiTheme="minorEastAsia" w:eastAsiaTheme="minorEastAsia"/>
        </w:rPr>
        <w:t xml:space="preserve">项目进行场地雨洪控制综合利用的评估和规划：□是；□否； </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场地年径流总量控制率为：_____％；</w:t>
      </w:r>
      <w:r>
        <w:rPr>
          <w:rFonts w:asciiTheme="minorEastAsia" w:hAnsiTheme="minorEastAsia" w:eastAsiaTheme="minorEastAsia"/>
        </w:rPr>
        <w:t xml:space="preserve"> </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合理衔接和引导屋面、道路雨水进入地面生态设施，并采取相应的径流污染控制措施：□是；□否。</w:t>
      </w:r>
    </w:p>
    <w:p>
      <w:pPr>
        <w:pStyle w:val="88"/>
        <w:numPr>
          <w:ilvl w:val="1"/>
          <w:numId w:val="18"/>
        </w:numPr>
        <w:rPr>
          <w:rFonts w:asciiTheme="minorEastAsia" w:hAnsiTheme="minorEastAsia" w:eastAsiaTheme="minorEastAsia"/>
        </w:rPr>
      </w:pPr>
      <w:r>
        <w:rPr>
          <w:rFonts w:hint="eastAsia" w:asciiTheme="minorEastAsia" w:hAnsiTheme="minorEastAsia" w:eastAsiaTheme="minorEastAsia"/>
        </w:rPr>
        <w:t>采取水资源回收与利用措施：□是；□否；</w:t>
      </w:r>
    </w:p>
    <w:p>
      <w:pPr>
        <w:pStyle w:val="88"/>
        <w:numPr>
          <w:ilvl w:val="0"/>
          <w:numId w:val="0"/>
        </w:numPr>
        <w:ind w:left="840" w:leftChars="400"/>
        <w:rPr>
          <w:rFonts w:asciiTheme="minorEastAsia" w:hAnsiTheme="minorEastAsia" w:eastAsiaTheme="minorEastAsia"/>
        </w:rPr>
      </w:pPr>
      <w:r>
        <w:rPr>
          <w:rFonts w:hint="eastAsia" w:asciiTheme="minorEastAsia" w:hAnsiTheme="minorEastAsia" w:eastAsiaTheme="minorEastAsia"/>
        </w:rPr>
        <w:t>采用下列有调蓄雨水功能的绿地和水体：</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□设置下凹绿地：下凹绿地面积 _______m²，下凹绿地深度_______mm；调蓄容积为_______m</w:t>
      </w:r>
      <w:r>
        <w:rPr>
          <w:rFonts w:hint="eastAsia" w:asciiTheme="minorEastAsia" w:hAnsiTheme="minorEastAsia" w:eastAsiaTheme="minorEastAsia"/>
          <w:vertAlign w:val="superscript"/>
        </w:rPr>
        <w:t>3</w:t>
      </w:r>
      <w:r>
        <w:rPr>
          <w:rFonts w:hint="eastAsia" w:asciiTheme="minorEastAsia" w:hAnsiTheme="minorEastAsia" w:eastAsiaTheme="minorEastAsia"/>
        </w:rPr>
        <w:t>；</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□人工湿地；□雨水花园、花坛；□景观水池；□河道等天然水系；□其它；调蓄容积为_______m</w:t>
      </w:r>
      <w:r>
        <w:rPr>
          <w:rFonts w:hint="eastAsia" w:asciiTheme="minorEastAsia" w:hAnsiTheme="minorEastAsia" w:eastAsiaTheme="minorEastAsia"/>
          <w:vertAlign w:val="superscript"/>
        </w:rPr>
        <w:t>3</w:t>
      </w:r>
      <w:r>
        <w:rPr>
          <w:rFonts w:hint="eastAsia" w:asciiTheme="minorEastAsia" w:hAnsiTheme="minorEastAsia" w:eastAsiaTheme="minorEastAsia"/>
        </w:rPr>
        <w:t>；</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有调蓄水功能的绿地和水体的面积之和占绿地面积的比例达到</w:t>
      </w:r>
      <w:r>
        <w:rPr>
          <w:rFonts w:asciiTheme="minorEastAsia" w:hAnsiTheme="minorEastAsia" w:eastAsiaTheme="minorEastAsia"/>
        </w:rPr>
        <w:t>4</w:t>
      </w:r>
      <w:r>
        <w:rPr>
          <w:rFonts w:hint="eastAsia" w:asciiTheme="minorEastAsia" w:hAnsiTheme="minorEastAsia" w:eastAsiaTheme="minorEastAsia"/>
        </w:rPr>
        <w:t>0％：□是；□否。</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 xml:space="preserve">场地设置透水地面：□是；□否；透水铺装面积_______m²，硬质铺装地面中透水铺装的比例_______ ％。 </w:t>
      </w:r>
    </w:p>
    <w:p>
      <w:pPr>
        <w:pStyle w:val="87"/>
        <w:rPr>
          <w:rFonts w:asciiTheme="minorEastAsia" w:hAnsiTheme="minorEastAsia" w:eastAsiaTheme="minorEastAsia"/>
          <w:b/>
          <w:bCs/>
        </w:rPr>
      </w:pPr>
      <w:r>
        <w:rPr>
          <w:rFonts w:hint="eastAsia" w:asciiTheme="minorEastAsia" w:hAnsiTheme="minorEastAsia" w:eastAsiaTheme="minorEastAsia"/>
          <w:b/>
          <w:bCs/>
        </w:rPr>
        <w:t>项目</w:t>
      </w:r>
      <w:r>
        <w:rPr>
          <w:rFonts w:asciiTheme="minorEastAsia" w:hAnsiTheme="minorEastAsia" w:eastAsiaTheme="minorEastAsia"/>
          <w:b/>
          <w:bCs/>
        </w:rPr>
        <w:t>公共服务设施</w:t>
      </w:r>
      <w:r>
        <w:rPr>
          <w:rFonts w:hint="eastAsia" w:asciiTheme="minorEastAsia" w:hAnsiTheme="minorEastAsia" w:eastAsiaTheme="minorEastAsia"/>
          <w:b/>
          <w:bCs/>
        </w:rPr>
        <w:t>：</w:t>
      </w:r>
      <w:r>
        <w:rPr>
          <w:rFonts w:asciiTheme="minorEastAsia" w:hAnsiTheme="minorEastAsia" w:eastAsiaTheme="minorEastAsia"/>
          <w:b/>
          <w:bCs/>
        </w:rPr>
        <w:t xml:space="preserve"> </w:t>
      </w:r>
    </w:p>
    <w:p>
      <w:pPr>
        <w:pStyle w:val="88"/>
        <w:numPr>
          <w:ilvl w:val="1"/>
          <w:numId w:val="19"/>
        </w:numPr>
        <w:rPr>
          <w:rFonts w:asciiTheme="minorEastAsia" w:hAnsiTheme="minorEastAsia" w:eastAsiaTheme="minorEastAsia"/>
          <w:lang w:val="en-GB"/>
        </w:rPr>
      </w:pPr>
      <w:r>
        <w:rPr>
          <w:rFonts w:hint="eastAsia" w:asciiTheme="minorEastAsia" w:hAnsiTheme="minorEastAsia" w:eastAsiaTheme="minorEastAsia"/>
        </w:rPr>
        <w:t>公共服务设施按规划配建：□是；□否；</w:t>
      </w:r>
      <w:r>
        <w:rPr>
          <w:rFonts w:asciiTheme="minorEastAsia" w:hAnsiTheme="minorEastAsia" w:eastAsiaTheme="minorEastAsia"/>
        </w:rPr>
        <w:t xml:space="preserve"> </w:t>
      </w:r>
      <w:r>
        <w:rPr>
          <w:rFonts w:hint="eastAsia" w:asciiTheme="minorEastAsia" w:hAnsiTheme="minorEastAsia" w:eastAsiaTheme="minorEastAsia"/>
        </w:rPr>
        <w:t>主要内容：_____________________；</w:t>
      </w:r>
      <w:r>
        <w:rPr>
          <w:rFonts w:asciiTheme="minorEastAsia" w:hAnsiTheme="minorEastAsia" w:eastAsiaTheme="minorEastAsia"/>
          <w:lang w:val="en-GB"/>
        </w:rPr>
        <w:t xml:space="preserve"> </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□场地不封闭或场地内步行公共通道向社会开放；</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□室外活动场地向社会开放；</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□周边500m 范围内设有社会公共停车场（库）；</w:t>
      </w:r>
      <w:r>
        <w:rPr>
          <w:rFonts w:asciiTheme="minorEastAsia" w:hAnsiTheme="minorEastAsia" w:eastAsiaTheme="minorEastAsia"/>
        </w:rPr>
        <w:t xml:space="preserve"> </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□建筑兼容2种及以上的公共服务功能；</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□配套辅助设施设备共同使用、资源共享；</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□建筑向社会公众提供开放的公共空间。</w:t>
      </w:r>
    </w:p>
    <w:p>
      <w:pPr>
        <w:pStyle w:val="88"/>
        <w:numPr>
          <w:ilvl w:val="1"/>
          <w:numId w:val="19"/>
        </w:numPr>
        <w:rPr>
          <w:rFonts w:asciiTheme="minorEastAsia" w:hAnsiTheme="minorEastAsia" w:eastAsiaTheme="minorEastAsia"/>
          <w:lang w:val="en-GB"/>
        </w:rPr>
      </w:pPr>
      <w:r>
        <w:rPr>
          <w:rFonts w:hint="eastAsia" w:asciiTheme="minorEastAsia" w:hAnsiTheme="minorEastAsia" w:eastAsiaTheme="minorEastAsia"/>
          <w:lang w:val="en-GB"/>
        </w:rPr>
        <w:t>健身场地和空间：</w:t>
      </w:r>
      <w:r>
        <w:rPr>
          <w:rFonts w:asciiTheme="minorEastAsia" w:hAnsiTheme="minorEastAsia" w:eastAsiaTheme="minorEastAsia"/>
          <w:lang w:val="en-GB"/>
        </w:rPr>
        <w:t xml:space="preserve"> </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□场地出入口到达城市公园绿地、居住区公园、广场的步行距离不大于300m；</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□场地出入口到达中型多功能运动场地的步行距离不大于500m；</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□场地内室外健身场地面积不少于总用地面积的0.5％；</w:t>
      </w:r>
    </w:p>
    <w:p>
      <w:pPr>
        <w:pStyle w:val="88"/>
        <w:numPr>
          <w:ilvl w:val="0"/>
          <w:numId w:val="0"/>
        </w:numPr>
        <w:ind w:left="840"/>
        <w:rPr>
          <w:rFonts w:asciiTheme="minorEastAsia" w:hAnsiTheme="minorEastAsia" w:eastAsiaTheme="minorEastAsia"/>
          <w:b/>
        </w:rPr>
      </w:pPr>
      <w:r>
        <w:rPr>
          <w:rFonts w:hint="eastAsia" w:asciiTheme="minorEastAsia" w:hAnsiTheme="minorEastAsia" w:eastAsiaTheme="minorEastAsia"/>
        </w:rPr>
        <w:t>□场地内设置宽度不小于1.25m的专用健身慢行道，健身慢行道长度不小于用地红线周长的1/4 且不小于100m</w:t>
      </w:r>
      <w:r>
        <w:rPr>
          <w:rFonts w:hint="eastAsia" w:asciiTheme="minorEastAsia" w:hAnsiTheme="minorEastAsia" w:eastAsiaTheme="minorEastAsia"/>
          <w:lang w:val="en-GB"/>
        </w:rPr>
        <w:t>。</w:t>
      </w:r>
    </w:p>
    <w:p>
      <w:pPr>
        <w:pStyle w:val="87"/>
        <w:rPr>
          <w:rFonts w:asciiTheme="minorEastAsia" w:hAnsiTheme="minorEastAsia" w:eastAsiaTheme="minorEastAsia"/>
          <w:b/>
          <w:bCs/>
        </w:rPr>
      </w:pPr>
      <w:r>
        <w:rPr>
          <w:rFonts w:hint="eastAsia" w:asciiTheme="minorEastAsia" w:hAnsiTheme="minorEastAsia" w:eastAsiaTheme="minorEastAsia"/>
          <w:b/>
          <w:bCs/>
        </w:rPr>
        <w:t>出入口与公共交通设置：</w:t>
      </w:r>
    </w:p>
    <w:p>
      <w:pPr>
        <w:pStyle w:val="88"/>
        <w:numPr>
          <w:ilvl w:val="1"/>
          <w:numId w:val="20"/>
        </w:numPr>
        <w:rPr>
          <w:rFonts w:asciiTheme="minorEastAsia" w:hAnsiTheme="minorEastAsia" w:eastAsiaTheme="minorEastAsia"/>
        </w:rPr>
      </w:pPr>
      <w:r>
        <w:rPr>
          <w:rFonts w:asciiTheme="minorEastAsia" w:hAnsiTheme="minorEastAsia" w:eastAsiaTheme="minorEastAsia"/>
        </w:rPr>
        <w:t>场地与公共交通站点联系便捷</w:t>
      </w:r>
      <w:r>
        <w:rPr>
          <w:rFonts w:hint="eastAsia" w:asciiTheme="minorEastAsia" w:hAnsiTheme="minorEastAsia" w:eastAsiaTheme="minorEastAsia"/>
        </w:rPr>
        <w:t>：</w:t>
      </w:r>
      <w:r>
        <w:rPr>
          <w:rFonts w:asciiTheme="minorEastAsia" w:hAnsiTheme="minorEastAsia" w:eastAsiaTheme="minorEastAsia"/>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场地</w:t>
      </w:r>
      <w:r>
        <w:rPr>
          <w:rFonts w:asciiTheme="minorEastAsia" w:hAnsiTheme="minorEastAsia" w:eastAsiaTheme="minorEastAsia"/>
        </w:rPr>
        <w:t>人行</w:t>
      </w:r>
      <w:r>
        <w:rPr>
          <w:rFonts w:hint="eastAsia" w:asciiTheme="minorEastAsia" w:hAnsiTheme="minorEastAsia" w:eastAsiaTheme="minorEastAsia"/>
        </w:rPr>
        <w:t>出入口设有</w:t>
      </w:r>
      <w:r>
        <w:rPr>
          <w:rFonts w:asciiTheme="minorEastAsia" w:hAnsiTheme="minorEastAsia" w:eastAsiaTheme="minorEastAsia"/>
        </w:rPr>
        <w:t>公共交通站点</w:t>
      </w:r>
      <w:r>
        <w:rPr>
          <w:rFonts w:hint="eastAsia" w:asciiTheme="minorEastAsia" w:hAnsiTheme="minorEastAsia" w:eastAsiaTheme="minorEastAsia"/>
        </w:rPr>
        <w:t>：</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□是，□</w:t>
      </w:r>
      <w:r>
        <w:rPr>
          <w:rFonts w:asciiTheme="minorEastAsia" w:hAnsiTheme="minorEastAsia" w:eastAsiaTheme="minorEastAsia"/>
        </w:rPr>
        <w:t>步行距离</w:t>
      </w:r>
      <w:r>
        <w:rPr>
          <w:rFonts w:hint="eastAsia" w:asciiTheme="minorEastAsia" w:hAnsiTheme="minorEastAsia" w:eastAsiaTheme="minorEastAsia"/>
        </w:rPr>
        <w:t>500m内；□</w:t>
      </w:r>
      <w:r>
        <w:rPr>
          <w:rFonts w:asciiTheme="minorEastAsia" w:hAnsiTheme="minorEastAsia" w:eastAsiaTheme="minorEastAsia"/>
        </w:rPr>
        <w:t>步行距离</w:t>
      </w:r>
      <w:r>
        <w:rPr>
          <w:rFonts w:hint="eastAsia" w:asciiTheme="minorEastAsia" w:hAnsiTheme="minorEastAsia" w:eastAsiaTheme="minorEastAsia"/>
        </w:rPr>
        <w:t>300m内；</w:t>
      </w:r>
    </w:p>
    <w:p>
      <w:pPr>
        <w:pStyle w:val="89"/>
        <w:numPr>
          <w:ilvl w:val="0"/>
          <w:numId w:val="0"/>
        </w:numPr>
        <w:ind w:left="210" w:leftChars="100" w:firstLine="840" w:firstLineChars="400"/>
        <w:rPr>
          <w:rFonts w:asciiTheme="minorEastAsia" w:hAnsiTheme="minorEastAsia" w:eastAsiaTheme="minorEastAsia"/>
        </w:rPr>
      </w:pPr>
      <w:r>
        <w:rPr>
          <w:rFonts w:hint="eastAsia" w:asciiTheme="minorEastAsia" w:hAnsiTheme="minorEastAsia" w:eastAsiaTheme="minorEastAsia"/>
        </w:rPr>
        <w:t>□否。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场地</w:t>
      </w:r>
      <w:r>
        <w:rPr>
          <w:rFonts w:asciiTheme="minorEastAsia" w:hAnsiTheme="minorEastAsia" w:eastAsiaTheme="minorEastAsia"/>
        </w:rPr>
        <w:t>人行</w:t>
      </w:r>
      <w:r>
        <w:rPr>
          <w:rFonts w:hint="eastAsia" w:asciiTheme="minorEastAsia" w:hAnsiTheme="minorEastAsia" w:eastAsiaTheme="minorEastAsia"/>
        </w:rPr>
        <w:t>出入口设有轨道交通站：</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□是；□已建；□规划；□</w:t>
      </w:r>
      <w:r>
        <w:rPr>
          <w:rFonts w:asciiTheme="minorEastAsia" w:hAnsiTheme="minorEastAsia" w:eastAsiaTheme="minorEastAsia"/>
        </w:rPr>
        <w:t>步行距离</w:t>
      </w:r>
      <w:r>
        <w:rPr>
          <w:rFonts w:hint="eastAsia" w:asciiTheme="minorEastAsia" w:hAnsiTheme="minorEastAsia" w:eastAsiaTheme="minorEastAsia"/>
        </w:rPr>
        <w:t>800m；□</w:t>
      </w:r>
      <w:r>
        <w:rPr>
          <w:rFonts w:asciiTheme="minorEastAsia" w:hAnsiTheme="minorEastAsia" w:eastAsiaTheme="minorEastAsia"/>
        </w:rPr>
        <w:t>步行距离</w:t>
      </w:r>
      <w:r>
        <w:rPr>
          <w:rFonts w:hint="eastAsia" w:asciiTheme="minorEastAsia" w:hAnsiTheme="minorEastAsia" w:eastAsiaTheme="minorEastAsia"/>
        </w:rPr>
        <w:t>500m；</w:t>
      </w:r>
    </w:p>
    <w:p>
      <w:pPr>
        <w:pStyle w:val="89"/>
        <w:numPr>
          <w:ilvl w:val="0"/>
          <w:numId w:val="0"/>
        </w:numPr>
        <w:ind w:left="210" w:leftChars="100" w:firstLine="840" w:firstLineChars="400"/>
        <w:rPr>
          <w:rFonts w:asciiTheme="minorEastAsia" w:hAnsiTheme="minorEastAsia" w:eastAsiaTheme="minorEastAsia"/>
        </w:rPr>
      </w:pPr>
      <w:r>
        <w:rPr>
          <w:rFonts w:hint="eastAsia" w:asciiTheme="minorEastAsia" w:hAnsiTheme="minorEastAsia" w:eastAsiaTheme="minorEastAsia"/>
        </w:rPr>
        <w:t>□否。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场地</w:t>
      </w:r>
      <w:r>
        <w:rPr>
          <w:rFonts w:asciiTheme="minorEastAsia" w:hAnsiTheme="minorEastAsia" w:eastAsiaTheme="minorEastAsia"/>
        </w:rPr>
        <w:t>人行</w:t>
      </w:r>
      <w:r>
        <w:rPr>
          <w:rFonts w:hint="eastAsia" w:asciiTheme="minorEastAsia" w:hAnsiTheme="minorEastAsia" w:eastAsiaTheme="minorEastAsia"/>
        </w:rPr>
        <w:t>出入口</w:t>
      </w:r>
      <w:r>
        <w:rPr>
          <w:rFonts w:asciiTheme="minorEastAsia" w:hAnsiTheme="minorEastAsia" w:eastAsiaTheme="minorEastAsia"/>
        </w:rPr>
        <w:t>步行距离</w:t>
      </w:r>
      <w:r>
        <w:rPr>
          <w:rFonts w:hint="eastAsia" w:asciiTheme="minorEastAsia" w:hAnsiTheme="minorEastAsia" w:eastAsiaTheme="minorEastAsia"/>
        </w:rPr>
        <w:t>800m范围内设有2条及以上线路的公共交通站点（含公交站和轨道交通站）：□是；□否。</w:t>
      </w:r>
    </w:p>
    <w:p>
      <w:pPr>
        <w:pStyle w:val="89"/>
        <w:spacing w:line="400" w:lineRule="exact"/>
        <w:ind w:left="992" w:leftChars="0" w:hanging="567" w:firstLineChars="0"/>
        <w:rPr>
          <w:rFonts w:eastAsiaTheme="minorEastAsia"/>
        </w:rPr>
      </w:pPr>
      <w:r>
        <w:rPr>
          <w:rFonts w:hint="eastAsia" w:asciiTheme="minorEastAsia" w:hAnsiTheme="minorEastAsia" w:eastAsiaTheme="minorEastAsia"/>
        </w:rPr>
        <w:t>场地有</w:t>
      </w:r>
      <w:r>
        <w:rPr>
          <w:rFonts w:asciiTheme="minorEastAsia" w:hAnsiTheme="minorEastAsia" w:eastAsiaTheme="minorEastAsia"/>
        </w:rPr>
        <w:t>配备联系公共交通站点的专用接驳车</w:t>
      </w:r>
      <w:r>
        <w:rPr>
          <w:rFonts w:hint="eastAsia" w:asciiTheme="minorEastAsia" w:hAnsiTheme="minorEastAsia" w:eastAsiaTheme="minorEastAsia"/>
        </w:rPr>
        <w:t>：□是；□否。</w:t>
      </w:r>
    </w:p>
    <w:p>
      <w:pPr>
        <w:pStyle w:val="89"/>
        <w:ind w:left="992" w:leftChars="0" w:hanging="567" w:firstLineChars="0"/>
      </w:pPr>
      <w:r>
        <w:rPr>
          <w:rFonts w:hint="eastAsia"/>
        </w:rPr>
        <w:t>采取人车分流措施，且步行和自行车交通系统有充足的照明</w:t>
      </w:r>
      <w:r>
        <w:rPr>
          <w:rFonts w:hint="eastAsia" w:asciiTheme="minorEastAsia" w:hAnsiTheme="minorEastAsia" w:eastAsiaTheme="minorEastAsia"/>
        </w:rPr>
        <w:t>：□是。</w:t>
      </w:r>
    </w:p>
    <w:p>
      <w:pPr>
        <w:pStyle w:val="89"/>
        <w:ind w:left="992" w:leftChars="0" w:hanging="567" w:firstLineChars="0"/>
      </w:pPr>
      <w:r>
        <w:rPr>
          <w:rFonts w:hint="eastAsia"/>
        </w:rPr>
        <w:t>场地内各出入口位置及通道进行明显的导向标示设计：□是；□否。</w:t>
      </w:r>
    </w:p>
    <w:p>
      <w:pPr>
        <w:pStyle w:val="89"/>
        <w:ind w:left="992" w:leftChars="0" w:hanging="567" w:firstLineChars="0"/>
      </w:pPr>
      <w:r>
        <w:rPr>
          <w:rFonts w:hint="eastAsia"/>
        </w:rPr>
        <w:t>建设项目用地面积是否大于50万㎡</w:t>
      </w:r>
      <w:r>
        <w:rPr>
          <w:rFonts w:hint="eastAsia" w:asciiTheme="minorEastAsia" w:hAnsiTheme="minorEastAsia" w:eastAsiaTheme="minorEastAsia"/>
        </w:rPr>
        <w:t>：□是；□否；设置内部公共交通系统：□是；□否；选择使用清洁能源的交通工具：□是；□否。</w:t>
      </w:r>
    </w:p>
    <w:p>
      <w:pPr>
        <w:pStyle w:val="88"/>
        <w:rPr>
          <w:rFonts w:asciiTheme="minorEastAsia" w:hAnsiTheme="minorEastAsia" w:eastAsiaTheme="minorEastAsia"/>
        </w:rPr>
      </w:pPr>
      <w:r>
        <w:rPr>
          <w:rFonts w:hint="eastAsia" w:asciiTheme="minorEastAsia" w:hAnsiTheme="minorEastAsia" w:eastAsiaTheme="minorEastAsia"/>
        </w:rPr>
        <w:t>场地停车设计：</w:t>
      </w:r>
    </w:p>
    <w:p>
      <w:pPr>
        <w:pStyle w:val="89"/>
        <w:ind w:left="992" w:leftChars="0" w:hanging="567" w:firstLineChars="0"/>
        <w:rPr>
          <w:rFonts w:asciiTheme="minorEastAsia" w:hAnsiTheme="minorEastAsia" w:eastAsiaTheme="minorEastAsia"/>
        </w:rPr>
      </w:pPr>
      <w:r>
        <w:rPr>
          <w:rFonts w:hint="eastAsia" w:asciiTheme="minorEastAsia" w:hAnsiTheme="minorEastAsia" w:eastAsiaTheme="minorEastAsia"/>
        </w:rPr>
        <w:t>机动车停车方式采用：□机械式停车设施；□地下停车库；□地面停车楼等方式节约集约用地。</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公共建筑地面停车占地面积与其总建设用地面积的比率是否小于8％：□是；□否。</w:t>
      </w:r>
      <w:r>
        <w:rPr>
          <w:rFonts w:asciiTheme="minorEastAsia" w:hAnsiTheme="minorEastAsia" w:eastAsiaTheme="minorEastAsia"/>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机动车停车场库设置有电动汽车充电设施和具备充电设施的安装条件的电动汽车停车位；□是。</w:t>
      </w:r>
      <w:r>
        <w:rPr>
          <w:rFonts w:asciiTheme="minorEastAsia" w:hAnsiTheme="minorEastAsia" w:eastAsiaTheme="minorEastAsia"/>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采用错时停车方式向社会开放，提高停车场（库）使用效率：□是；□否。</w:t>
      </w:r>
      <w:r>
        <w:rPr>
          <w:rFonts w:asciiTheme="minorEastAsia" w:hAnsiTheme="minorEastAsia" w:eastAsiaTheme="minorEastAsia"/>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自行车停车场所位置合理、方便出入；具体位置：□室外；□室内地上；□室内地下。</w:t>
      </w:r>
    </w:p>
    <w:p>
      <w:pPr>
        <w:pStyle w:val="87"/>
        <w:rPr>
          <w:rFonts w:asciiTheme="minorEastAsia" w:hAnsiTheme="minorEastAsia" w:eastAsiaTheme="minorEastAsia"/>
          <w:b/>
          <w:bCs/>
        </w:rPr>
      </w:pPr>
      <w:r>
        <w:rPr>
          <w:rFonts w:hint="eastAsia" w:asciiTheme="minorEastAsia" w:hAnsiTheme="minorEastAsia" w:eastAsiaTheme="minorEastAsia"/>
          <w:b/>
          <w:bCs/>
        </w:rPr>
        <w:t>无障碍与安全：</w:t>
      </w:r>
    </w:p>
    <w:p>
      <w:pPr>
        <w:pStyle w:val="88"/>
        <w:numPr>
          <w:ilvl w:val="1"/>
          <w:numId w:val="21"/>
        </w:numPr>
        <w:rPr>
          <w:rFonts w:asciiTheme="minorEastAsia" w:hAnsiTheme="minorEastAsia" w:eastAsiaTheme="minorEastAsia"/>
          <w:b/>
          <w:kern w:val="0"/>
        </w:rPr>
      </w:pPr>
      <w:r>
        <w:rPr>
          <w:rFonts w:hint="eastAsia" w:asciiTheme="minorEastAsia" w:hAnsiTheme="minorEastAsia" w:eastAsiaTheme="minorEastAsia"/>
        </w:rPr>
        <w:t>场地内的建筑、室外场地、公共绿地、城市道路相互之间设置连贯的无障碍步行系统；□是。</w:t>
      </w:r>
    </w:p>
    <w:p>
      <w:pPr>
        <w:pStyle w:val="88"/>
        <w:rPr>
          <w:rFonts w:asciiTheme="minorEastAsia" w:hAnsiTheme="minorEastAsia" w:eastAsiaTheme="minorEastAsia"/>
          <w:b/>
          <w:kern w:val="0"/>
        </w:rPr>
      </w:pPr>
      <w:r>
        <w:rPr>
          <w:rFonts w:hint="eastAsia" w:asciiTheme="minorEastAsia" w:hAnsiTheme="minorEastAsia" w:eastAsiaTheme="minorEastAsia"/>
          <w:lang w:val="en-GB"/>
        </w:rPr>
        <w:t>场地内人行通道采用无障碍设计：</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8"/>
        <w:rPr>
          <w:rFonts w:asciiTheme="minorEastAsia" w:hAnsiTheme="minorEastAsia" w:eastAsiaTheme="minorEastAsia"/>
          <w:b/>
          <w:kern w:val="0"/>
        </w:rPr>
      </w:pPr>
      <w:r>
        <w:rPr>
          <w:rFonts w:hint="eastAsia" w:asciiTheme="minorEastAsia" w:hAnsiTheme="minorEastAsia" w:eastAsiaTheme="minorEastAsia"/>
        </w:rPr>
        <w:t>机动车停车场库设置无障碍汽车停车位：□是；□否。</w:t>
      </w:r>
      <w:r>
        <w:rPr>
          <w:rFonts w:asciiTheme="minorEastAsia" w:hAnsiTheme="minorEastAsia" w:eastAsiaTheme="minorEastAsia"/>
        </w:rPr>
        <w:t xml:space="preserve"> </w:t>
      </w:r>
    </w:p>
    <w:p>
      <w:pPr>
        <w:pStyle w:val="88"/>
        <w:rPr>
          <w:rFonts w:asciiTheme="minorEastAsia" w:hAnsiTheme="minorEastAsia" w:eastAsiaTheme="minorEastAsia"/>
          <w:b/>
          <w:kern w:val="0"/>
          <w:lang w:val="en-GB"/>
        </w:rPr>
      </w:pPr>
      <w:r>
        <w:rPr>
          <w:rFonts w:hint="eastAsia" w:asciiTheme="minorEastAsia" w:hAnsiTheme="minorEastAsia" w:eastAsiaTheme="minorEastAsia"/>
        </w:rPr>
        <w:t>室外活动场所、坡道、路面应采用防滑地面，防滑等级达到现行行业标准《建筑地面工程防滑技术规程》JGJ/T 331 规定的A</w:t>
      </w:r>
      <w:r>
        <w:rPr>
          <w:rFonts w:hint="eastAsia" w:asciiTheme="minorEastAsia" w:hAnsiTheme="minorEastAsia" w:eastAsiaTheme="minorEastAsia"/>
          <w:vertAlign w:val="subscript"/>
        </w:rPr>
        <w:t>W</w:t>
      </w:r>
      <w:r>
        <w:rPr>
          <w:rFonts w:hint="eastAsia" w:asciiTheme="minorEastAsia" w:hAnsiTheme="minorEastAsia" w:eastAsiaTheme="minorEastAsia"/>
        </w:rPr>
        <w:t>级：□是；□否。</w:t>
      </w:r>
      <w:r>
        <w:rPr>
          <w:rFonts w:asciiTheme="minorEastAsia" w:hAnsiTheme="minorEastAsia" w:eastAsiaTheme="minorEastAsia"/>
          <w:b/>
          <w:kern w:val="0"/>
          <w:lang w:val="en-GB"/>
        </w:rPr>
        <w:t xml:space="preserve"> </w:t>
      </w:r>
    </w:p>
    <w:p>
      <w:pPr>
        <w:pStyle w:val="88"/>
        <w:rPr>
          <w:rFonts w:asciiTheme="minorEastAsia" w:hAnsiTheme="minorEastAsia" w:eastAsiaTheme="minorEastAsia"/>
          <w:b/>
          <w:kern w:val="0"/>
          <w:lang w:val="en-GB"/>
        </w:rPr>
      </w:pPr>
      <w:r>
        <w:rPr>
          <w:rFonts w:hint="eastAsia" w:asciiTheme="minorEastAsia" w:hAnsiTheme="minorEastAsia" w:eastAsiaTheme="minorEastAsia"/>
        </w:rPr>
        <w:t>总平面设计利用场地或景观形成可降低坠物风险的缓冲区、隔离带：□是；□否。</w:t>
      </w:r>
      <w:r>
        <w:rPr>
          <w:rFonts w:asciiTheme="minorEastAsia" w:hAnsiTheme="minorEastAsia" w:eastAsiaTheme="minorEastAsia"/>
          <w:b/>
          <w:kern w:val="0"/>
          <w:lang w:val="en-GB"/>
        </w:rPr>
        <w:t xml:space="preserve"> </w:t>
      </w:r>
    </w:p>
    <w:p>
      <w:pPr>
        <w:pStyle w:val="88"/>
        <w:jc w:val="both"/>
        <w:rPr>
          <w:rFonts w:asciiTheme="minorEastAsia" w:hAnsiTheme="minorEastAsia" w:eastAsiaTheme="minorEastAsia"/>
          <w:b/>
          <w:kern w:val="0"/>
          <w:lang w:val="en-GB"/>
        </w:rPr>
      </w:pPr>
      <w:r>
        <w:rPr>
          <w:rFonts w:hint="eastAsia" w:asciiTheme="minorEastAsia" w:hAnsiTheme="minorEastAsia" w:eastAsiaTheme="minorEastAsia"/>
        </w:rPr>
        <w:t>室外吸烟区设置：</w:t>
      </w:r>
      <w:r>
        <w:rPr>
          <w:rFonts w:hint="eastAsia" w:asciiTheme="minorEastAsia" w:hAnsiTheme="minorEastAsia" w:eastAsiaTheme="minorEastAsia"/>
          <w:i/>
          <w:iCs/>
        </w:rPr>
        <w:t>（内容二选一）</w:t>
      </w:r>
    </w:p>
    <w:p>
      <w:pPr>
        <w:pStyle w:val="89"/>
        <w:ind w:left="992" w:leftChars="0" w:hanging="567" w:firstLineChars="0"/>
      </w:pPr>
      <w:r>
        <w:rPr>
          <w:rFonts w:hint="eastAsia"/>
        </w:rPr>
        <w:t>本项目设置室外吸烟区：室外吸烟区与绿植结合布置，并合理配置座椅和带烟头收集的垃圾筒，从建筑主出入口至室外吸烟区的导向标识完整、定位标识醒目，吸烟区设置吸烟有害健康的警示标识：□是；□否；</w:t>
      </w:r>
      <w:r>
        <w:rPr>
          <w:rFonts w:hint="eastAsia"/>
          <w:bCs/>
          <w:kern w:val="0"/>
        </w:rPr>
        <w:t>室外吸烟区布置在建筑主出入口的主导风的下风向，</w:t>
      </w:r>
      <w:r>
        <w:rPr>
          <w:rFonts w:hint="eastAsia"/>
        </w:rPr>
        <w:t>与所有建筑出入口、新风进气口和可开启扇的距离不小于8米，且距离儿童和老年人活动场地不少于8米：□是；□否。</w:t>
      </w:r>
    </w:p>
    <w:p>
      <w:pPr>
        <w:pStyle w:val="89"/>
        <w:ind w:left="992" w:leftChars="0" w:hanging="567" w:firstLineChars="0"/>
      </w:pPr>
      <w:r>
        <w:rPr>
          <w:rFonts w:hint="eastAsia"/>
        </w:rPr>
        <w:t>本项目场地范围内禁烟，不设置室外吸烟区，场地内明显位置设置禁烟标识。□是；□否。</w:t>
      </w:r>
    </w:p>
    <w:p>
      <w:pPr>
        <w:pStyle w:val="88"/>
        <w:rPr>
          <w:rFonts w:asciiTheme="minorEastAsia" w:hAnsiTheme="minorEastAsia" w:eastAsiaTheme="minorEastAsia"/>
          <w:b/>
          <w:kern w:val="0"/>
          <w:lang w:val="en-GB"/>
        </w:rPr>
      </w:pPr>
      <w:r>
        <w:rPr>
          <w:rFonts w:hint="eastAsia" w:asciiTheme="minorEastAsia" w:hAnsiTheme="minorEastAsia" w:eastAsiaTheme="minorEastAsia"/>
        </w:rPr>
        <w:t xml:space="preserve">场地内设计安全防护的警示和引导标识系统：□是；□否。 </w:t>
      </w:r>
    </w:p>
    <w:p>
      <w:pPr>
        <w:pStyle w:val="88"/>
        <w:rPr>
          <w:rFonts w:asciiTheme="minorEastAsia" w:hAnsiTheme="minorEastAsia" w:eastAsiaTheme="minorEastAsia"/>
          <w:b/>
          <w:kern w:val="0"/>
        </w:rPr>
      </w:pPr>
      <w:r>
        <w:rPr>
          <w:rFonts w:hint="eastAsia" w:asciiTheme="minorEastAsia" w:hAnsiTheme="minorEastAsia" w:eastAsiaTheme="minorEastAsia"/>
        </w:rPr>
        <w:t>场地内设置便于识别和使用的标识系统：□是；□否。</w:t>
      </w:r>
      <w:r>
        <w:rPr>
          <w:rFonts w:asciiTheme="minorEastAsia" w:hAnsiTheme="minorEastAsia" w:eastAsiaTheme="minorEastAsia"/>
        </w:rPr>
        <w:t xml:space="preserve">   </w:t>
      </w:r>
    </w:p>
    <w:p>
      <w:pPr>
        <w:pStyle w:val="87"/>
        <w:rPr>
          <w:rFonts w:asciiTheme="minorEastAsia" w:hAnsiTheme="minorEastAsia" w:eastAsiaTheme="minorEastAsia"/>
          <w:b/>
          <w:bCs/>
        </w:rPr>
      </w:pPr>
      <w:r>
        <w:rPr>
          <w:rFonts w:hint="eastAsia" w:asciiTheme="minorEastAsia" w:hAnsiTheme="minorEastAsia" w:eastAsiaTheme="minorEastAsia"/>
          <w:b/>
          <w:bCs/>
        </w:rPr>
        <w:t>场地声环境：</w:t>
      </w:r>
      <w:r>
        <w:rPr>
          <w:rFonts w:asciiTheme="minorEastAsia" w:hAnsiTheme="minorEastAsia" w:eastAsiaTheme="minorEastAsia"/>
          <w:b/>
          <w:bCs/>
        </w:rPr>
        <w:t xml:space="preserve"> </w:t>
      </w:r>
    </w:p>
    <w:p>
      <w:pPr>
        <w:pStyle w:val="88"/>
        <w:numPr>
          <w:ilvl w:val="1"/>
          <w:numId w:val="22"/>
        </w:numPr>
        <w:rPr>
          <w:rFonts w:asciiTheme="minorEastAsia" w:hAnsiTheme="minorEastAsia" w:eastAsiaTheme="minorEastAsia"/>
        </w:rPr>
      </w:pPr>
      <w:r>
        <w:rPr>
          <w:rFonts w:hint="eastAsia" w:asciiTheme="minorEastAsia" w:hAnsiTheme="minorEastAsia" w:eastAsiaTheme="minorEastAsia"/>
        </w:rPr>
        <w:t>场地声环境设计符合现行国家标准《声环境质量标准》GB 3096 的要求；□是。</w:t>
      </w:r>
    </w:p>
    <w:p>
      <w:pPr>
        <w:pStyle w:val="88"/>
        <w:rPr>
          <w:rFonts w:asciiTheme="minorEastAsia" w:hAnsiTheme="minorEastAsia" w:eastAsiaTheme="minorEastAsia"/>
        </w:rPr>
      </w:pPr>
      <w:r>
        <w:rPr>
          <w:rFonts w:hint="eastAsia" w:asciiTheme="minorEastAsia" w:hAnsiTheme="minorEastAsia" w:eastAsiaTheme="minorEastAsia"/>
        </w:rPr>
        <w:t>场地环境噪声值不大于现行国家标准《声环境质量标准》GB 3096的_____类声环境功能区标准限值。</w:t>
      </w:r>
    </w:p>
    <w:p>
      <w:pPr>
        <w:pStyle w:val="88"/>
        <w:rPr>
          <w:rFonts w:asciiTheme="minorEastAsia" w:hAnsiTheme="minorEastAsia" w:eastAsiaTheme="minorEastAsia"/>
        </w:rPr>
      </w:pPr>
      <w:r>
        <w:rPr>
          <w:rFonts w:hint="eastAsia" w:asciiTheme="minorEastAsia" w:hAnsiTheme="minorEastAsia" w:eastAsiaTheme="minorEastAsia"/>
        </w:rPr>
        <w:t>场地内未设置未经有效处理的强噪声源。</w:t>
      </w:r>
    </w:p>
    <w:p>
      <w:pPr>
        <w:pStyle w:val="88"/>
        <w:rPr>
          <w:rFonts w:asciiTheme="minorEastAsia" w:hAnsiTheme="minorEastAsia" w:eastAsiaTheme="minorEastAsia"/>
        </w:rPr>
      </w:pPr>
      <w:r>
        <w:rPr>
          <w:rFonts w:hint="eastAsia" w:asciiTheme="minorEastAsia" w:hAnsiTheme="minorEastAsia" w:eastAsiaTheme="minorEastAsia"/>
        </w:rPr>
        <w:t>噪声源改善措施：</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对固定噪声源采用适当的隔声和降噪措施：□是，措施为______________；□未涉及。</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对交通干道的噪声采取声屏障或降噪路面等措施：□是，措施为______________；□未涉及。</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对声环境要求高的建筑，设置于主要噪声源主导风向的上风侧：□是；□否；</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并进行噪声专项分析：□是；□否。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当建筑相邻高速公路或快速路，且临道路一侧退后道路红线距离小于15m时，或当建筑相邻城市干道，且临道路一侧退后用地红线距离小于12m时，进行噪声专项分析：□是；□否。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将对噪声不明感的建筑物布置在场地内临近交通干道的位置，以形成周边式的声屏障：□是；□否。</w:t>
      </w:r>
      <w:r>
        <w:rPr>
          <w:rFonts w:asciiTheme="minorEastAsia" w:hAnsiTheme="minorEastAsia" w:eastAsiaTheme="minorEastAsia"/>
        </w:rPr>
        <w:t xml:space="preserve"> </w:t>
      </w:r>
    </w:p>
    <w:p>
      <w:pPr>
        <w:ind w:firstLine="420"/>
      </w:pPr>
    </w:p>
    <w:p>
      <w:pPr>
        <w:pStyle w:val="87"/>
        <w:rPr>
          <w:rFonts w:asciiTheme="minorEastAsia" w:hAnsiTheme="minorEastAsia" w:eastAsiaTheme="minorEastAsia"/>
          <w:b/>
          <w:bCs/>
        </w:rPr>
      </w:pPr>
      <w:r>
        <w:rPr>
          <w:rFonts w:hint="eastAsia" w:asciiTheme="minorEastAsia" w:hAnsiTheme="minorEastAsia" w:eastAsiaTheme="minorEastAsia"/>
          <w:b/>
          <w:bCs/>
        </w:rPr>
        <w:t>场地风环境：</w:t>
      </w:r>
      <w:r>
        <w:rPr>
          <w:rFonts w:asciiTheme="minorEastAsia" w:hAnsiTheme="minorEastAsia" w:eastAsiaTheme="minorEastAsia"/>
          <w:b/>
          <w:bCs/>
        </w:rPr>
        <w:t xml:space="preserve"> </w:t>
      </w:r>
    </w:p>
    <w:p>
      <w:pPr>
        <w:pStyle w:val="88"/>
        <w:numPr>
          <w:ilvl w:val="1"/>
          <w:numId w:val="23"/>
        </w:numPr>
        <w:rPr>
          <w:rFonts w:asciiTheme="minorEastAsia" w:hAnsiTheme="minorEastAsia" w:eastAsiaTheme="minorEastAsia"/>
          <w:lang w:val="en-GB"/>
        </w:rPr>
      </w:pPr>
      <w:r>
        <w:rPr>
          <w:rFonts w:hint="eastAsia" w:asciiTheme="minorEastAsia" w:hAnsiTheme="minorEastAsia" w:eastAsiaTheme="minorEastAsia"/>
        </w:rPr>
        <w:t>总平面设计对场地风环境进行模拟预测，优化建筑布局：□是；□否</w:t>
      </w:r>
      <w:r>
        <w:rPr>
          <w:rFonts w:hint="eastAsia" w:asciiTheme="minorEastAsia" w:hAnsiTheme="minorEastAsia" w:eastAsiaTheme="minorEastAsia"/>
          <w:lang w:val="en-GB"/>
        </w:rPr>
        <w:t>。</w:t>
      </w:r>
    </w:p>
    <w:p>
      <w:pPr>
        <w:pStyle w:val="88"/>
        <w:rPr>
          <w:rFonts w:asciiTheme="minorEastAsia" w:hAnsiTheme="minorEastAsia" w:eastAsiaTheme="minorEastAsia"/>
          <w:lang w:val="en-GB"/>
        </w:rPr>
      </w:pPr>
      <w:r>
        <w:rPr>
          <w:rFonts w:hint="eastAsia" w:asciiTheme="minorEastAsia" w:hAnsiTheme="minorEastAsia" w:eastAsiaTheme="minorEastAsia"/>
        </w:rPr>
        <w:t>冬季典型风速和风向条件下，建筑物周围人行区1</w:t>
      </w:r>
      <w:r>
        <w:rPr>
          <w:rFonts w:asciiTheme="minorEastAsia" w:hAnsiTheme="minorEastAsia" w:eastAsiaTheme="minorEastAsia"/>
        </w:rPr>
        <w:t>.5</w:t>
      </w:r>
      <w:r>
        <w:rPr>
          <w:rFonts w:hint="eastAsia" w:asciiTheme="minorEastAsia" w:hAnsiTheme="minorEastAsia" w:eastAsiaTheme="minorEastAsia"/>
        </w:rPr>
        <w:t>m处风速小于5</w:t>
      </w:r>
      <w:r>
        <w:rPr>
          <w:rFonts w:asciiTheme="minorEastAsia" w:hAnsiTheme="minorEastAsia" w:eastAsiaTheme="minorEastAsia"/>
        </w:rPr>
        <w:t>m/s</w:t>
      </w:r>
      <w:r>
        <w:rPr>
          <w:rFonts w:hint="eastAsia" w:asciiTheme="minorEastAsia" w:hAnsiTheme="minorEastAsia" w:eastAsiaTheme="minorEastAsia"/>
        </w:rPr>
        <w:t>：□是；□否</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p>
    <w:p>
      <w:pPr>
        <w:pStyle w:val="88"/>
        <w:rPr>
          <w:rFonts w:asciiTheme="minorEastAsia" w:hAnsiTheme="minorEastAsia" w:eastAsiaTheme="minorEastAsia"/>
          <w:lang w:val="en-GB"/>
        </w:rPr>
      </w:pPr>
      <w:r>
        <w:rPr>
          <w:rFonts w:hint="eastAsia" w:asciiTheme="minorEastAsia" w:hAnsiTheme="minorEastAsia" w:eastAsiaTheme="minorEastAsia"/>
          <w:lang w:val="en-GB"/>
        </w:rPr>
        <w:t>户外休息区</w:t>
      </w:r>
      <w:r>
        <w:rPr>
          <w:rFonts w:asciiTheme="minorEastAsia" w:hAnsiTheme="minorEastAsia" w:eastAsiaTheme="minorEastAsia"/>
          <w:lang w:val="en-GB"/>
        </w:rPr>
        <w:t>、儿童娱乐区风速小于</w:t>
      </w:r>
      <w:r>
        <w:rPr>
          <w:rFonts w:hint="eastAsia" w:asciiTheme="minorEastAsia" w:hAnsiTheme="minorEastAsia" w:eastAsiaTheme="minorEastAsia"/>
          <w:lang w:val="en-GB"/>
        </w:rPr>
        <w:t>5</w:t>
      </w:r>
      <w:r>
        <w:rPr>
          <w:rFonts w:asciiTheme="minorEastAsia" w:hAnsiTheme="minorEastAsia" w:eastAsiaTheme="minorEastAsia"/>
          <w:lang w:val="en-GB"/>
        </w:rPr>
        <w:t>m/s：</w:t>
      </w:r>
      <w:r>
        <w:rPr>
          <w:rFonts w:hint="eastAsia" w:asciiTheme="minorEastAsia" w:hAnsiTheme="minorEastAsia" w:eastAsiaTheme="minorEastAsia"/>
        </w:rPr>
        <w:t>□是；□否</w:t>
      </w:r>
      <w:r>
        <w:rPr>
          <w:rFonts w:hint="eastAsia" w:asciiTheme="minorEastAsia" w:hAnsiTheme="minorEastAsia" w:eastAsiaTheme="minorEastAsia"/>
          <w:lang w:val="en-GB"/>
        </w:rPr>
        <w:t>；</w:t>
      </w:r>
      <w:r>
        <w:rPr>
          <w:rFonts w:hint="eastAsia" w:asciiTheme="minorEastAsia" w:hAnsiTheme="minorEastAsia" w:eastAsiaTheme="minorEastAsia"/>
        </w:rPr>
        <w:t>□未涉及</w:t>
      </w:r>
      <w:r>
        <w:rPr>
          <w:rFonts w:hint="eastAsia" w:asciiTheme="minorEastAsia" w:hAnsiTheme="minorEastAsia" w:eastAsiaTheme="minorEastAsia"/>
          <w:lang w:val="en-GB"/>
        </w:rPr>
        <w:t>。</w:t>
      </w:r>
    </w:p>
    <w:p>
      <w:pPr>
        <w:pStyle w:val="88"/>
        <w:rPr>
          <w:rFonts w:asciiTheme="minorEastAsia" w:hAnsiTheme="minorEastAsia" w:eastAsiaTheme="minorEastAsia"/>
        </w:rPr>
      </w:pPr>
      <w:r>
        <w:rPr>
          <w:rFonts w:hint="eastAsia" w:asciiTheme="minorEastAsia" w:hAnsiTheme="minorEastAsia" w:eastAsiaTheme="minorEastAsia"/>
        </w:rPr>
        <w:t>室外风速放大系数小于2：□是；□否。</w:t>
      </w:r>
    </w:p>
    <w:p>
      <w:pPr>
        <w:pStyle w:val="88"/>
        <w:rPr>
          <w:rFonts w:asciiTheme="minorEastAsia" w:hAnsiTheme="minorEastAsia" w:eastAsiaTheme="minorEastAsia"/>
        </w:rPr>
      </w:pPr>
      <w:r>
        <w:rPr>
          <w:rFonts w:hint="eastAsia" w:asciiTheme="minorEastAsia" w:hAnsiTheme="minorEastAsia" w:eastAsiaTheme="minorEastAsia"/>
        </w:rPr>
        <w:t>避开冬季主导风向，冬季除迎风面第一排建筑外，建筑表面压强绝对值的平均值不大于5</w:t>
      </w:r>
      <w:r>
        <w:rPr>
          <w:rFonts w:asciiTheme="minorEastAsia" w:hAnsiTheme="minorEastAsia" w:eastAsiaTheme="minorEastAsia"/>
        </w:rPr>
        <w:t>Pa</w:t>
      </w:r>
      <w:r>
        <w:rPr>
          <w:rFonts w:hint="eastAsia" w:asciiTheme="minorEastAsia" w:hAnsiTheme="minorEastAsia" w:eastAsiaTheme="minorEastAsia"/>
        </w:rPr>
        <w:t>：</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□是；□否；□仅一排</w:t>
      </w:r>
      <w:r>
        <w:rPr>
          <w:rFonts w:asciiTheme="minorEastAsia" w:hAnsiTheme="minorEastAsia" w:eastAsiaTheme="minorEastAsia"/>
        </w:rPr>
        <w:t>建筑</w:t>
      </w:r>
      <w:r>
        <w:rPr>
          <w:rFonts w:hint="eastAsia" w:asciiTheme="minorEastAsia" w:hAnsiTheme="minorEastAsia" w:eastAsiaTheme="minorEastAsia"/>
          <w:lang w:val="en-GB"/>
        </w:rPr>
        <w:t>。</w:t>
      </w:r>
    </w:p>
    <w:p>
      <w:pPr>
        <w:pStyle w:val="88"/>
        <w:rPr>
          <w:rFonts w:asciiTheme="minorEastAsia" w:hAnsiTheme="minorEastAsia" w:eastAsiaTheme="minorEastAsia"/>
        </w:rPr>
      </w:pPr>
      <w:r>
        <w:rPr>
          <w:rFonts w:hint="eastAsia" w:asciiTheme="minorEastAsia" w:hAnsiTheme="minorEastAsia" w:eastAsiaTheme="minorEastAsia"/>
        </w:rPr>
        <w:t>过渡季、夏季典型风速和风向条件下，场地内人活动区不出现涡旋或无风区：□是；□否。</w:t>
      </w:r>
    </w:p>
    <w:p>
      <w:pPr>
        <w:pStyle w:val="88"/>
        <w:rPr>
          <w:rFonts w:asciiTheme="minorEastAsia" w:hAnsiTheme="minorEastAsia" w:eastAsiaTheme="minorEastAsia"/>
        </w:rPr>
      </w:pPr>
      <w:r>
        <w:rPr>
          <w:rFonts w:hint="eastAsia" w:asciiTheme="minorEastAsia" w:hAnsiTheme="minorEastAsia" w:eastAsiaTheme="minorEastAsia"/>
        </w:rPr>
        <w:t>空气污染</w:t>
      </w:r>
      <w:r>
        <w:rPr>
          <w:rFonts w:asciiTheme="minorEastAsia" w:hAnsiTheme="minorEastAsia" w:eastAsiaTheme="minorEastAsia"/>
        </w:rPr>
        <w:t>源未设置在</w:t>
      </w:r>
      <w:r>
        <w:rPr>
          <w:rFonts w:hint="eastAsia" w:asciiTheme="minorEastAsia" w:hAnsiTheme="minorEastAsia" w:eastAsiaTheme="minorEastAsia"/>
        </w:rPr>
        <w:t>涡旋</w:t>
      </w:r>
      <w:r>
        <w:rPr>
          <w:rFonts w:asciiTheme="minorEastAsia" w:hAnsiTheme="minorEastAsia" w:eastAsiaTheme="minorEastAsia"/>
        </w:rPr>
        <w:t>及无风区：</w:t>
      </w:r>
      <w:r>
        <w:rPr>
          <w:rFonts w:hint="eastAsia" w:asciiTheme="minorEastAsia" w:hAnsiTheme="minorEastAsia" w:eastAsiaTheme="minorEastAsia"/>
        </w:rPr>
        <w:t>□是；□否。</w:t>
      </w:r>
    </w:p>
    <w:p>
      <w:pPr>
        <w:pStyle w:val="88"/>
        <w:rPr>
          <w:rFonts w:asciiTheme="minorEastAsia" w:hAnsiTheme="minorEastAsia" w:eastAsiaTheme="minorEastAsia"/>
        </w:rPr>
      </w:pPr>
      <w:r>
        <w:rPr>
          <w:rFonts w:hint="eastAsia" w:asciiTheme="minorEastAsia" w:hAnsiTheme="minorEastAsia" w:eastAsiaTheme="minorEastAsia"/>
        </w:rPr>
        <w:t xml:space="preserve">50％以上可开启外窗室内外表面的风压差大于0.5Pa：□是；□否。 </w:t>
      </w:r>
    </w:p>
    <w:p>
      <w:pPr>
        <w:pStyle w:val="87"/>
        <w:rPr>
          <w:rFonts w:asciiTheme="minorEastAsia" w:hAnsiTheme="minorEastAsia" w:eastAsiaTheme="minorEastAsia"/>
          <w:b/>
          <w:bCs/>
        </w:rPr>
      </w:pPr>
      <w:r>
        <w:rPr>
          <w:rFonts w:hint="eastAsia" w:asciiTheme="minorEastAsia" w:hAnsiTheme="minorEastAsia" w:eastAsiaTheme="minorEastAsia"/>
          <w:b/>
          <w:bCs/>
        </w:rPr>
        <w:t>场地热环境：</w:t>
      </w:r>
      <w:r>
        <w:rPr>
          <w:rFonts w:asciiTheme="minorEastAsia" w:hAnsiTheme="minorEastAsia" w:eastAsiaTheme="minorEastAsia"/>
          <w:b/>
          <w:bCs/>
        </w:rPr>
        <w:t xml:space="preserve"> </w:t>
      </w:r>
    </w:p>
    <w:p>
      <w:pPr>
        <w:pStyle w:val="88"/>
        <w:numPr>
          <w:ilvl w:val="1"/>
          <w:numId w:val="24"/>
        </w:numPr>
        <w:rPr>
          <w:rFonts w:asciiTheme="minorEastAsia" w:hAnsiTheme="minorEastAsia" w:eastAsiaTheme="minorEastAsia"/>
        </w:rPr>
      </w:pPr>
      <w:r>
        <w:rPr>
          <w:rFonts w:hint="eastAsia" w:asciiTheme="minorEastAsia" w:hAnsiTheme="minorEastAsia" w:eastAsiaTheme="minorEastAsia"/>
        </w:rPr>
        <w:t>降低热岛强度：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场地中处于建筑阴影区外的步道、游憩场、庭院、广场等室外活动场地设有乔木、花架等遮阴措施的面积比例：_____％。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屋顶的绿化面积、太阳能板水平投影面积、屋面设备占用面积以及太阳能辐射反射系数不小于0.4的屋面面积合计达到_____％≥75％。</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场地中处于建筑阴影区外的机动车道，路面太阳辐射反射系数不小于0.4：□是；□否。</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设有遮阴面积较大的行道树的路段长度超过70％：□是；□否。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空调室外机与室外通道地面的距离大于2.5米</w:t>
      </w:r>
      <w:r>
        <w:rPr>
          <w:rFonts w:hint="eastAsia" w:asciiTheme="minorEastAsia" w:hAnsiTheme="minorEastAsia" w:eastAsiaTheme="minorEastAsia"/>
          <w:lang w:eastAsia="zh-Hans"/>
        </w:rPr>
        <w:t>，且</w:t>
      </w:r>
      <w:r>
        <w:rPr>
          <w:rFonts w:hint="eastAsia" w:asciiTheme="minorEastAsia" w:hAnsiTheme="minorEastAsia" w:eastAsiaTheme="minorEastAsia"/>
        </w:rPr>
        <w:t>未占用公共人行道；建筑物内部的通道、出口等公用空间未安装空调室外机；□是。</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根据相关规定进行场地热环境的模拟预测，分析夏季典型日的热岛强度和室外热舒适性，优化规划设计方案：□是；□否。</w:t>
      </w:r>
    </w:p>
    <w:p>
      <w:pPr>
        <w:pStyle w:val="87"/>
        <w:rPr>
          <w:rFonts w:asciiTheme="minorEastAsia" w:hAnsiTheme="minorEastAsia" w:eastAsiaTheme="minorEastAsia"/>
          <w:b/>
          <w:bCs/>
        </w:rPr>
      </w:pPr>
      <w:r>
        <w:rPr>
          <w:rFonts w:hint="eastAsia" w:asciiTheme="minorEastAsia" w:hAnsiTheme="minorEastAsia" w:eastAsiaTheme="minorEastAsia"/>
          <w:b/>
          <w:bCs/>
        </w:rPr>
        <w:t>场地光环境：</w:t>
      </w:r>
    </w:p>
    <w:p>
      <w:pPr>
        <w:pStyle w:val="88"/>
        <w:numPr>
          <w:ilvl w:val="1"/>
          <w:numId w:val="25"/>
        </w:numPr>
        <w:jc w:val="both"/>
        <w:rPr>
          <w:rFonts w:asciiTheme="minorEastAsia" w:hAnsiTheme="minorEastAsia" w:eastAsiaTheme="minorEastAsia"/>
        </w:rPr>
      </w:pPr>
      <w:r>
        <w:rPr>
          <w:rFonts w:hint="eastAsia" w:asciiTheme="minorEastAsia" w:hAnsiTheme="minorEastAsia" w:eastAsiaTheme="minorEastAsia"/>
        </w:rPr>
        <w:t>合理进行场地和道路照明设计，室外照明光污染符合现行国家标准《室外照明干扰光限制规范》GB/T 35626、现行行业标准《城市夜景照明设计规范》JGJ/T 163和现行地方标准《环境照明工程设计规范》DB</w:t>
      </w:r>
      <w:r>
        <w:rPr>
          <w:rFonts w:asciiTheme="minorEastAsia" w:hAnsiTheme="minorEastAsia" w:eastAsiaTheme="minorEastAsia"/>
        </w:rPr>
        <w:t xml:space="preserve"> </w:t>
      </w:r>
      <w:r>
        <w:rPr>
          <w:rFonts w:hint="eastAsia" w:asciiTheme="minorEastAsia" w:hAnsiTheme="minorEastAsia" w:eastAsiaTheme="minorEastAsia"/>
        </w:rPr>
        <w:t>33/T 1055的相关规定；□是。</w:t>
      </w:r>
    </w:p>
    <w:p>
      <w:pPr>
        <w:pStyle w:val="87"/>
        <w:rPr>
          <w:rFonts w:asciiTheme="minorEastAsia" w:hAnsiTheme="minorEastAsia" w:eastAsiaTheme="minorEastAsia"/>
          <w:b/>
          <w:bCs/>
        </w:rPr>
      </w:pPr>
      <w:r>
        <w:rPr>
          <w:rFonts w:hint="eastAsia" w:asciiTheme="minorEastAsia" w:hAnsiTheme="minorEastAsia" w:eastAsiaTheme="minorEastAsia"/>
          <w:b/>
          <w:bCs/>
        </w:rPr>
        <w:t>其他绿色设计措施：</w:t>
      </w:r>
      <w:r>
        <w:rPr>
          <w:rFonts w:hint="eastAsia" w:asciiTheme="minorEastAsia" w:hAnsiTheme="minorEastAsia" w:eastAsiaTheme="minorEastAsia"/>
        </w:rPr>
        <w:t>_____________________________________________。</w:t>
      </w:r>
    </w:p>
    <w:p>
      <w:pPr>
        <w:pStyle w:val="87"/>
        <w:numPr>
          <w:ilvl w:val="0"/>
          <w:numId w:val="0"/>
        </w:numPr>
        <w:ind w:left="425"/>
        <w:rPr>
          <w:rFonts w:asciiTheme="minorEastAsia" w:hAnsiTheme="minorEastAsia" w:eastAsiaTheme="minorEastAsia"/>
        </w:rPr>
      </w:pPr>
    </w:p>
    <w:p>
      <w:pPr>
        <w:pStyle w:val="87"/>
        <w:numPr>
          <w:ilvl w:val="0"/>
          <w:numId w:val="0"/>
        </w:numPr>
        <w:ind w:left="425"/>
        <w:rPr>
          <w:rFonts w:asciiTheme="minorEastAsia" w:hAnsiTheme="minorEastAsia" w:eastAsiaTheme="minorEastAsia"/>
        </w:rPr>
      </w:pPr>
    </w:p>
    <w:p>
      <w:pPr>
        <w:pBdr>
          <w:top w:val="single" w:color="auto" w:sz="4" w:space="5"/>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w:t>
      </w:r>
      <w:r>
        <w:rPr>
          <w:rFonts w:asciiTheme="minorEastAsia" w:hAnsiTheme="minorEastAsia" w:eastAsiaTheme="minorEastAsia"/>
          <w:b/>
          <w:sz w:val="24"/>
          <w:lang w:val="en-GB"/>
        </w:rPr>
        <w:t>二</w:t>
      </w:r>
      <w:r>
        <w:rPr>
          <w:rFonts w:hint="eastAsia" w:asciiTheme="minorEastAsia" w:hAnsiTheme="minorEastAsia" w:eastAsiaTheme="minorEastAsia"/>
          <w:b/>
          <w:sz w:val="24"/>
          <w:lang w:val="en-GB"/>
        </w:rPr>
        <w:t>）</w:t>
      </w:r>
      <w:r>
        <w:rPr>
          <w:rFonts w:asciiTheme="minorEastAsia" w:hAnsiTheme="minorEastAsia" w:eastAsiaTheme="minorEastAsia"/>
          <w:b/>
          <w:sz w:val="24"/>
          <w:lang w:val="en-GB"/>
        </w:rPr>
        <w:t>建筑设计技术措施</w:t>
      </w:r>
    </w:p>
    <w:p>
      <w:pPr>
        <w:pBdr>
          <w:top w:val="single" w:color="auto" w:sz="4" w:space="5"/>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26"/>
        </w:numPr>
        <w:rPr>
          <w:rFonts w:asciiTheme="minorEastAsia" w:hAnsiTheme="minorEastAsia" w:eastAsiaTheme="minorEastAsia"/>
        </w:rPr>
      </w:pPr>
      <w:r>
        <w:rPr>
          <w:rFonts w:hint="eastAsia" w:asciiTheme="minorEastAsia" w:hAnsiTheme="minorEastAsia" w:eastAsiaTheme="minorEastAsia"/>
        </w:rPr>
        <w:t>建筑设计结合场地自然条件和建筑功能需求进行节能设计，建筑节能设计满足</w:t>
      </w:r>
      <w:r>
        <w:rPr>
          <w:rFonts w:asciiTheme="minorEastAsia" w:hAnsiTheme="minorEastAsia" w:eastAsiaTheme="minorEastAsia"/>
        </w:rPr>
        <w:t>现行国家和</w:t>
      </w:r>
      <w:r>
        <w:rPr>
          <w:rFonts w:hint="eastAsia" w:asciiTheme="minorEastAsia" w:hAnsiTheme="minorEastAsia" w:eastAsiaTheme="minorEastAsia"/>
        </w:rPr>
        <w:t>浙江省</w:t>
      </w:r>
      <w:r>
        <w:rPr>
          <w:rFonts w:asciiTheme="minorEastAsia" w:hAnsiTheme="minorEastAsia" w:eastAsiaTheme="minorEastAsia"/>
        </w:rPr>
        <w:t>建筑节能设计标准的要求</w:t>
      </w:r>
      <w:r>
        <w:rPr>
          <w:rFonts w:hint="eastAsia" w:asciiTheme="minorEastAsia" w:hAnsiTheme="minorEastAsia" w:eastAsiaTheme="minorEastAsia"/>
        </w:rPr>
        <w:t>。</w:t>
      </w:r>
    </w:p>
    <w:p>
      <w:pPr>
        <w:pStyle w:val="90"/>
        <w:numPr>
          <w:ilvl w:val="0"/>
          <w:numId w:val="26"/>
        </w:numPr>
        <w:ind w:left="430" w:hanging="430"/>
        <w:rPr>
          <w:rFonts w:asciiTheme="minorEastAsia" w:hAnsiTheme="minorEastAsia" w:eastAsiaTheme="minorEastAsia"/>
        </w:rPr>
      </w:pPr>
      <w:r>
        <w:rPr>
          <w:rFonts w:hint="eastAsia" w:asciiTheme="minorEastAsia" w:hAnsiTheme="minorEastAsia" w:eastAsiaTheme="minorEastAsia"/>
        </w:rPr>
        <w:t>屋顶和外墙隔热性能满足现行国家标准《民用建筑热工设计规范》</w:t>
      </w:r>
      <w:r>
        <w:rPr>
          <w:rFonts w:asciiTheme="minorEastAsia" w:hAnsiTheme="minorEastAsia" w:eastAsiaTheme="minorEastAsia"/>
        </w:rPr>
        <w:t xml:space="preserve">GB 50176 </w:t>
      </w:r>
      <w:r>
        <w:rPr>
          <w:rFonts w:hint="eastAsia" w:asciiTheme="minorEastAsia" w:hAnsiTheme="minorEastAsia" w:eastAsiaTheme="minorEastAsia"/>
        </w:rPr>
        <w:t>的要求。</w:t>
      </w:r>
    </w:p>
    <w:p>
      <w:pPr>
        <w:pStyle w:val="90"/>
        <w:numPr>
          <w:ilvl w:val="0"/>
          <w:numId w:val="26"/>
        </w:numPr>
        <w:ind w:left="430" w:hanging="430"/>
        <w:rPr>
          <w:rFonts w:asciiTheme="minorEastAsia" w:hAnsiTheme="minorEastAsia" w:eastAsiaTheme="minorEastAsia"/>
        </w:rPr>
      </w:pPr>
      <w:r>
        <w:rPr>
          <w:rFonts w:hint="eastAsia" w:asciiTheme="minorEastAsia" w:hAnsiTheme="minorEastAsia" w:eastAsiaTheme="minorEastAsia"/>
        </w:rPr>
        <w:t>建筑造型要素简约，无大量装饰性构件。</w:t>
      </w:r>
    </w:p>
    <w:p>
      <w:pPr>
        <w:pStyle w:val="90"/>
        <w:numPr>
          <w:ilvl w:val="0"/>
          <w:numId w:val="26"/>
        </w:numPr>
        <w:ind w:left="430" w:hanging="430"/>
        <w:rPr>
          <w:rFonts w:asciiTheme="minorEastAsia" w:hAnsiTheme="minorEastAsia" w:eastAsiaTheme="minorEastAsia"/>
        </w:rPr>
      </w:pPr>
      <w:r>
        <w:rPr>
          <w:rFonts w:hint="eastAsia" w:asciiTheme="minorEastAsia" w:hAnsiTheme="minorEastAsia" w:eastAsiaTheme="minorEastAsia"/>
        </w:rPr>
        <w:t>主要功能房间的室内噪声级和围护结构的隔声性能应满足现行国家标准《民用建筑隔声设计规范》GB</w:t>
      </w:r>
      <w:r>
        <w:rPr>
          <w:rFonts w:asciiTheme="minorEastAsia" w:hAnsiTheme="minorEastAsia" w:eastAsiaTheme="minorEastAsia"/>
        </w:rPr>
        <w:t xml:space="preserve"> </w:t>
      </w:r>
      <w:r>
        <w:rPr>
          <w:rFonts w:hint="eastAsia" w:asciiTheme="minorEastAsia" w:hAnsiTheme="minorEastAsia" w:eastAsiaTheme="minorEastAsia"/>
        </w:rPr>
        <w:t>50118中的低限要求。</w:t>
      </w:r>
    </w:p>
    <w:p>
      <w:pPr>
        <w:pStyle w:val="90"/>
        <w:numPr>
          <w:ilvl w:val="0"/>
          <w:numId w:val="26"/>
        </w:numPr>
        <w:ind w:left="430" w:hanging="430"/>
        <w:rPr>
          <w:rFonts w:asciiTheme="minorEastAsia" w:hAnsiTheme="minorEastAsia" w:eastAsiaTheme="minorEastAsia"/>
        </w:rPr>
      </w:pPr>
      <w:r>
        <w:rPr>
          <w:rFonts w:hint="eastAsia" w:asciiTheme="minorEastAsia" w:hAnsiTheme="minorEastAsia" w:eastAsiaTheme="minorEastAsia"/>
        </w:rPr>
        <w:t>建筑室内设置便于识别和使用的标示系统，特别部位有安全防护的警示和引导标示系统。</w:t>
      </w:r>
    </w:p>
    <w:p>
      <w:pPr>
        <w:pStyle w:val="90"/>
        <w:numPr>
          <w:ilvl w:val="0"/>
          <w:numId w:val="26"/>
        </w:numPr>
        <w:ind w:left="430" w:hanging="430"/>
        <w:rPr>
          <w:rFonts w:asciiTheme="minorEastAsia" w:hAnsiTheme="minorEastAsia" w:eastAsiaTheme="minorEastAsia"/>
        </w:rPr>
      </w:pPr>
      <w:r>
        <w:rPr>
          <w:rFonts w:hint="eastAsia" w:asciiTheme="minorEastAsia" w:hAnsiTheme="minorEastAsia" w:eastAsiaTheme="minorEastAsia"/>
        </w:rPr>
        <w:t>走廊、疏散通道等通行空间满足紧急疏散、应急救护等要求，且保持畅通。</w:t>
      </w:r>
    </w:p>
    <w:p>
      <w:pPr>
        <w:pStyle w:val="90"/>
        <w:numPr>
          <w:ilvl w:val="0"/>
          <w:numId w:val="26"/>
        </w:numPr>
        <w:ind w:left="430" w:hanging="430"/>
        <w:rPr>
          <w:rFonts w:asciiTheme="minorEastAsia" w:hAnsiTheme="minorEastAsia" w:eastAsiaTheme="minorEastAsia"/>
        </w:rPr>
      </w:pPr>
      <w:r>
        <w:rPr>
          <w:rFonts w:hint="eastAsia" w:asciiTheme="minorEastAsia" w:hAnsiTheme="minorEastAsia" w:eastAsiaTheme="minorEastAsia"/>
        </w:rPr>
        <w:t>控制建筑工程中建筑材料和装修材料产生的室内环境污染，严禁使用苯、工业苯、石油苯、重质苯及混苯作为稀释剂和溶剂；室内空气中的氨、甲醛、苯、甲苯、二甲苯、总挥发性有机物、氡等污染物浓度满足现行国家标准《民用建筑工程室内环境污染控制标准》GB</w:t>
      </w:r>
      <w:r>
        <w:rPr>
          <w:rFonts w:asciiTheme="minorEastAsia" w:hAnsiTheme="minorEastAsia" w:eastAsiaTheme="minorEastAsia"/>
        </w:rPr>
        <w:t xml:space="preserve"> </w:t>
      </w:r>
      <w:r>
        <w:rPr>
          <w:rFonts w:hint="eastAsia" w:asciiTheme="minorEastAsia" w:hAnsiTheme="minorEastAsia" w:eastAsiaTheme="minorEastAsia"/>
        </w:rPr>
        <w:t>50325和是《室内空气质量标准》GB/T</w:t>
      </w:r>
      <w:r>
        <w:rPr>
          <w:rFonts w:asciiTheme="minorEastAsia" w:hAnsiTheme="minorEastAsia" w:eastAsiaTheme="minorEastAsia"/>
        </w:rPr>
        <w:t xml:space="preserve"> </w:t>
      </w:r>
      <w:r>
        <w:rPr>
          <w:rFonts w:hint="eastAsia" w:asciiTheme="minorEastAsia" w:hAnsiTheme="minorEastAsia" w:eastAsiaTheme="minorEastAsia"/>
        </w:rPr>
        <w:t>18883的有关规定。建筑室内和建筑主要出入口的醒目位置设置禁烟标志。</w:t>
      </w:r>
    </w:p>
    <w:p>
      <w:pPr>
        <w:pStyle w:val="90"/>
        <w:ind w:left="422"/>
        <w:jc w:val="both"/>
        <w:rPr>
          <w:rFonts w:asciiTheme="minorEastAsia" w:hAnsiTheme="minorEastAsia" w:eastAsiaTheme="minorEastAsia"/>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27"/>
        </w:numPr>
        <w:jc w:val="both"/>
        <w:rPr>
          <w:rFonts w:asciiTheme="minorEastAsia" w:hAnsiTheme="minorEastAsia" w:eastAsiaTheme="minorEastAsia"/>
          <w:b/>
          <w:bCs/>
        </w:rPr>
      </w:pPr>
      <w:r>
        <w:rPr>
          <w:rFonts w:hint="eastAsia" w:asciiTheme="minorEastAsia" w:hAnsiTheme="minorEastAsia" w:eastAsiaTheme="minorEastAsia"/>
          <w:b/>
          <w:bCs/>
        </w:rPr>
        <w:t>建筑的</w:t>
      </w:r>
      <w:r>
        <w:rPr>
          <w:rFonts w:asciiTheme="minorEastAsia" w:hAnsiTheme="minorEastAsia" w:eastAsiaTheme="minorEastAsia"/>
          <w:b/>
          <w:bCs/>
        </w:rPr>
        <w:t>空间</w:t>
      </w:r>
      <w:r>
        <w:rPr>
          <w:rFonts w:hint="eastAsia" w:asciiTheme="minorEastAsia" w:hAnsiTheme="minorEastAsia" w:eastAsiaTheme="minorEastAsia"/>
          <w:b/>
          <w:bCs/>
        </w:rPr>
        <w:t>布局与使用功能：</w:t>
      </w:r>
    </w:p>
    <w:p>
      <w:pPr>
        <w:pStyle w:val="88"/>
        <w:rPr>
          <w:rFonts w:asciiTheme="minorEastAsia" w:hAnsiTheme="minorEastAsia" w:eastAsiaTheme="minorEastAsia"/>
        </w:rPr>
      </w:pPr>
      <w:r>
        <w:rPr>
          <w:rFonts w:hint="eastAsia" w:asciiTheme="minorEastAsia" w:hAnsiTheme="minorEastAsia" w:eastAsiaTheme="minorEastAsia"/>
        </w:rPr>
        <w:t>建筑空间布局合理，充分考虑建筑使用功能、使用人数和使用方式等变化的预期需求，选择适宜的空间尺度：□是；□否。</w:t>
      </w:r>
    </w:p>
    <w:p>
      <w:pPr>
        <w:pStyle w:val="88"/>
        <w:jc w:val="both"/>
        <w:rPr>
          <w:rFonts w:asciiTheme="minorEastAsia" w:hAnsiTheme="minorEastAsia" w:eastAsiaTheme="minorEastAsia"/>
        </w:rPr>
      </w:pPr>
      <w:r>
        <w:rPr>
          <w:rFonts w:hint="eastAsia" w:asciiTheme="minorEastAsia" w:hAnsiTheme="minorEastAsia" w:eastAsiaTheme="minorEastAsia"/>
        </w:rPr>
        <w:t>在建筑入口附近设置过渡空间：</w:t>
      </w:r>
      <w:r>
        <w:rPr>
          <w:rFonts w:asciiTheme="minorEastAsia" w:hAnsiTheme="minorEastAsia" w:eastAsiaTheme="minorEastAsia"/>
        </w:rPr>
        <w:t xml:space="preserve"> </w:t>
      </w:r>
      <w:r>
        <w:rPr>
          <w:rFonts w:hint="eastAsia" w:asciiTheme="minorEastAsia" w:hAnsiTheme="minorEastAsia" w:eastAsiaTheme="minorEastAsia"/>
        </w:rPr>
        <w:t>□是，空间类型和位置：_______________________；□否。</w:t>
      </w:r>
    </w:p>
    <w:p>
      <w:pPr>
        <w:pStyle w:val="88"/>
        <w:jc w:val="both"/>
        <w:rPr>
          <w:rFonts w:asciiTheme="minorEastAsia" w:hAnsiTheme="minorEastAsia" w:eastAsiaTheme="minorEastAsia"/>
        </w:rPr>
      </w:pPr>
      <w:r>
        <w:rPr>
          <w:rFonts w:hint="eastAsia" w:asciiTheme="minorEastAsia" w:hAnsiTheme="minorEastAsia" w:eastAsiaTheme="minorEastAsia"/>
        </w:rPr>
        <w:t>建筑的主出入口、门厅附近（距离主出入口15m以内）设置便于日常使用的楼梯，楼梯间具有天然采光和良好的视野：□是；□否。</w:t>
      </w:r>
    </w:p>
    <w:p>
      <w:pPr>
        <w:pStyle w:val="88"/>
        <w:jc w:val="both"/>
        <w:rPr>
          <w:rFonts w:asciiTheme="minorEastAsia" w:hAnsiTheme="minorEastAsia" w:eastAsiaTheme="minorEastAsia"/>
        </w:rPr>
      </w:pPr>
      <w:r>
        <w:rPr>
          <w:rFonts w:hint="eastAsia" w:asciiTheme="minorEastAsia" w:hAnsiTheme="minorEastAsia" w:eastAsiaTheme="minorEastAsia"/>
        </w:rPr>
        <w:t>室内健身空间面积不少于地上建筑面积的0.3％且不少于60m²：□是；□未涉及。</w:t>
      </w:r>
    </w:p>
    <w:p>
      <w:pPr>
        <w:pStyle w:val="88"/>
        <w:jc w:val="both"/>
        <w:rPr>
          <w:rFonts w:asciiTheme="minorEastAsia" w:hAnsiTheme="minorEastAsia" w:eastAsiaTheme="minorEastAsia"/>
        </w:rPr>
      </w:pPr>
      <w:r>
        <w:rPr>
          <w:rFonts w:hint="eastAsia" w:asciiTheme="minorEastAsia" w:hAnsiTheme="minorEastAsia" w:eastAsiaTheme="minorEastAsia"/>
        </w:rPr>
        <w:t>配套设置公共淋浴、更衣设施。□是；□未涉及。</w:t>
      </w:r>
    </w:p>
    <w:p>
      <w:pPr>
        <w:pStyle w:val="88"/>
        <w:jc w:val="both"/>
        <w:rPr>
          <w:rFonts w:asciiTheme="minorEastAsia" w:hAnsiTheme="minorEastAsia" w:eastAsiaTheme="minorEastAsia"/>
        </w:rPr>
      </w:pPr>
      <w:r>
        <w:rPr>
          <w:rFonts w:hint="eastAsia" w:asciiTheme="minorEastAsia" w:hAnsiTheme="minorEastAsia" w:eastAsiaTheme="minorEastAsia"/>
        </w:rPr>
        <w:t>建筑空间采用大开间区域可变功能的设计：□是，设置部位：_____________________________；□未涉及。</w:t>
      </w:r>
    </w:p>
    <w:p>
      <w:pPr>
        <w:pStyle w:val="88"/>
        <w:jc w:val="both"/>
        <w:rPr>
          <w:rFonts w:asciiTheme="minorEastAsia" w:hAnsiTheme="minorEastAsia" w:eastAsiaTheme="minorEastAsia"/>
        </w:rPr>
      </w:pPr>
      <w:r>
        <w:rPr>
          <w:rFonts w:hint="eastAsia" w:asciiTheme="minorEastAsia" w:hAnsiTheme="minorEastAsia" w:eastAsiaTheme="minorEastAsia"/>
        </w:rPr>
        <w:t>有噪声、振动、电磁辐射和空气污染的房间远离有安静要求、人员长期居住或工作的房间及场所：</w:t>
      </w:r>
    </w:p>
    <w:p>
      <w:pPr>
        <w:pStyle w:val="88"/>
        <w:numPr>
          <w:ilvl w:val="0"/>
          <w:numId w:val="0"/>
        </w:numPr>
        <w:ind w:left="992"/>
        <w:jc w:val="both"/>
        <w:rPr>
          <w:rFonts w:asciiTheme="minorEastAsia" w:hAnsiTheme="minorEastAsia" w:eastAsiaTheme="minorEastAsia"/>
        </w:rPr>
      </w:pPr>
      <w:r>
        <w:rPr>
          <w:rFonts w:hint="eastAsia" w:asciiTheme="minorEastAsia" w:hAnsiTheme="minorEastAsia" w:eastAsiaTheme="minorEastAsia"/>
        </w:rPr>
        <w:t>□是；□否，受条件限制而相邻设置时，采取的防护措施：_____________________________。</w:t>
      </w:r>
    </w:p>
    <w:p>
      <w:pPr>
        <w:pStyle w:val="87"/>
        <w:jc w:val="both"/>
        <w:rPr>
          <w:rFonts w:asciiTheme="minorEastAsia" w:hAnsiTheme="minorEastAsia" w:eastAsiaTheme="minorEastAsia"/>
          <w:b/>
          <w:bCs/>
        </w:rPr>
      </w:pPr>
      <w:r>
        <w:rPr>
          <w:rFonts w:hint="eastAsia" w:asciiTheme="minorEastAsia" w:hAnsiTheme="minorEastAsia" w:eastAsiaTheme="minorEastAsia"/>
          <w:b/>
          <w:bCs/>
        </w:rPr>
        <w:t>建筑节能：</w:t>
      </w:r>
    </w:p>
    <w:p>
      <w:pPr>
        <w:pStyle w:val="88"/>
        <w:numPr>
          <w:ilvl w:val="1"/>
          <w:numId w:val="28"/>
        </w:numPr>
        <w:jc w:val="both"/>
        <w:rPr>
          <w:rFonts w:asciiTheme="minorEastAsia" w:hAnsiTheme="minorEastAsia" w:eastAsiaTheme="minorEastAsia"/>
          <w:b/>
        </w:rPr>
      </w:pPr>
      <w:r>
        <w:rPr>
          <w:rFonts w:hint="eastAsia" w:asciiTheme="minorEastAsia" w:hAnsiTheme="minorEastAsia" w:eastAsiaTheme="minorEastAsia"/>
          <w:b/>
        </w:rPr>
        <w:t>建筑朝向与体形：</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主体</w:t>
      </w:r>
      <w:r>
        <w:rPr>
          <w:rFonts w:asciiTheme="minorEastAsia" w:hAnsiTheme="minorEastAsia" w:eastAsiaTheme="minorEastAsia"/>
        </w:rPr>
        <w:t>建筑朝向</w:t>
      </w:r>
      <w:r>
        <w:rPr>
          <w:rFonts w:hint="eastAsia" w:asciiTheme="minorEastAsia" w:hAnsiTheme="minorEastAsia" w:eastAsiaTheme="minorEastAsia"/>
        </w:rPr>
        <w:t>：______________；</w:t>
      </w:r>
      <w:r>
        <w:rPr>
          <w:rFonts w:asciiTheme="minorEastAsia" w:hAnsiTheme="minorEastAsia" w:eastAsiaTheme="minorEastAsia"/>
        </w:rPr>
        <w:t>在南偏东30°至南偏西15°范围</w:t>
      </w:r>
      <w:r>
        <w:rPr>
          <w:rFonts w:hint="eastAsia" w:asciiTheme="minorEastAsia" w:hAnsiTheme="minorEastAsia" w:eastAsiaTheme="minorEastAsia"/>
        </w:rPr>
        <w:t>内：□是； □否。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不利朝向采取的补偿措施：</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□将次要房间放在西面或北面，减少北向房间的进深；</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□控制大面积玻璃幕墙的使用，减小窗墙比；</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□其它措施：______________。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建筑</w:t>
      </w:r>
      <w:r>
        <w:rPr>
          <w:rFonts w:asciiTheme="minorEastAsia" w:hAnsiTheme="minorEastAsia" w:eastAsiaTheme="minorEastAsia"/>
        </w:rPr>
        <w:t>体形</w:t>
      </w:r>
      <w:r>
        <w:rPr>
          <w:rFonts w:hint="eastAsia" w:asciiTheme="minorEastAsia" w:hAnsiTheme="minorEastAsia" w:eastAsiaTheme="minorEastAsia"/>
        </w:rPr>
        <w:t>系数：______________。</w:t>
      </w:r>
      <w:r>
        <w:rPr>
          <w:rFonts w:hint="eastAsia" w:asciiTheme="minorEastAsia" w:hAnsiTheme="minorEastAsia" w:eastAsiaTheme="minorEastAsia"/>
          <w:i/>
        </w:rPr>
        <w:t>（群组建筑填写范围）</w:t>
      </w:r>
    </w:p>
    <w:p>
      <w:pPr>
        <w:pStyle w:val="88"/>
        <w:numPr>
          <w:ilvl w:val="1"/>
          <w:numId w:val="28"/>
        </w:numPr>
        <w:jc w:val="both"/>
        <w:rPr>
          <w:rFonts w:asciiTheme="minorEastAsia" w:hAnsiTheme="minorEastAsia" w:eastAsiaTheme="minorEastAsia"/>
          <w:b/>
        </w:rPr>
      </w:pPr>
      <w:r>
        <w:rPr>
          <w:rFonts w:hint="eastAsia" w:asciiTheme="minorEastAsia" w:hAnsiTheme="minorEastAsia" w:eastAsiaTheme="minorEastAsia"/>
          <w:b/>
        </w:rPr>
        <w:t>围护结构设计：</w:t>
      </w:r>
      <w:r>
        <w:rPr>
          <w:rFonts w:asciiTheme="minorEastAsia" w:hAnsiTheme="minorEastAsia" w:eastAsiaTheme="minorEastAsia"/>
          <w:b/>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围护结构热工性能提高方式：</w:t>
      </w:r>
      <w:r>
        <w:rPr>
          <w:rFonts w:hint="eastAsia" w:asciiTheme="minorEastAsia" w:hAnsiTheme="minorEastAsia" w:eastAsiaTheme="minorEastAsia"/>
          <w:i/>
        </w:rPr>
        <w:t>（二选一）</w:t>
      </w:r>
    </w:p>
    <w:p>
      <w:pPr>
        <w:pStyle w:val="89"/>
        <w:numPr>
          <w:ilvl w:val="2"/>
          <w:numId w:val="0"/>
        </w:numPr>
        <w:spacing w:line="400" w:lineRule="exact"/>
        <w:ind w:left="425" w:firstLine="630" w:firstLineChars="3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采用围护结构热工性能提高，比例达到：</w:t>
      </w:r>
      <w:r>
        <w:rPr>
          <w:rFonts w:asciiTheme="minorEastAsia" w:hAnsiTheme="minorEastAsia" w:eastAsiaTheme="minorEastAsia"/>
        </w:rPr>
        <w:t>□</w:t>
      </w:r>
      <w:r>
        <w:rPr>
          <w:rFonts w:hint="eastAsia" w:asciiTheme="minorEastAsia" w:hAnsiTheme="minorEastAsia" w:eastAsiaTheme="minorEastAsia"/>
        </w:rPr>
        <w:t>5%；</w:t>
      </w:r>
      <w:r>
        <w:rPr>
          <w:rFonts w:asciiTheme="minorEastAsia" w:hAnsiTheme="minorEastAsia" w:eastAsiaTheme="minorEastAsia"/>
        </w:rPr>
        <w:t>□</w:t>
      </w:r>
      <w:r>
        <w:rPr>
          <w:rFonts w:hint="eastAsia" w:asciiTheme="minorEastAsia" w:hAnsiTheme="minorEastAsia" w:eastAsiaTheme="minorEastAsia"/>
        </w:rPr>
        <w:t>10%；</w:t>
      </w:r>
      <w:r>
        <w:rPr>
          <w:rFonts w:asciiTheme="minorEastAsia" w:hAnsiTheme="minorEastAsia" w:eastAsiaTheme="minorEastAsia"/>
        </w:rPr>
        <w:t>□</w:t>
      </w:r>
      <w:r>
        <w:rPr>
          <w:rFonts w:hint="eastAsia" w:asciiTheme="minorEastAsia" w:hAnsiTheme="minorEastAsia" w:eastAsiaTheme="minorEastAsia"/>
        </w:rPr>
        <w:t>20%；</w:t>
      </w:r>
    </w:p>
    <w:p>
      <w:pPr>
        <w:pStyle w:val="89"/>
        <w:numPr>
          <w:ilvl w:val="2"/>
          <w:numId w:val="0"/>
        </w:numPr>
        <w:spacing w:line="400" w:lineRule="exact"/>
        <w:ind w:left="425" w:firstLine="630" w:firstLineChars="300"/>
      </w:pPr>
      <w:r>
        <w:rPr>
          <w:rFonts w:asciiTheme="minorEastAsia" w:hAnsiTheme="minorEastAsia" w:eastAsiaTheme="minorEastAsia"/>
        </w:rPr>
        <w:t>□</w:t>
      </w:r>
      <w:r>
        <w:rPr>
          <w:rFonts w:hint="eastAsia" w:asciiTheme="minorEastAsia" w:hAnsiTheme="minorEastAsia" w:eastAsiaTheme="minorEastAsia"/>
        </w:rPr>
        <w:t>采用降低建筑供暖空调负荷，比例达到：</w:t>
      </w:r>
      <w:r>
        <w:rPr>
          <w:rFonts w:asciiTheme="minorEastAsia" w:hAnsiTheme="minorEastAsia" w:eastAsiaTheme="minorEastAsia"/>
        </w:rPr>
        <w:t>□</w:t>
      </w:r>
      <w:r>
        <w:rPr>
          <w:rFonts w:hint="eastAsia" w:asciiTheme="minorEastAsia" w:hAnsiTheme="minorEastAsia" w:eastAsiaTheme="minorEastAsia"/>
        </w:rPr>
        <w:t>5%；</w:t>
      </w:r>
      <w:r>
        <w:rPr>
          <w:rFonts w:asciiTheme="minorEastAsia" w:hAnsiTheme="minorEastAsia" w:eastAsiaTheme="minorEastAsia"/>
        </w:rPr>
        <w:t>□</w:t>
      </w:r>
      <w:r>
        <w:rPr>
          <w:rFonts w:hint="eastAsia" w:asciiTheme="minorEastAsia" w:hAnsiTheme="minorEastAsia" w:eastAsiaTheme="minorEastAsia"/>
        </w:rPr>
        <w:t>10%；</w:t>
      </w:r>
      <w:r>
        <w:rPr>
          <w:rFonts w:asciiTheme="minorEastAsia" w:hAnsiTheme="minorEastAsia" w:eastAsiaTheme="minorEastAsia"/>
        </w:rPr>
        <w:t>□</w:t>
      </w:r>
      <w:r>
        <w:rPr>
          <w:rFonts w:hint="eastAsia" w:asciiTheme="minorEastAsia" w:hAnsiTheme="minorEastAsia" w:eastAsiaTheme="minorEastAsia"/>
        </w:rPr>
        <w:t>15%。</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整幢建筑总窗墙面积比不大于0.70：□是；□否，项目进行节能专项论证。</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甲类</w:t>
      </w:r>
      <w:r>
        <w:rPr>
          <w:rFonts w:asciiTheme="minorEastAsia" w:hAnsiTheme="minorEastAsia" w:eastAsiaTheme="minorEastAsia"/>
        </w:rPr>
        <w:t>公共建筑各</w:t>
      </w:r>
      <w:r>
        <w:rPr>
          <w:rFonts w:hint="eastAsia" w:asciiTheme="minorEastAsia" w:hAnsiTheme="minorEastAsia" w:eastAsiaTheme="minorEastAsia"/>
        </w:rPr>
        <w:t>单</w:t>
      </w:r>
      <w:r>
        <w:rPr>
          <w:rFonts w:asciiTheme="minorEastAsia" w:hAnsiTheme="minorEastAsia" w:eastAsiaTheme="minorEastAsia"/>
        </w:rPr>
        <w:t>一立面窗</w:t>
      </w:r>
      <w:r>
        <w:rPr>
          <w:rFonts w:hint="eastAsia" w:asciiTheme="minorEastAsia" w:hAnsiTheme="minorEastAsia" w:eastAsiaTheme="minorEastAsia"/>
        </w:rPr>
        <w:t>墙</w:t>
      </w:r>
      <w:r>
        <w:rPr>
          <w:rFonts w:asciiTheme="minorEastAsia" w:hAnsiTheme="minorEastAsia" w:eastAsiaTheme="minorEastAsia"/>
        </w:rPr>
        <w:t>面</w:t>
      </w:r>
      <w:r>
        <w:rPr>
          <w:rFonts w:hint="eastAsia" w:asciiTheme="minorEastAsia" w:hAnsiTheme="minorEastAsia" w:eastAsiaTheme="minorEastAsia"/>
        </w:rPr>
        <w:t>积</w:t>
      </w:r>
      <w:r>
        <w:rPr>
          <w:rFonts w:asciiTheme="minorEastAsia" w:hAnsiTheme="minorEastAsia" w:eastAsiaTheme="minorEastAsia"/>
        </w:rPr>
        <w:t>比（包括</w:t>
      </w:r>
      <w:r>
        <w:rPr>
          <w:rFonts w:hint="eastAsia" w:asciiTheme="minorEastAsia" w:hAnsiTheme="minorEastAsia" w:eastAsiaTheme="minorEastAsia"/>
        </w:rPr>
        <w:t>透光幕墙</w:t>
      </w:r>
      <w:r>
        <w:rPr>
          <w:rFonts w:asciiTheme="minorEastAsia" w:hAnsiTheme="minorEastAsia" w:eastAsiaTheme="minorEastAsia"/>
        </w:rPr>
        <w:t>）</w:t>
      </w:r>
      <w:r>
        <w:rPr>
          <w:rFonts w:hint="eastAsia" w:asciiTheme="minorEastAsia" w:hAnsiTheme="minorEastAsia" w:eastAsiaTheme="minorEastAsia"/>
        </w:rPr>
        <w:t>均不大于</w:t>
      </w:r>
      <w:r>
        <w:rPr>
          <w:rFonts w:asciiTheme="minorEastAsia" w:hAnsiTheme="minorEastAsia" w:eastAsiaTheme="minorEastAsia"/>
        </w:rPr>
        <w:t>0.70</w:t>
      </w:r>
      <w:r>
        <w:rPr>
          <w:rFonts w:hint="eastAsia" w:asciiTheme="minorEastAsia" w:hAnsiTheme="minorEastAsia" w:eastAsiaTheme="minorEastAsia"/>
        </w:rPr>
        <w:t>：□是； □否。</w:t>
      </w:r>
    </w:p>
    <w:p>
      <w:pPr>
        <w:pStyle w:val="89"/>
        <w:spacing w:line="400" w:lineRule="exact"/>
        <w:ind w:left="992" w:leftChars="0" w:hanging="567" w:firstLineChars="0"/>
        <w:rPr>
          <w:rFonts w:asciiTheme="minorEastAsia" w:hAnsiTheme="minorEastAsia" w:eastAsiaTheme="minorEastAsia"/>
        </w:rPr>
      </w:pPr>
      <w:r>
        <w:rPr>
          <w:rFonts w:hint="eastAsia"/>
        </w:rPr>
        <w:t>外窗（包括透光幕墙）玻璃采用：□中空玻璃；□双腔中空玻璃（三玻两腔）；□LOW-E玻璃。</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建筑外门窗安装牢固，其气密性、水密性和抗风压性能符合国家现行有关标准的规定。建筑外门窗的气密性分级符合现行国家标准《建筑幕墙、门窗通用技术条件》GB/T 31433、《建筑外窗气密、水密、抗风压性能检测方法》 GB/T 7106中的相关规定。建筑外窗的气密性等级设计描述：____________________。建筑外窗水密性和抗风压性能要求：_____________________。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外窗框与外墙之间缝隙采用高效保温材料填充，并用密封材料嵌缝。填充材料为：____________________；密封材料为：_________________。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金属窗框和明框幕墙型材采用隔断热桥措施：□是；□否。</w:t>
      </w:r>
    </w:p>
    <w:p>
      <w:pPr>
        <w:pStyle w:val="89"/>
      </w:pPr>
      <w:r>
        <w:rPr>
          <w:rFonts w:hint="eastAsia"/>
        </w:rPr>
        <w:t>外窗选用取得“建筑门窗节能性能标识”认证的产品，且外窗使用地区与标识推荐的适宜地区一致：</w:t>
      </w:r>
    </w:p>
    <w:p>
      <w:pPr>
        <w:pStyle w:val="89"/>
        <w:numPr>
          <w:ilvl w:val="0"/>
          <w:numId w:val="0"/>
        </w:numPr>
        <w:ind w:left="1050"/>
      </w:pPr>
      <w:r>
        <w:rPr>
          <w:rFonts w:hint="eastAsia"/>
        </w:rPr>
        <w:t>□是；□否。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除常规保温隔热设计措施外，本项目屋面和东西向外墙采取以下强化隔热设计措施：</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□屋顶保温隔热构造采取适宜地域性的技术措施；□建筑节能和结构一体化技术；</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 xml:space="preserve">□种植屋面； </w:t>
      </w:r>
      <w:r>
        <w:rPr>
          <w:rFonts w:asciiTheme="minorEastAsia" w:hAnsiTheme="minorEastAsia" w:eastAsiaTheme="minorEastAsia"/>
        </w:rPr>
        <w:t xml:space="preserve">   </w:t>
      </w:r>
      <w:r>
        <w:rPr>
          <w:rFonts w:hint="eastAsia" w:asciiTheme="minorEastAsia" w:hAnsiTheme="minorEastAsia" w:eastAsiaTheme="minorEastAsia"/>
        </w:rPr>
        <w:t>□蓄水屋面； □通风屋面； □屋面遮阳措施；</w:t>
      </w:r>
      <w:r>
        <w:rPr>
          <w:rFonts w:asciiTheme="minorEastAsia" w:hAnsiTheme="minorEastAsia" w:eastAsiaTheme="minorEastAsia"/>
        </w:rPr>
        <w:t xml:space="preserve"> </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□外墙遮阳措施；□垂直绿化； □通风间层</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 xml:space="preserve">□反射隔热涂料：□屋面，□墙体； </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 xml:space="preserve">□浅色饰面材料：□屋面，□墙体； </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□其它：______________。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屋顶绿化面积、太阳能板水平投影面积、屋面设备占用面积以及采用太阳辐射反射系数不小于0.4的屋面面积，合计达到______________％。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人员进出频繁的公共建筑主要出入口采用：</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□双道门；□旋转门；□设置风幕；□未设置以上措施。</w:t>
      </w:r>
    </w:p>
    <w:p>
      <w:pPr>
        <w:pStyle w:val="88"/>
        <w:ind w:left="842" w:hanging="422"/>
        <w:jc w:val="both"/>
        <w:rPr>
          <w:rFonts w:asciiTheme="minorEastAsia" w:hAnsiTheme="minorEastAsia" w:eastAsiaTheme="minorEastAsia"/>
          <w:b/>
        </w:rPr>
      </w:pPr>
      <w:r>
        <w:rPr>
          <w:rFonts w:hint="eastAsia" w:asciiTheme="minorEastAsia" w:hAnsiTheme="minorEastAsia" w:eastAsiaTheme="minorEastAsia"/>
          <w:b/>
        </w:rPr>
        <w:t>遮阳设计：</w:t>
      </w:r>
      <w:r>
        <w:rPr>
          <w:rFonts w:asciiTheme="minorEastAsia" w:hAnsiTheme="minorEastAsia" w:eastAsiaTheme="minorEastAsia"/>
          <w:b/>
        </w:rPr>
        <w:t xml:space="preserve"> </w:t>
      </w:r>
    </w:p>
    <w:p>
      <w:pPr>
        <w:pStyle w:val="89"/>
        <w:spacing w:line="400" w:lineRule="exact"/>
        <w:ind w:left="992" w:leftChars="0" w:hanging="567" w:firstLineChars="0"/>
        <w:rPr>
          <w:rFonts w:asciiTheme="minorEastAsia" w:hAnsiTheme="minorEastAsia" w:eastAsiaTheme="minorEastAsia"/>
        </w:rPr>
      </w:pPr>
      <w:r>
        <w:rPr>
          <w:rFonts w:asciiTheme="minorEastAsia" w:hAnsiTheme="minorEastAsia" w:eastAsiaTheme="minorEastAsia"/>
        </w:rPr>
        <w:t>主要功能房间</w:t>
      </w:r>
      <w:r>
        <w:rPr>
          <w:rFonts w:hint="eastAsia" w:asciiTheme="minorEastAsia" w:hAnsiTheme="minorEastAsia" w:eastAsiaTheme="minorEastAsia"/>
        </w:rPr>
        <w:t>的</w:t>
      </w:r>
      <w:r>
        <w:rPr>
          <w:rFonts w:asciiTheme="minorEastAsia" w:hAnsiTheme="minorEastAsia" w:eastAsiaTheme="minorEastAsia"/>
        </w:rPr>
        <w:t>外窗</w:t>
      </w:r>
      <w:r>
        <w:rPr>
          <w:rFonts w:hint="eastAsia" w:asciiTheme="minorEastAsia" w:hAnsiTheme="minorEastAsia" w:eastAsiaTheme="minorEastAsia"/>
        </w:rPr>
        <w:t>（</w:t>
      </w:r>
      <w:r>
        <w:rPr>
          <w:rFonts w:asciiTheme="minorEastAsia" w:hAnsiTheme="minorEastAsia" w:eastAsiaTheme="minorEastAsia"/>
        </w:rPr>
        <w:t>包括透光幕墙</w:t>
      </w:r>
      <w:r>
        <w:rPr>
          <w:rFonts w:hint="eastAsia" w:asciiTheme="minorEastAsia" w:hAnsiTheme="minorEastAsia" w:eastAsiaTheme="minorEastAsia"/>
        </w:rPr>
        <w:t>）除北向外，</w:t>
      </w:r>
      <w:r>
        <w:rPr>
          <w:rFonts w:asciiTheme="minorEastAsia" w:hAnsiTheme="minorEastAsia" w:eastAsiaTheme="minorEastAsia"/>
        </w:rPr>
        <w:t>均采取遮阳措施</w:t>
      </w:r>
      <w:r>
        <w:rPr>
          <w:rFonts w:hint="eastAsia" w:asciiTheme="minorEastAsia" w:hAnsiTheme="minorEastAsia" w:eastAsiaTheme="minorEastAsia"/>
        </w:rPr>
        <w:t>：</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□是：_____________________。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对建筑主要使用空间的夏季遮阳和冬季阳光利用进行综合分析，并根据具体情况对外窗（包括透光幕墙）选用以下措施：</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（1）东、西向设置：□中置遮阳；□可调节外遮阳；</w:t>
      </w:r>
      <w:r>
        <w:rPr>
          <w:rFonts w:hint="eastAsia"/>
        </w:rPr>
        <w:t>□固定外遮阳；</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2</w:t>
      </w:r>
      <w:r>
        <w:rPr>
          <w:rFonts w:hint="eastAsia" w:asciiTheme="minorEastAsia" w:hAnsiTheme="minorEastAsia" w:eastAsiaTheme="minorEastAsia"/>
        </w:rPr>
        <w:t>）南向设置：□水平外遮阳；□中置遮阳；□可调节外遮阳；</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（3）设置可调节遮阳设施的面积比例为：_______％；</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□＜25％； □≥25％； □≥</w:t>
      </w:r>
      <w:r>
        <w:rPr>
          <w:rFonts w:asciiTheme="minorEastAsia" w:hAnsiTheme="minorEastAsia" w:eastAsiaTheme="minorEastAsia"/>
        </w:rPr>
        <w:t>3</w:t>
      </w:r>
      <w:r>
        <w:rPr>
          <w:rFonts w:hint="eastAsia" w:asciiTheme="minorEastAsia" w:hAnsiTheme="minorEastAsia" w:eastAsiaTheme="minorEastAsia"/>
        </w:rPr>
        <w:t>5％；</w:t>
      </w:r>
      <w:r>
        <w:rPr>
          <w:rFonts w:asciiTheme="minorEastAsia" w:hAnsiTheme="minorEastAsia" w:eastAsiaTheme="minorEastAsia"/>
        </w:rPr>
        <w:t xml:space="preserve"> </w:t>
      </w:r>
      <w:r>
        <w:rPr>
          <w:rFonts w:hint="eastAsia" w:asciiTheme="minorEastAsia" w:hAnsiTheme="minorEastAsia" w:eastAsiaTheme="minorEastAsia"/>
        </w:rPr>
        <w:t>□≥</w:t>
      </w:r>
      <w:r>
        <w:rPr>
          <w:rFonts w:asciiTheme="minorEastAsia" w:hAnsiTheme="minorEastAsia" w:eastAsiaTheme="minorEastAsia"/>
        </w:rPr>
        <w:t>4</w:t>
      </w:r>
      <w:r>
        <w:rPr>
          <w:rFonts w:hint="eastAsia" w:asciiTheme="minorEastAsia" w:hAnsiTheme="minorEastAsia" w:eastAsiaTheme="minorEastAsia"/>
        </w:rPr>
        <w:t>5％； □≥</w:t>
      </w:r>
      <w:r>
        <w:rPr>
          <w:rFonts w:asciiTheme="minorEastAsia" w:hAnsiTheme="minorEastAsia" w:eastAsiaTheme="minorEastAsia"/>
        </w:rPr>
        <w:t>5</w:t>
      </w:r>
      <w:r>
        <w:rPr>
          <w:rFonts w:hint="eastAsia" w:asciiTheme="minorEastAsia" w:hAnsiTheme="minorEastAsia" w:eastAsiaTheme="minorEastAsia"/>
        </w:rPr>
        <w:t>5％。</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本项目设置天窗：□是，屋顶透光面积占屋面总面积比例：_______； □否。</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天窗可调节遮阳设施的形式：□可调节外遮阳；□可调节内遮阳；□其他可调节遮阳：_______。</w:t>
      </w:r>
    </w:p>
    <w:p>
      <w:pPr>
        <w:pStyle w:val="87"/>
        <w:jc w:val="both"/>
        <w:rPr>
          <w:rFonts w:asciiTheme="minorEastAsia" w:hAnsiTheme="minorEastAsia" w:eastAsiaTheme="minorEastAsia"/>
          <w:b/>
          <w:bCs/>
        </w:rPr>
      </w:pPr>
      <w:r>
        <w:rPr>
          <w:rFonts w:hint="eastAsia" w:asciiTheme="minorEastAsia" w:hAnsiTheme="minorEastAsia" w:eastAsiaTheme="minorEastAsia"/>
          <w:b/>
          <w:bCs/>
        </w:rPr>
        <w:t>空调与可再生能源：</w:t>
      </w:r>
    </w:p>
    <w:p>
      <w:pPr>
        <w:pStyle w:val="88"/>
        <w:numPr>
          <w:ilvl w:val="1"/>
          <w:numId w:val="29"/>
        </w:numPr>
        <w:rPr>
          <w:rFonts w:asciiTheme="minorEastAsia" w:hAnsiTheme="minorEastAsia" w:eastAsiaTheme="minorEastAsia"/>
          <w:b/>
          <w:bCs/>
        </w:rPr>
      </w:pPr>
      <w:r>
        <w:rPr>
          <w:rFonts w:hint="eastAsia" w:asciiTheme="minorEastAsia" w:hAnsiTheme="minorEastAsia" w:eastAsiaTheme="minorEastAsia"/>
          <w:b/>
          <w:bCs/>
        </w:rPr>
        <w:t>空调形式：</w:t>
      </w:r>
    </w:p>
    <w:p>
      <w:pPr>
        <w:pStyle w:val="92"/>
        <w:ind w:left="1050" w:hanging="210"/>
        <w:rPr>
          <w:rFonts w:asciiTheme="minorEastAsia" w:hAnsiTheme="minorEastAsia" w:eastAsiaTheme="minorEastAsia"/>
        </w:rPr>
      </w:pPr>
      <w:r>
        <w:rPr>
          <w:rFonts w:hint="eastAsia" w:asciiTheme="minorEastAsia" w:hAnsiTheme="minorEastAsia" w:eastAsiaTheme="minorEastAsia"/>
        </w:rPr>
        <w:t>□全部设置集中空调；□全部设置分体空调；</w:t>
      </w:r>
    </w:p>
    <w:p>
      <w:pPr>
        <w:pStyle w:val="92"/>
        <w:ind w:left="1050" w:hanging="210"/>
        <w:rPr>
          <w:rFonts w:asciiTheme="minorEastAsia" w:hAnsiTheme="minorEastAsia" w:eastAsiaTheme="minorEastAsia"/>
        </w:rPr>
      </w:pPr>
      <w:r>
        <w:rPr>
          <w:rFonts w:hint="eastAsia" w:asciiTheme="minorEastAsia" w:hAnsiTheme="minorEastAsia" w:eastAsiaTheme="minorEastAsia"/>
        </w:rPr>
        <w:t>□部分设置集中空调；□部分设置分体空调。</w:t>
      </w:r>
    </w:p>
    <w:p>
      <w:pPr>
        <w:pStyle w:val="88"/>
        <w:numPr>
          <w:ilvl w:val="1"/>
          <w:numId w:val="29"/>
        </w:numPr>
        <w:rPr>
          <w:rFonts w:asciiTheme="minorEastAsia" w:hAnsiTheme="minorEastAsia" w:eastAsiaTheme="minorEastAsia"/>
        </w:rPr>
      </w:pPr>
      <w:r>
        <w:rPr>
          <w:rFonts w:hint="eastAsia" w:asciiTheme="minorEastAsia" w:hAnsiTheme="minorEastAsia" w:eastAsiaTheme="minorEastAsia"/>
        </w:rPr>
        <w:t>空调外机设置安装距离满足</w:t>
      </w:r>
      <w:r>
        <w:rPr>
          <w:rFonts w:hint="eastAsia"/>
        </w:rPr>
        <w:t>《绿色建筑设计标准》</w:t>
      </w:r>
      <w:r>
        <w:rPr>
          <w:rFonts w:hint="eastAsia" w:asciiTheme="minorEastAsia" w:hAnsiTheme="minorEastAsia" w:eastAsiaTheme="minorEastAsia"/>
        </w:rPr>
        <w:t>DB</w:t>
      </w:r>
      <w:r>
        <w:rPr>
          <w:rFonts w:asciiTheme="minorEastAsia" w:hAnsiTheme="minorEastAsia" w:eastAsiaTheme="minorEastAsia"/>
        </w:rPr>
        <w:t xml:space="preserve"> </w:t>
      </w:r>
      <w:r>
        <w:rPr>
          <w:rFonts w:hint="eastAsia" w:asciiTheme="minorEastAsia" w:hAnsiTheme="minorEastAsia" w:eastAsiaTheme="minorEastAsia"/>
        </w:rPr>
        <w:t>33/1092-</w:t>
      </w:r>
      <w:r>
        <w:rPr>
          <w:rFonts w:asciiTheme="minorEastAsia" w:hAnsiTheme="minorEastAsia" w:eastAsiaTheme="minorEastAsia"/>
        </w:rPr>
        <w:t>2021</w:t>
      </w:r>
      <w:r>
        <w:rPr>
          <w:rFonts w:hint="eastAsia" w:asciiTheme="minorEastAsia" w:hAnsiTheme="minorEastAsia" w:eastAsiaTheme="minorEastAsia"/>
        </w:rPr>
        <w:t xml:space="preserve"> 表</w:t>
      </w:r>
      <w:r>
        <w:rPr>
          <w:rFonts w:asciiTheme="minorEastAsia" w:hAnsiTheme="minorEastAsia" w:eastAsiaTheme="minorEastAsia"/>
        </w:rPr>
        <w:t>B</w:t>
      </w:r>
      <w:r>
        <w:rPr>
          <w:rFonts w:hint="eastAsia" w:asciiTheme="minorEastAsia" w:hAnsiTheme="minorEastAsia" w:eastAsiaTheme="minorEastAsia"/>
        </w:rPr>
        <w:t>.0.1</w:t>
      </w:r>
      <w:r>
        <w:rPr>
          <w:rFonts w:asciiTheme="minorEastAsia" w:hAnsiTheme="minorEastAsia" w:eastAsiaTheme="minorEastAsia"/>
        </w:rPr>
        <w:t>-1</w:t>
      </w:r>
      <w:r>
        <w:rPr>
          <w:rFonts w:hint="eastAsia" w:asciiTheme="minorEastAsia" w:hAnsiTheme="minorEastAsia" w:eastAsiaTheme="minorEastAsia"/>
        </w:rPr>
        <w:t>中的要求：</w:t>
      </w:r>
    </w:p>
    <w:p>
      <w:pPr>
        <w:pStyle w:val="92"/>
        <w:ind w:left="1050" w:hanging="210"/>
        <w:rPr>
          <w:rFonts w:asciiTheme="minorEastAsia" w:hAnsiTheme="minorEastAsia" w:eastAsiaTheme="minorEastAsia"/>
        </w:rPr>
      </w:pPr>
      <w:r>
        <w:rPr>
          <w:rFonts w:hint="eastAsia" w:asciiTheme="minorEastAsia" w:hAnsiTheme="minorEastAsia" w:eastAsiaTheme="minorEastAsia"/>
        </w:rPr>
        <w:t>□是；□否。</w:t>
      </w:r>
    </w:p>
    <w:p>
      <w:pPr>
        <w:pStyle w:val="88"/>
        <w:numPr>
          <w:ilvl w:val="1"/>
          <w:numId w:val="29"/>
        </w:numPr>
        <w:rPr>
          <w:rFonts w:asciiTheme="minorEastAsia" w:hAnsiTheme="minorEastAsia" w:eastAsiaTheme="minorEastAsia"/>
        </w:rPr>
      </w:pPr>
      <w:r>
        <w:rPr>
          <w:rFonts w:hint="eastAsia" w:asciiTheme="minorEastAsia" w:hAnsiTheme="minorEastAsia" w:eastAsiaTheme="minorEastAsia"/>
        </w:rPr>
        <w:t>可再生能源设施与建筑一体化设计：</w:t>
      </w:r>
      <w:r>
        <w:rPr>
          <w:rFonts w:asciiTheme="minorEastAsia" w:hAnsiTheme="minorEastAsia" w:eastAsiaTheme="minorEastAsia"/>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□太阳能光热系统；设置位置：____________；土建设置要求：_______________；面积：________；</w:t>
      </w:r>
    </w:p>
    <w:p>
      <w:pPr>
        <w:pStyle w:val="92"/>
        <w:ind w:left="1050" w:hanging="210"/>
        <w:rPr>
          <w:rFonts w:asciiTheme="minorEastAsia" w:hAnsiTheme="minorEastAsia" w:eastAsiaTheme="minorEastAsia"/>
        </w:rPr>
      </w:pPr>
      <w:r>
        <w:rPr>
          <w:rFonts w:hint="eastAsia" w:asciiTheme="minorEastAsia" w:hAnsiTheme="minorEastAsia" w:eastAsiaTheme="minorEastAsia"/>
        </w:rPr>
        <w:t>□太阳能光电系统；设置位置：____________；土建设置要求：_______________；面积：________；</w:t>
      </w:r>
    </w:p>
    <w:p>
      <w:pPr>
        <w:pStyle w:val="92"/>
        <w:ind w:left="1050" w:hanging="210"/>
        <w:rPr>
          <w:rFonts w:asciiTheme="minorEastAsia" w:hAnsiTheme="minorEastAsia" w:eastAsiaTheme="minorEastAsia"/>
        </w:rPr>
      </w:pPr>
      <w:r>
        <w:rPr>
          <w:rFonts w:hint="eastAsia" w:asciiTheme="minorEastAsia" w:hAnsiTheme="minorEastAsia" w:eastAsiaTheme="minorEastAsia"/>
        </w:rPr>
        <w:t>□空气能热泵热水系统；设置位置：________；土建要求：_______________；面积：________；</w:t>
      </w:r>
    </w:p>
    <w:p>
      <w:pPr>
        <w:pStyle w:val="92"/>
        <w:ind w:left="1050" w:hanging="210"/>
        <w:rPr>
          <w:rFonts w:asciiTheme="minorEastAsia" w:hAnsiTheme="minorEastAsia" w:eastAsiaTheme="minorEastAsia"/>
        </w:rPr>
      </w:pPr>
      <w:r>
        <w:rPr>
          <w:rFonts w:hint="eastAsia" w:asciiTheme="minorEastAsia" w:hAnsiTheme="minorEastAsia" w:eastAsiaTheme="minorEastAsia"/>
        </w:rPr>
        <w:t>□其他：__________________；</w:t>
      </w:r>
    </w:p>
    <w:p>
      <w:pPr>
        <w:pStyle w:val="92"/>
        <w:ind w:left="1050" w:hanging="210"/>
        <w:rPr>
          <w:rFonts w:asciiTheme="minorEastAsia" w:hAnsiTheme="minorEastAsia" w:eastAsiaTheme="minorEastAsia"/>
        </w:rPr>
      </w:pPr>
      <w:r>
        <w:rPr>
          <w:rFonts w:hint="eastAsia" w:asciiTheme="minorEastAsia" w:hAnsiTheme="minorEastAsia" w:eastAsiaTheme="minorEastAsia"/>
        </w:rPr>
        <w:t>□未涉及, 说明原因：__________________。</w:t>
      </w:r>
    </w:p>
    <w:p>
      <w:pPr>
        <w:pStyle w:val="87"/>
        <w:jc w:val="both"/>
        <w:rPr>
          <w:rFonts w:asciiTheme="minorEastAsia" w:hAnsiTheme="minorEastAsia" w:eastAsiaTheme="minorEastAsia"/>
          <w:b/>
          <w:bCs/>
        </w:rPr>
      </w:pPr>
      <w:r>
        <w:rPr>
          <w:rFonts w:hint="eastAsia" w:asciiTheme="minorEastAsia" w:hAnsiTheme="minorEastAsia" w:eastAsiaTheme="minorEastAsia"/>
          <w:b/>
          <w:bCs/>
        </w:rPr>
        <w:t>建筑光环境设计：</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建筑外立面设计及选材未对周围环境产生光照污染，采用的外立面材料为：</w:t>
      </w:r>
    </w:p>
    <w:p>
      <w:pPr>
        <w:pStyle w:val="88"/>
        <w:numPr>
          <w:ilvl w:val="0"/>
          <w:numId w:val="0"/>
        </w:numPr>
        <w:ind w:left="851"/>
        <w:jc w:val="both"/>
        <w:rPr>
          <w:rFonts w:asciiTheme="minorEastAsia" w:hAnsiTheme="minorEastAsia" w:eastAsiaTheme="minorEastAsia"/>
        </w:rPr>
      </w:pPr>
      <w:r>
        <w:rPr>
          <w:rFonts w:hint="eastAsia" w:asciiTheme="minorEastAsia" w:hAnsiTheme="minorEastAsia" w:eastAsiaTheme="minorEastAsia"/>
        </w:rPr>
        <w:t>□涂料；□面砖；□石材幕墙；□漫反射金属材料幕墙；□反射比不大于</w:t>
      </w:r>
      <w:r>
        <w:rPr>
          <w:rFonts w:asciiTheme="minorEastAsia" w:hAnsiTheme="minorEastAsia" w:eastAsiaTheme="minorEastAsia"/>
        </w:rPr>
        <w:t>0.2</w:t>
      </w:r>
      <w:r>
        <w:rPr>
          <w:rFonts w:hint="eastAsia" w:asciiTheme="minorEastAsia" w:hAnsiTheme="minorEastAsia" w:eastAsiaTheme="minorEastAsia"/>
        </w:rPr>
        <w:t>的透光幕墙；□其他：________________。</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主要功能房间具有良好的户外视野，能通过外窗看到室外自然景观，无明显视线干扰：□是；□否。</w:t>
      </w:r>
      <w:r>
        <w:rPr>
          <w:rFonts w:asciiTheme="minorEastAsia" w:hAnsiTheme="minorEastAsia" w:eastAsiaTheme="minorEastAsia"/>
        </w:rPr>
        <w:t xml:space="preserve"> </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主要功能房间有合理的控制眩光措施：□是：_____________________；□否。</w:t>
      </w:r>
      <w:r>
        <w:rPr>
          <w:rFonts w:asciiTheme="minorEastAsia" w:hAnsiTheme="minorEastAsia" w:eastAsiaTheme="minorEastAsia"/>
        </w:rPr>
        <w:t xml:space="preserve"> </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外窗（包括玻璃幕墙）玻璃（或其它透光材料）的可见光透射比：□≥0.6；□≥0.4。</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内区采光系数满足采光要求的面积比例达到60％：□是；□否；□无内区，</w:t>
      </w:r>
      <w:r>
        <w:rPr>
          <w:rFonts w:asciiTheme="minorEastAsia" w:hAnsiTheme="minorEastAsia" w:eastAsiaTheme="minorEastAsia"/>
        </w:rPr>
        <w:t>未涉及</w:t>
      </w:r>
      <w:r>
        <w:rPr>
          <w:rFonts w:hint="eastAsia" w:asciiTheme="minorEastAsia" w:hAnsiTheme="minorEastAsia" w:eastAsiaTheme="minorEastAsia"/>
        </w:rPr>
        <w:t>；</w:t>
      </w:r>
      <w:r>
        <w:rPr>
          <w:rFonts w:asciiTheme="minorEastAsia" w:hAnsiTheme="minorEastAsia" w:eastAsiaTheme="minorEastAsia"/>
        </w:rPr>
        <w:t xml:space="preserve"> </w:t>
      </w:r>
    </w:p>
    <w:p>
      <w:pPr>
        <w:pStyle w:val="88"/>
        <w:numPr>
          <w:ilvl w:val="0"/>
          <w:numId w:val="0"/>
        </w:numPr>
        <w:ind w:left="851"/>
        <w:jc w:val="both"/>
        <w:rPr>
          <w:rFonts w:asciiTheme="minorEastAsia" w:hAnsiTheme="minorEastAsia" w:eastAsiaTheme="minorEastAsia"/>
        </w:rPr>
      </w:pPr>
      <w:r>
        <w:rPr>
          <w:rFonts w:hint="eastAsia" w:asciiTheme="minorEastAsia" w:hAnsiTheme="minorEastAsia" w:eastAsiaTheme="minorEastAsia"/>
        </w:rPr>
        <w:t>公共建筑主要功能空间室内采光系数标准值满足现行国家标准《建筑采光设计标准》GB</w:t>
      </w:r>
      <w:r>
        <w:rPr>
          <w:rFonts w:asciiTheme="minorEastAsia" w:hAnsiTheme="minorEastAsia" w:eastAsiaTheme="minorEastAsia"/>
        </w:rPr>
        <w:t xml:space="preserve"> </w:t>
      </w:r>
      <w:r>
        <w:rPr>
          <w:rFonts w:hint="eastAsia" w:asciiTheme="minorEastAsia" w:hAnsiTheme="minorEastAsia" w:eastAsiaTheme="minorEastAsia"/>
        </w:rPr>
        <w:t>50033的面积比例（R</w:t>
      </w:r>
      <w:r>
        <w:rPr>
          <w:rFonts w:asciiTheme="minorEastAsia" w:hAnsiTheme="minorEastAsia" w:eastAsiaTheme="minorEastAsia"/>
        </w:rPr>
        <w:t>a</w:t>
      </w:r>
      <w:r>
        <w:rPr>
          <w:rFonts w:hint="eastAsia" w:asciiTheme="minorEastAsia" w:hAnsiTheme="minorEastAsia" w:eastAsiaTheme="minorEastAsia"/>
        </w:rPr>
        <w:t>）达到：_______％；□60％≤R</w:t>
      </w:r>
      <w:r>
        <w:rPr>
          <w:rFonts w:asciiTheme="minorEastAsia" w:hAnsiTheme="minorEastAsia" w:eastAsiaTheme="minorEastAsia"/>
        </w:rPr>
        <w:t>a</w:t>
      </w:r>
      <w:r>
        <w:rPr>
          <w:rFonts w:hint="eastAsia" w:asciiTheme="minorEastAsia" w:hAnsiTheme="minorEastAsia" w:eastAsiaTheme="minorEastAsia"/>
        </w:rPr>
        <w:t>＜</w:t>
      </w:r>
      <w:r>
        <w:rPr>
          <w:rFonts w:asciiTheme="minorEastAsia" w:hAnsiTheme="minorEastAsia" w:eastAsiaTheme="minorEastAsia"/>
        </w:rPr>
        <w:t>7</w:t>
      </w:r>
      <w:r>
        <w:rPr>
          <w:rFonts w:hint="eastAsia" w:asciiTheme="minorEastAsia" w:hAnsiTheme="minorEastAsia" w:eastAsiaTheme="minorEastAsia"/>
        </w:rPr>
        <w:t>5％；□R</w:t>
      </w:r>
      <w:r>
        <w:rPr>
          <w:rFonts w:asciiTheme="minorEastAsia" w:hAnsiTheme="minorEastAsia" w:eastAsiaTheme="minorEastAsia"/>
        </w:rPr>
        <w:t>a</w:t>
      </w:r>
      <w:r>
        <w:rPr>
          <w:rFonts w:hint="eastAsia" w:asciiTheme="minorEastAsia" w:hAnsiTheme="minorEastAsia" w:eastAsiaTheme="minorEastAsia"/>
        </w:rPr>
        <w:t>≥</w:t>
      </w:r>
      <w:r>
        <w:rPr>
          <w:rFonts w:asciiTheme="minorEastAsia" w:hAnsiTheme="minorEastAsia" w:eastAsiaTheme="minorEastAsia"/>
        </w:rPr>
        <w:t>75</w:t>
      </w:r>
      <w:r>
        <w:rPr>
          <w:rFonts w:hint="eastAsia" w:asciiTheme="minorEastAsia" w:hAnsiTheme="minorEastAsia" w:eastAsiaTheme="minorEastAsia"/>
        </w:rPr>
        <w:t>％。</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地下空间设置天然采光：□是；□否；□无地下室</w:t>
      </w:r>
      <w:r>
        <w:rPr>
          <w:rFonts w:asciiTheme="minorEastAsia" w:hAnsiTheme="minorEastAsia" w:eastAsiaTheme="minorEastAsia"/>
        </w:rPr>
        <w:t>，</w:t>
      </w:r>
      <w:r>
        <w:rPr>
          <w:rFonts w:hint="eastAsia" w:asciiTheme="minorEastAsia" w:hAnsiTheme="minorEastAsia" w:eastAsiaTheme="minorEastAsia"/>
        </w:rPr>
        <w:t>未涉及。</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具体采光措施：□采光井；□采光天窗；□下沉广场；□半地下室；□反光板、散光板；□集光导光设备；□其他：__________________。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地下空间平均采光系数不小于0.5％的面积与首层地下室面积的比例达到1</w:t>
      </w:r>
      <w:r>
        <w:rPr>
          <w:rFonts w:asciiTheme="minorEastAsia" w:hAnsiTheme="minorEastAsia" w:eastAsiaTheme="minorEastAsia"/>
        </w:rPr>
        <w:t>0</w:t>
      </w:r>
      <w:r>
        <w:rPr>
          <w:rFonts w:hint="eastAsia" w:asciiTheme="minorEastAsia" w:hAnsiTheme="minorEastAsia" w:eastAsiaTheme="minorEastAsia"/>
        </w:rPr>
        <w:t xml:space="preserve">％：□是；□否。 </w:t>
      </w:r>
    </w:p>
    <w:p>
      <w:pPr>
        <w:pStyle w:val="87"/>
        <w:jc w:val="both"/>
        <w:rPr>
          <w:rFonts w:asciiTheme="minorEastAsia" w:hAnsiTheme="minorEastAsia" w:eastAsiaTheme="minorEastAsia"/>
          <w:b/>
          <w:bCs/>
        </w:rPr>
      </w:pPr>
      <w:r>
        <w:rPr>
          <w:rFonts w:hint="eastAsia" w:asciiTheme="minorEastAsia" w:hAnsiTheme="minorEastAsia" w:eastAsiaTheme="minorEastAsia"/>
          <w:b/>
          <w:bCs/>
        </w:rPr>
        <w:t>建筑风环境设计：</w:t>
      </w:r>
    </w:p>
    <w:p>
      <w:pPr>
        <w:pStyle w:val="88"/>
        <w:numPr>
          <w:ilvl w:val="1"/>
          <w:numId w:val="30"/>
        </w:numPr>
        <w:jc w:val="both"/>
        <w:rPr>
          <w:rFonts w:asciiTheme="minorEastAsia" w:hAnsiTheme="minorEastAsia" w:eastAsiaTheme="minorEastAsia"/>
          <w:b/>
          <w:bCs/>
        </w:rPr>
      </w:pPr>
      <w:r>
        <w:rPr>
          <w:rFonts w:hint="eastAsia" w:asciiTheme="minorEastAsia" w:hAnsiTheme="minorEastAsia" w:eastAsiaTheme="minorEastAsia"/>
          <w:b/>
          <w:bCs/>
        </w:rPr>
        <w:t>外窗（包括透光幕墙）：</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外窗的位置、方向和开启方式合理，考虑自然通风的要求：□是；□否。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外窗（包括透光幕墙）可开启面积控制要求：</w:t>
      </w:r>
    </w:p>
    <w:p>
      <w:pPr>
        <w:pStyle w:val="92"/>
        <w:ind w:left="1050" w:hanging="210"/>
        <w:rPr>
          <w:rFonts w:asciiTheme="minorEastAsia" w:hAnsiTheme="minorEastAsia" w:eastAsiaTheme="minorEastAsia"/>
        </w:rPr>
      </w:pPr>
      <w:r>
        <w:rPr>
          <w:rFonts w:hint="eastAsia" w:asciiTheme="minorEastAsia" w:hAnsiTheme="minorEastAsia" w:eastAsiaTheme="minorEastAsia"/>
        </w:rPr>
        <w:t>□甲类建筑，不小于所在房间外墙面积的10％：□是；□否；</w:t>
      </w:r>
    </w:p>
    <w:p>
      <w:pPr>
        <w:pStyle w:val="92"/>
        <w:ind w:left="1050" w:hanging="210"/>
        <w:rPr>
          <w:rFonts w:asciiTheme="minorEastAsia" w:hAnsiTheme="minorEastAsia" w:eastAsiaTheme="minorEastAsia"/>
        </w:rPr>
      </w:pPr>
      <w:r>
        <w:rPr>
          <w:rFonts w:hint="eastAsia" w:asciiTheme="minorEastAsia" w:hAnsiTheme="minorEastAsia" w:eastAsiaTheme="minorEastAsia"/>
        </w:rPr>
        <w:t>□乙类建筑，不小于外窗面积的</w:t>
      </w:r>
      <w:r>
        <w:rPr>
          <w:rFonts w:asciiTheme="minorEastAsia" w:hAnsiTheme="minorEastAsia" w:eastAsiaTheme="minorEastAsia"/>
        </w:rPr>
        <w:t>30％</w:t>
      </w:r>
      <w:r>
        <w:rPr>
          <w:rFonts w:hint="eastAsia" w:asciiTheme="minorEastAsia" w:hAnsiTheme="minorEastAsia" w:eastAsiaTheme="minorEastAsia"/>
        </w:rPr>
        <w:t>：□是；□否。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建筑1</w:t>
      </w:r>
      <w:r>
        <w:rPr>
          <w:rFonts w:asciiTheme="minorEastAsia" w:hAnsiTheme="minorEastAsia" w:eastAsiaTheme="minorEastAsia"/>
        </w:rPr>
        <w:t>8</w:t>
      </w:r>
      <w:r>
        <w:rPr>
          <w:rFonts w:hint="eastAsia" w:asciiTheme="minorEastAsia" w:hAnsiTheme="minorEastAsia" w:eastAsiaTheme="minorEastAsia"/>
        </w:rPr>
        <w:t>层以下的外窗可开启面积占外窗面积的比例：_______％；□≥30％：□≥35％。</w:t>
      </w:r>
      <w:r>
        <w:rPr>
          <w:rFonts w:asciiTheme="minorEastAsia" w:hAnsiTheme="minorEastAsia" w:eastAsiaTheme="minorEastAsia"/>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设计透光幕墙时，在每个独立空间设置可开启部分：□是；□否；</w:t>
      </w:r>
    </w:p>
    <w:p>
      <w:pPr>
        <w:pStyle w:val="92"/>
        <w:ind w:left="1050" w:hanging="210"/>
        <w:rPr>
          <w:rFonts w:asciiTheme="minorEastAsia" w:hAnsiTheme="minorEastAsia" w:eastAsiaTheme="minorEastAsia"/>
        </w:rPr>
      </w:pPr>
      <w:r>
        <w:rPr>
          <w:rFonts w:asciiTheme="minorEastAsia" w:hAnsiTheme="minorEastAsia" w:eastAsiaTheme="minorEastAsia"/>
        </w:rPr>
        <w:t>设置通风换气装置</w:t>
      </w:r>
      <w:r>
        <w:rPr>
          <w:rFonts w:hint="eastAsia" w:asciiTheme="minorEastAsia" w:hAnsiTheme="minorEastAsia" w:eastAsiaTheme="minorEastAsia"/>
        </w:rPr>
        <w:t>：□是；□否；</w:t>
      </w:r>
    </w:p>
    <w:p>
      <w:pPr>
        <w:pStyle w:val="92"/>
        <w:ind w:left="1050" w:hanging="210"/>
        <w:rPr>
          <w:rFonts w:asciiTheme="minorEastAsia" w:hAnsiTheme="minorEastAsia" w:eastAsiaTheme="minorEastAsia"/>
        </w:rPr>
      </w:pPr>
      <w:r>
        <w:rPr>
          <w:rFonts w:hint="eastAsia" w:asciiTheme="minorEastAsia" w:hAnsiTheme="minorEastAsia" w:eastAsiaTheme="minorEastAsia"/>
        </w:rPr>
        <w:t>可开启面积占透光幕墙面积的比例：_______％；□≥5％；□≥10％。</w:t>
      </w:r>
      <w:r>
        <w:rPr>
          <w:rFonts w:asciiTheme="minorEastAsia" w:hAnsiTheme="minorEastAsia" w:eastAsiaTheme="minorEastAsia"/>
        </w:rPr>
        <w:t xml:space="preserve"> </w:t>
      </w:r>
    </w:p>
    <w:p>
      <w:pPr>
        <w:pStyle w:val="88"/>
        <w:ind w:left="840" w:hanging="420"/>
        <w:jc w:val="both"/>
        <w:rPr>
          <w:rFonts w:asciiTheme="minorEastAsia" w:hAnsiTheme="minorEastAsia" w:eastAsiaTheme="minorEastAsia"/>
          <w:b/>
          <w:bCs/>
        </w:rPr>
      </w:pPr>
      <w:r>
        <w:rPr>
          <w:rFonts w:hint="eastAsia" w:asciiTheme="minorEastAsia" w:hAnsiTheme="minorEastAsia" w:eastAsiaTheme="minorEastAsia"/>
          <w:b/>
          <w:bCs/>
        </w:rPr>
        <w:t>地上房间自然通风设计：</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建筑内部采用下列措施加强自然通风：</w:t>
      </w:r>
      <w:r>
        <w:rPr>
          <w:rFonts w:asciiTheme="minorEastAsia" w:hAnsiTheme="minorEastAsia" w:eastAsiaTheme="minorEastAsia"/>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□采用导风墙；□捕风窗；□拔风井；□太阳能拔风；□无动力风帽；</w:t>
      </w:r>
    </w:p>
    <w:p>
      <w:pPr>
        <w:pStyle w:val="92"/>
        <w:ind w:left="1050" w:hanging="210"/>
        <w:rPr>
          <w:rFonts w:asciiTheme="minorEastAsia" w:hAnsiTheme="minorEastAsia" w:eastAsiaTheme="minorEastAsia"/>
        </w:rPr>
      </w:pPr>
      <w:r>
        <w:rPr>
          <w:rFonts w:hint="eastAsia" w:asciiTheme="minorEastAsia" w:hAnsiTheme="minorEastAsia" w:eastAsiaTheme="minorEastAsia"/>
        </w:rPr>
        <w:t>□设有中庭时，在其上部设置可开启窗；</w:t>
      </w:r>
    </w:p>
    <w:p>
      <w:pPr>
        <w:pStyle w:val="92"/>
        <w:ind w:left="1050" w:hanging="210"/>
        <w:rPr>
          <w:rFonts w:asciiTheme="minorEastAsia" w:hAnsiTheme="minorEastAsia" w:eastAsiaTheme="minorEastAsia"/>
        </w:rPr>
      </w:pPr>
      <w:r>
        <w:rPr>
          <w:rFonts w:hint="eastAsia" w:asciiTheme="minorEastAsia" w:hAnsiTheme="minorEastAsia" w:eastAsiaTheme="minorEastAsia"/>
        </w:rPr>
        <w:t>□当室外环境不利时，设置通风器，有组织地引导自然通风；通风器有方便灵活的开关调节装置；</w:t>
      </w:r>
    </w:p>
    <w:p>
      <w:pPr>
        <w:pStyle w:val="92"/>
        <w:ind w:left="1050" w:hanging="210"/>
        <w:rPr>
          <w:rFonts w:asciiTheme="minorEastAsia" w:hAnsiTheme="minorEastAsia" w:eastAsiaTheme="minorEastAsia"/>
        </w:rPr>
      </w:pPr>
      <w:r>
        <w:rPr>
          <w:rFonts w:hint="eastAsia" w:asciiTheme="minorEastAsia" w:hAnsiTheme="minorEastAsia" w:eastAsiaTheme="minorEastAsia"/>
        </w:rPr>
        <w:t>□未涉及。</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地下空间自然通风的加强措施：</w:t>
      </w:r>
      <w:r>
        <w:rPr>
          <w:rFonts w:asciiTheme="minorEastAsia" w:hAnsiTheme="minorEastAsia" w:eastAsiaTheme="minorEastAsia"/>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 xml:space="preserve">□设置可直接通风的半地下室； </w:t>
      </w:r>
      <w:r>
        <w:rPr>
          <w:rFonts w:asciiTheme="minorEastAsia" w:hAnsiTheme="minorEastAsia" w:eastAsiaTheme="minorEastAsia"/>
        </w:rPr>
        <w:t xml:space="preserve">  </w:t>
      </w:r>
      <w:r>
        <w:rPr>
          <w:rFonts w:hint="eastAsia" w:asciiTheme="minorEastAsia" w:hAnsiTheme="minorEastAsia" w:eastAsiaTheme="minorEastAsia"/>
        </w:rPr>
        <w:t>□设置可直接通风的下沉庭院（广场）；</w:t>
      </w:r>
    </w:p>
    <w:p>
      <w:pPr>
        <w:pStyle w:val="92"/>
        <w:ind w:left="1050" w:hanging="210"/>
        <w:rPr>
          <w:rFonts w:asciiTheme="minorEastAsia" w:hAnsiTheme="minorEastAsia" w:eastAsiaTheme="minorEastAsia"/>
        </w:rPr>
      </w:pPr>
      <w:r>
        <w:rPr>
          <w:rFonts w:hint="eastAsia" w:asciiTheme="minorEastAsia" w:hAnsiTheme="minorEastAsia" w:eastAsiaTheme="minorEastAsia"/>
        </w:rPr>
        <w:t xml:space="preserve">□设置通风井、窗井； </w:t>
      </w:r>
      <w:r>
        <w:rPr>
          <w:rFonts w:asciiTheme="minorEastAsia" w:hAnsiTheme="minorEastAsia" w:eastAsiaTheme="minorEastAsia"/>
        </w:rPr>
        <w:t xml:space="preserve">          </w:t>
      </w:r>
      <w:r>
        <w:rPr>
          <w:rFonts w:hint="eastAsia" w:asciiTheme="minorEastAsia" w:hAnsiTheme="minorEastAsia" w:eastAsiaTheme="minorEastAsia"/>
        </w:rPr>
        <w:t>□无地下室。</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公共建筑,在过渡季典型工况下,主要功能房间平均自然通风换气次数不小于2次/h的面积比例（R</w:t>
      </w:r>
      <w:r>
        <w:rPr>
          <w:rFonts w:asciiTheme="minorEastAsia" w:hAnsiTheme="minorEastAsia" w:eastAsiaTheme="minorEastAsia"/>
        </w:rPr>
        <w:t>w</w:t>
      </w:r>
      <w:r>
        <w:rPr>
          <w:rFonts w:hint="eastAsia" w:asciiTheme="minorEastAsia" w:hAnsiTheme="minorEastAsia" w:eastAsiaTheme="minorEastAsia"/>
        </w:rPr>
        <w:t>）达到：_______％；□70％≤R</w:t>
      </w:r>
      <w:r>
        <w:rPr>
          <w:rFonts w:asciiTheme="minorEastAsia" w:hAnsiTheme="minorEastAsia" w:eastAsiaTheme="minorEastAsia"/>
        </w:rPr>
        <w:t>w</w:t>
      </w:r>
      <w:r>
        <w:rPr>
          <w:rFonts w:hint="eastAsia" w:asciiTheme="minorEastAsia" w:hAnsiTheme="minorEastAsia" w:eastAsiaTheme="minorEastAsia"/>
        </w:rPr>
        <w:t>＜</w:t>
      </w:r>
      <w:r>
        <w:rPr>
          <w:rFonts w:asciiTheme="minorEastAsia" w:hAnsiTheme="minorEastAsia" w:eastAsiaTheme="minorEastAsia"/>
        </w:rPr>
        <w:t>80</w:t>
      </w:r>
      <w:r>
        <w:rPr>
          <w:rFonts w:hint="eastAsia" w:asciiTheme="minorEastAsia" w:hAnsiTheme="minorEastAsia" w:eastAsiaTheme="minorEastAsia"/>
        </w:rPr>
        <w:t>％；□</w:t>
      </w:r>
      <w:r>
        <w:rPr>
          <w:rFonts w:asciiTheme="minorEastAsia" w:hAnsiTheme="minorEastAsia" w:eastAsiaTheme="minorEastAsia"/>
        </w:rPr>
        <w:t>80</w:t>
      </w:r>
      <w:r>
        <w:rPr>
          <w:rFonts w:hint="eastAsia" w:asciiTheme="minorEastAsia" w:hAnsiTheme="minorEastAsia" w:eastAsiaTheme="minorEastAsia"/>
        </w:rPr>
        <w:t>％≤R</w:t>
      </w:r>
      <w:r>
        <w:rPr>
          <w:rFonts w:asciiTheme="minorEastAsia" w:hAnsiTheme="minorEastAsia" w:eastAsiaTheme="minorEastAsia"/>
        </w:rPr>
        <w:t>w</w:t>
      </w:r>
      <w:r>
        <w:rPr>
          <w:rFonts w:hint="eastAsia" w:asciiTheme="minorEastAsia" w:hAnsiTheme="minorEastAsia" w:eastAsiaTheme="minorEastAsia"/>
        </w:rPr>
        <w:t>＜</w:t>
      </w:r>
      <w:r>
        <w:rPr>
          <w:rFonts w:asciiTheme="minorEastAsia" w:hAnsiTheme="minorEastAsia" w:eastAsiaTheme="minorEastAsia"/>
        </w:rPr>
        <w:t>90</w:t>
      </w:r>
      <w:r>
        <w:rPr>
          <w:rFonts w:hint="eastAsia" w:asciiTheme="minorEastAsia" w:hAnsiTheme="minorEastAsia" w:eastAsiaTheme="minorEastAsia"/>
        </w:rPr>
        <w:t>％；□R</w:t>
      </w:r>
      <w:r>
        <w:rPr>
          <w:rFonts w:asciiTheme="minorEastAsia" w:hAnsiTheme="minorEastAsia" w:eastAsiaTheme="minorEastAsia"/>
        </w:rPr>
        <w:t>w</w:t>
      </w:r>
      <w:r>
        <w:rPr>
          <w:rFonts w:hint="eastAsia" w:asciiTheme="minorEastAsia" w:hAnsiTheme="minorEastAsia" w:eastAsiaTheme="minorEastAsia"/>
        </w:rPr>
        <w:t>≥</w:t>
      </w:r>
      <w:r>
        <w:rPr>
          <w:rFonts w:asciiTheme="minorEastAsia" w:hAnsiTheme="minorEastAsia" w:eastAsiaTheme="minorEastAsia"/>
        </w:rPr>
        <w:t>90</w:t>
      </w:r>
      <w:r>
        <w:rPr>
          <w:rFonts w:hint="eastAsia" w:asciiTheme="minorEastAsia" w:hAnsiTheme="minorEastAsia" w:eastAsiaTheme="minorEastAsia"/>
        </w:rPr>
        <w:t>％。</w:t>
      </w:r>
      <w:r>
        <w:rPr>
          <w:rFonts w:asciiTheme="minorEastAsia" w:hAnsiTheme="minorEastAsia" w:eastAsiaTheme="minorEastAsia"/>
        </w:rPr>
        <w:t xml:space="preserve"> </w:t>
      </w:r>
    </w:p>
    <w:p>
      <w:pPr>
        <w:pStyle w:val="87"/>
        <w:jc w:val="both"/>
        <w:rPr>
          <w:rFonts w:asciiTheme="minorEastAsia" w:hAnsiTheme="minorEastAsia" w:eastAsiaTheme="minorEastAsia"/>
          <w:b/>
          <w:bCs/>
        </w:rPr>
      </w:pPr>
      <w:r>
        <w:rPr>
          <w:rFonts w:hint="eastAsia" w:asciiTheme="minorEastAsia" w:hAnsiTheme="minorEastAsia" w:eastAsiaTheme="minorEastAsia"/>
          <w:b/>
          <w:bCs/>
        </w:rPr>
        <w:t>室内声环境设计：</w:t>
      </w:r>
    </w:p>
    <w:p>
      <w:pPr>
        <w:pStyle w:val="88"/>
        <w:numPr>
          <w:ilvl w:val="1"/>
          <w:numId w:val="31"/>
        </w:numPr>
        <w:jc w:val="both"/>
        <w:rPr>
          <w:rFonts w:asciiTheme="minorEastAsia" w:hAnsiTheme="minorEastAsia" w:eastAsiaTheme="minorEastAsia"/>
          <w:b/>
        </w:rPr>
      </w:pPr>
      <w:r>
        <w:rPr>
          <w:rFonts w:hint="eastAsia" w:asciiTheme="minorEastAsia" w:hAnsiTheme="minorEastAsia" w:eastAsiaTheme="minorEastAsia"/>
          <w:b/>
        </w:rPr>
        <w:t>声环境标准：</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主要功能房间室内噪声级达到现行国家标准《民用建筑隔声设计规范》GB</w:t>
      </w:r>
      <w:r>
        <w:rPr>
          <w:rFonts w:asciiTheme="minorEastAsia" w:hAnsiTheme="minorEastAsia" w:eastAsiaTheme="minorEastAsia"/>
        </w:rPr>
        <w:t xml:space="preserve"> </w:t>
      </w:r>
      <w:r>
        <w:rPr>
          <w:rFonts w:hint="eastAsia" w:asciiTheme="minorEastAsia" w:hAnsiTheme="minorEastAsia" w:eastAsiaTheme="minorEastAsia"/>
        </w:rPr>
        <w:t>50118中的：</w:t>
      </w:r>
    </w:p>
    <w:p>
      <w:pPr>
        <w:pStyle w:val="89"/>
        <w:numPr>
          <w:ilvl w:val="0"/>
          <w:numId w:val="0"/>
        </w:numPr>
        <w:ind w:left="210" w:leftChars="100" w:firstLine="840" w:firstLineChars="400"/>
        <w:rPr>
          <w:rFonts w:asciiTheme="minorEastAsia" w:hAnsiTheme="minorEastAsia" w:eastAsiaTheme="minorEastAsia"/>
        </w:rPr>
      </w:pPr>
      <w:r>
        <w:rPr>
          <w:rFonts w:hint="eastAsia" w:asciiTheme="minorEastAsia" w:hAnsiTheme="minorEastAsia" w:eastAsiaTheme="minorEastAsia"/>
        </w:rPr>
        <w:t>□低限标准限值；□低限标准限值和高要求标准限值的平均值；□高要求标准限值。</w:t>
      </w:r>
      <w:r>
        <w:rPr>
          <w:rFonts w:asciiTheme="minorEastAsia" w:hAnsiTheme="minorEastAsia" w:eastAsiaTheme="minorEastAsia"/>
        </w:rPr>
        <w:t xml:space="preserve"> </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主要功能房间的隔声性能：</w:t>
      </w:r>
    </w:p>
    <w:p>
      <w:pPr>
        <w:pStyle w:val="89"/>
        <w:numPr>
          <w:ilvl w:val="0"/>
          <w:numId w:val="0"/>
        </w:numPr>
        <w:ind w:left="851"/>
        <w:rPr>
          <w:rFonts w:asciiTheme="minorEastAsia" w:hAnsiTheme="minorEastAsia" w:eastAsiaTheme="minorEastAsia"/>
        </w:rPr>
      </w:pPr>
      <w:r>
        <w:rPr>
          <w:rFonts w:hint="eastAsia" w:asciiTheme="minorEastAsia" w:hAnsiTheme="minorEastAsia" w:eastAsiaTheme="minorEastAsia"/>
        </w:rPr>
        <w:t>（1）构件及相邻房间之间的空气声隔声性能达到现行国家标准《民用建筑隔声设计规范》GB</w:t>
      </w:r>
      <w:r>
        <w:rPr>
          <w:rFonts w:asciiTheme="minorEastAsia" w:hAnsiTheme="minorEastAsia" w:eastAsiaTheme="minorEastAsia"/>
        </w:rPr>
        <w:t xml:space="preserve"> </w:t>
      </w:r>
      <w:r>
        <w:rPr>
          <w:rFonts w:hint="eastAsia" w:asciiTheme="minorEastAsia" w:hAnsiTheme="minorEastAsia" w:eastAsiaTheme="minorEastAsia"/>
        </w:rPr>
        <w:t>50118中的：</w:t>
      </w:r>
    </w:p>
    <w:p>
      <w:pPr>
        <w:pStyle w:val="89"/>
        <w:numPr>
          <w:ilvl w:val="0"/>
          <w:numId w:val="0"/>
        </w:numPr>
        <w:ind w:left="1418"/>
        <w:rPr>
          <w:rFonts w:asciiTheme="minorEastAsia" w:hAnsiTheme="minorEastAsia" w:eastAsiaTheme="minorEastAsia"/>
        </w:rPr>
      </w:pPr>
      <w:r>
        <w:rPr>
          <w:rFonts w:hint="eastAsia" w:asciiTheme="minorEastAsia" w:hAnsiTheme="minorEastAsia" w:eastAsiaTheme="minorEastAsia"/>
        </w:rPr>
        <w:t>□低限标准限值；□低限标准限值和高要求标准限值的平均值；□高要求标准限值；</w:t>
      </w:r>
    </w:p>
    <w:p>
      <w:pPr>
        <w:pStyle w:val="89"/>
        <w:numPr>
          <w:ilvl w:val="0"/>
          <w:numId w:val="0"/>
        </w:numPr>
        <w:ind w:left="1418" w:hanging="567"/>
        <w:rPr>
          <w:rFonts w:asciiTheme="minorEastAsia" w:hAnsiTheme="minorEastAsia" w:eastAsiaTheme="minorEastAsia"/>
        </w:rPr>
      </w:pPr>
      <w:r>
        <w:rPr>
          <w:rFonts w:hint="eastAsia" w:asciiTheme="minorEastAsia" w:hAnsiTheme="minorEastAsia" w:eastAsiaTheme="minorEastAsia"/>
        </w:rPr>
        <w:t>（2）楼板的撞击声隔声性能达到现行国家标准《民用建筑隔声设计规范》GB</w:t>
      </w:r>
      <w:r>
        <w:rPr>
          <w:rFonts w:asciiTheme="minorEastAsia" w:hAnsiTheme="minorEastAsia" w:eastAsiaTheme="minorEastAsia"/>
        </w:rPr>
        <w:t xml:space="preserve"> </w:t>
      </w:r>
      <w:r>
        <w:rPr>
          <w:rFonts w:hint="eastAsia" w:asciiTheme="minorEastAsia" w:hAnsiTheme="minorEastAsia" w:eastAsiaTheme="minorEastAsia"/>
        </w:rPr>
        <w:t>50118中的：</w:t>
      </w:r>
    </w:p>
    <w:p>
      <w:pPr>
        <w:pStyle w:val="89"/>
        <w:numPr>
          <w:ilvl w:val="0"/>
          <w:numId w:val="0"/>
        </w:numPr>
        <w:ind w:left="1418"/>
        <w:rPr>
          <w:rFonts w:asciiTheme="minorEastAsia" w:hAnsiTheme="minorEastAsia" w:eastAsiaTheme="minorEastAsia"/>
        </w:rPr>
      </w:pPr>
      <w:r>
        <w:rPr>
          <w:rFonts w:hint="eastAsia" w:asciiTheme="minorEastAsia" w:hAnsiTheme="minorEastAsia" w:eastAsiaTheme="minorEastAsia"/>
        </w:rPr>
        <w:t>□低限标准限值；□低限标准限值和高要求标准限值的平均值；□高要求标准限值。</w:t>
      </w:r>
    </w:p>
    <w:p>
      <w:pPr>
        <w:pStyle w:val="88"/>
        <w:numPr>
          <w:ilvl w:val="1"/>
          <w:numId w:val="31"/>
        </w:numPr>
        <w:jc w:val="both"/>
        <w:rPr>
          <w:rFonts w:asciiTheme="minorEastAsia" w:hAnsiTheme="minorEastAsia" w:eastAsiaTheme="minorEastAsia"/>
          <w:b/>
        </w:rPr>
      </w:pPr>
      <w:r>
        <w:rPr>
          <w:rFonts w:hint="eastAsia" w:asciiTheme="minorEastAsia" w:hAnsiTheme="minorEastAsia" w:eastAsiaTheme="minorEastAsia"/>
          <w:b/>
        </w:rPr>
        <w:t>空间布局与技术措施：</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毗邻城市交通干道的建筑，加强外墙、外窗、外门隔声性能：□是；□否；</w:t>
      </w:r>
    </w:p>
    <w:p>
      <w:pPr>
        <w:pStyle w:val="88"/>
        <w:numPr>
          <w:ilvl w:val="0"/>
          <w:numId w:val="0"/>
        </w:numPr>
        <w:ind w:left="840"/>
        <w:jc w:val="both"/>
        <w:rPr>
          <w:rFonts w:asciiTheme="minorEastAsia" w:hAnsiTheme="minorEastAsia" w:eastAsiaTheme="minorEastAsia"/>
        </w:rPr>
      </w:pPr>
      <w:r>
        <w:rPr>
          <w:rFonts w:hint="eastAsia" w:asciiTheme="minorEastAsia" w:hAnsiTheme="minorEastAsia" w:eastAsiaTheme="minorEastAsia"/>
        </w:rPr>
        <w:t>利用设计手段阻隔交通噪声：□是；□否；□未涉及；</w:t>
      </w:r>
      <w:r>
        <w:rPr>
          <w:rFonts w:asciiTheme="minorEastAsia" w:hAnsiTheme="minorEastAsia" w:eastAsiaTheme="minorEastAsia"/>
        </w:rPr>
        <w:t xml:space="preserve"> </w:t>
      </w:r>
    </w:p>
    <w:p>
      <w:pPr>
        <w:pStyle w:val="88"/>
        <w:numPr>
          <w:ilvl w:val="0"/>
          <w:numId w:val="0"/>
        </w:numPr>
        <w:ind w:left="840"/>
        <w:jc w:val="both"/>
        <w:rPr>
          <w:rFonts w:asciiTheme="minorEastAsia" w:hAnsiTheme="minorEastAsia" w:eastAsiaTheme="minorEastAsia"/>
        </w:rPr>
      </w:pPr>
      <w:r>
        <w:rPr>
          <w:rFonts w:hint="eastAsia" w:asciiTheme="minorEastAsia" w:hAnsiTheme="minorEastAsia" w:eastAsiaTheme="minorEastAsia"/>
        </w:rPr>
        <w:t>具体措施：□采用墙体隔声和吸声构造；□采用高隔声性能的门窗；□其他：_______________。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根据声环境的不同要求对各类房间进行区域划分：□是；□否。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本项目中设有：□多功能厅、□接待大厅、□大型会议室、□其它有声学要求的重要房间，并且进行了满足功能要求的声学专项设计：□是；□否。</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本项目设有：□学校、□医院、□旅馆、□办公楼建筑的走廊及门厅等人员密集场所，或设有 □车站、□体育场馆、□商业中心等大型建筑的人员密集场所。设计采取吸声和隔声措施：□是；□否；具体措施为：□采用吸声吊顶；□墙体隔声及吸声构造；□楼板隔声；□其他：_______________。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产生较大噪声的设备机房等噪声源空间集中布置，并远离工作、休息等对声环境要求高的房间：</w:t>
      </w:r>
    </w:p>
    <w:p>
      <w:pPr>
        <w:pStyle w:val="92"/>
        <w:ind w:left="1050" w:hanging="210"/>
        <w:rPr>
          <w:rFonts w:asciiTheme="minorEastAsia" w:hAnsiTheme="minorEastAsia" w:eastAsiaTheme="minorEastAsia"/>
        </w:rPr>
      </w:pPr>
      <w:r>
        <w:rPr>
          <w:rFonts w:hint="eastAsia" w:asciiTheme="minorEastAsia" w:hAnsiTheme="minorEastAsia" w:eastAsiaTheme="minorEastAsia"/>
        </w:rPr>
        <w:t>□是；□否；受条件限制而紧邻布置时，采用有效的隔声和减振措施：_______________。</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噪声源的位置布局：</w:t>
      </w:r>
      <w:r>
        <w:rPr>
          <w:rFonts w:asciiTheme="minorEastAsia" w:hAnsiTheme="minorEastAsia" w:eastAsiaTheme="minorEastAsia"/>
        </w:rPr>
        <w:t xml:space="preserve"> </w:t>
      </w:r>
    </w:p>
    <w:p>
      <w:pPr>
        <w:pStyle w:val="92"/>
        <w:ind w:left="1050" w:hanging="210"/>
        <w:jc w:val="both"/>
        <w:rPr>
          <w:rFonts w:asciiTheme="minorEastAsia" w:hAnsiTheme="minorEastAsia" w:eastAsiaTheme="minorEastAsia"/>
        </w:rPr>
      </w:pPr>
      <w:r>
        <w:rPr>
          <w:rFonts w:hint="eastAsia" w:asciiTheme="minorEastAsia" w:hAnsiTheme="minorEastAsia" w:eastAsiaTheme="minorEastAsia"/>
        </w:rPr>
        <w:t>□将噪声源设置在地下；</w:t>
      </w:r>
    </w:p>
    <w:p>
      <w:pPr>
        <w:pStyle w:val="92"/>
        <w:ind w:left="1050" w:hanging="210"/>
        <w:jc w:val="both"/>
        <w:rPr>
          <w:rFonts w:asciiTheme="minorEastAsia" w:hAnsiTheme="minorEastAsia" w:eastAsiaTheme="minorEastAsia"/>
        </w:rPr>
      </w:pPr>
      <w:r>
        <w:rPr>
          <w:rFonts w:hint="eastAsia" w:asciiTheme="minorEastAsia" w:hAnsiTheme="minorEastAsia" w:eastAsiaTheme="minorEastAsia"/>
        </w:rPr>
        <w:t>□平面布置中，不将有噪声和振动的设备用房设在主要用房或有安静要求房间的直接上层或贴邻布置，当其设在同一楼层时，分区布置；</w:t>
      </w:r>
    </w:p>
    <w:p>
      <w:pPr>
        <w:pStyle w:val="92"/>
        <w:ind w:left="1050" w:hanging="210"/>
        <w:jc w:val="both"/>
        <w:rPr>
          <w:rFonts w:asciiTheme="minorEastAsia" w:hAnsiTheme="minorEastAsia" w:eastAsiaTheme="minorEastAsia"/>
        </w:rPr>
      </w:pPr>
      <w:r>
        <w:rPr>
          <w:rFonts w:hint="eastAsia" w:asciiTheme="minorEastAsia" w:hAnsiTheme="minorEastAsia" w:eastAsiaTheme="minorEastAsia"/>
        </w:rPr>
        <w:t>□产生噪声的洗手间等辅助用房集中布置，上下层对齐。</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产生较大噪声的设备机房、电梯井道、管井等噪声源空间的设计：</w:t>
      </w:r>
      <w:r>
        <w:rPr>
          <w:rFonts w:asciiTheme="minorEastAsia" w:hAnsiTheme="minorEastAsia" w:eastAsiaTheme="minorEastAsia"/>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□噪声源空间的门不直接开向有安静要求的使用空间；</w:t>
      </w:r>
    </w:p>
    <w:p>
      <w:pPr>
        <w:pStyle w:val="92"/>
        <w:ind w:left="1050" w:hanging="210"/>
        <w:rPr>
          <w:rFonts w:asciiTheme="minorEastAsia" w:hAnsiTheme="minorEastAsia" w:eastAsiaTheme="minorEastAsia"/>
        </w:rPr>
      </w:pPr>
      <w:r>
        <w:rPr>
          <w:rFonts w:hint="eastAsia" w:asciiTheme="minorEastAsia" w:hAnsiTheme="minorEastAsia" w:eastAsiaTheme="minorEastAsia"/>
        </w:rPr>
        <w:t>□噪声源空间与有安静要求的空间之间的墙体和楼板，做隔声处理，门窗选用隔声门窗；</w:t>
      </w:r>
    </w:p>
    <w:p>
      <w:pPr>
        <w:pStyle w:val="92"/>
        <w:ind w:left="1050" w:hanging="210"/>
        <w:rPr>
          <w:rFonts w:asciiTheme="minorEastAsia" w:hAnsiTheme="minorEastAsia" w:eastAsiaTheme="minorEastAsia"/>
        </w:rPr>
      </w:pPr>
      <w:r>
        <w:rPr>
          <w:rFonts w:hint="eastAsia" w:asciiTheme="minorEastAsia" w:hAnsiTheme="minorEastAsia" w:eastAsiaTheme="minorEastAsia"/>
        </w:rPr>
        <w:t>□噪声源空间的墙面及顶棚做吸声和隔声处理；具体措施：___________；</w:t>
      </w:r>
    </w:p>
    <w:p>
      <w:pPr>
        <w:pStyle w:val="92"/>
        <w:ind w:left="1050" w:hanging="210"/>
        <w:rPr>
          <w:rFonts w:asciiTheme="minorEastAsia" w:hAnsiTheme="minorEastAsia" w:eastAsiaTheme="minorEastAsia"/>
        </w:rPr>
      </w:pPr>
      <w:r>
        <w:rPr>
          <w:rFonts w:hint="eastAsia" w:asciiTheme="minorEastAsia" w:hAnsiTheme="minorEastAsia" w:eastAsiaTheme="minorEastAsia"/>
        </w:rPr>
        <w:t>□未涉及。</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空调机房、通风机房、发电机房、水泵房、电梯机房等产生噪声的设备用房及电梯井道、设备管道，采取下列吸声和隔声措施：</w:t>
      </w:r>
      <w:r>
        <w:rPr>
          <w:rFonts w:asciiTheme="minorEastAsia" w:hAnsiTheme="minorEastAsia" w:eastAsiaTheme="minorEastAsia"/>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□选用低噪声设备，设备、管道采用有效的减振、隔振、消声措施。对产生振动的设备基础采取隔振措施；</w:t>
      </w:r>
    </w:p>
    <w:p>
      <w:pPr>
        <w:pStyle w:val="92"/>
        <w:ind w:left="1050" w:hanging="210"/>
        <w:rPr>
          <w:rFonts w:asciiTheme="minorEastAsia" w:hAnsiTheme="minorEastAsia" w:eastAsiaTheme="minorEastAsia"/>
        </w:rPr>
      </w:pPr>
      <w:r>
        <w:rPr>
          <w:rFonts w:hint="eastAsia" w:asciiTheme="minorEastAsia" w:hAnsiTheme="minorEastAsia" w:eastAsiaTheme="minorEastAsia"/>
        </w:rPr>
        <w:t>□机房安装隔声门、窗，机房墙面和吊顶安装吸声材料；</w:t>
      </w:r>
    </w:p>
    <w:p>
      <w:pPr>
        <w:pStyle w:val="92"/>
        <w:ind w:left="1050" w:hanging="210"/>
        <w:rPr>
          <w:rFonts w:asciiTheme="minorEastAsia" w:hAnsiTheme="minorEastAsia" w:eastAsiaTheme="minorEastAsia"/>
        </w:rPr>
      </w:pPr>
      <w:r>
        <w:rPr>
          <w:rFonts w:hint="eastAsia" w:asciiTheme="minorEastAsia" w:hAnsiTheme="minorEastAsia" w:eastAsiaTheme="minorEastAsia"/>
        </w:rPr>
        <w:t>□冷水机组和水泵等设备基础建成浮筑式声阻断基础，或采用隔振支架、隔振橡胶垫等隔振措施；</w:t>
      </w:r>
    </w:p>
    <w:p>
      <w:pPr>
        <w:pStyle w:val="92"/>
        <w:ind w:left="1050" w:hanging="210"/>
        <w:rPr>
          <w:rFonts w:asciiTheme="minorEastAsia" w:hAnsiTheme="minorEastAsia" w:eastAsiaTheme="minorEastAsia"/>
        </w:rPr>
      </w:pPr>
      <w:r>
        <w:rPr>
          <w:rFonts w:hint="eastAsia" w:asciiTheme="minorEastAsia" w:hAnsiTheme="minorEastAsia" w:eastAsiaTheme="minorEastAsia"/>
        </w:rPr>
        <w:t>□冷却塔采用隔振支撑，出风口安装消声器，并采用遮蔽措施；</w:t>
      </w:r>
    </w:p>
    <w:p>
      <w:pPr>
        <w:pStyle w:val="92"/>
        <w:ind w:left="1050" w:hanging="210"/>
        <w:rPr>
          <w:rFonts w:asciiTheme="minorEastAsia" w:hAnsiTheme="minorEastAsia" w:eastAsiaTheme="minorEastAsia"/>
        </w:rPr>
      </w:pPr>
      <w:r>
        <w:rPr>
          <w:rFonts w:hint="eastAsia" w:asciiTheme="minorEastAsia" w:hAnsiTheme="minorEastAsia" w:eastAsiaTheme="minorEastAsia"/>
        </w:rPr>
        <w:t>□风机和吊顶风柜的送、回风口安装消声器；</w:t>
      </w:r>
    </w:p>
    <w:p>
      <w:pPr>
        <w:pStyle w:val="92"/>
        <w:ind w:left="1050" w:hanging="210"/>
        <w:rPr>
          <w:rFonts w:asciiTheme="minorEastAsia" w:hAnsiTheme="minorEastAsia" w:eastAsiaTheme="minorEastAsia"/>
        </w:rPr>
      </w:pPr>
      <w:r>
        <w:rPr>
          <w:rFonts w:hint="eastAsia" w:asciiTheme="minorEastAsia" w:hAnsiTheme="minorEastAsia" w:eastAsiaTheme="minorEastAsia"/>
        </w:rPr>
        <w:t>□风道与水管采用消声风道、消声弯头、消声器、消声软管等方式控制透射噪声，采用隔振吊架、隔振支撑、软接头等进行连接部位的连接）；</w:t>
      </w:r>
    </w:p>
    <w:p>
      <w:pPr>
        <w:pStyle w:val="92"/>
        <w:ind w:left="1050" w:hanging="210"/>
        <w:rPr>
          <w:rFonts w:asciiTheme="minorEastAsia" w:hAnsiTheme="minorEastAsia" w:eastAsiaTheme="minorEastAsia"/>
        </w:rPr>
      </w:pPr>
      <w:r>
        <w:rPr>
          <w:rFonts w:hint="eastAsia" w:asciiTheme="minorEastAsia" w:hAnsiTheme="minorEastAsia" w:eastAsiaTheme="minorEastAsia"/>
        </w:rPr>
        <w:t>□电梯设备采取减振措施；具体措施：____________；</w:t>
      </w:r>
    </w:p>
    <w:p>
      <w:pPr>
        <w:pStyle w:val="92"/>
        <w:ind w:left="1050" w:hanging="210"/>
        <w:rPr>
          <w:rFonts w:asciiTheme="minorEastAsia" w:hAnsiTheme="minorEastAsia" w:eastAsiaTheme="minorEastAsia"/>
        </w:rPr>
      </w:pPr>
      <w:r>
        <w:rPr>
          <w:rFonts w:hint="eastAsia" w:asciiTheme="minorEastAsia" w:hAnsiTheme="minorEastAsia" w:eastAsiaTheme="minorEastAsia"/>
        </w:rPr>
        <w:t>□未涉及。</w:t>
      </w:r>
    </w:p>
    <w:p>
      <w:pPr>
        <w:pStyle w:val="89"/>
        <w:spacing w:line="400" w:lineRule="exact"/>
        <w:ind w:left="992" w:leftChars="0" w:hanging="567" w:firstLineChars="0"/>
        <w:rPr>
          <w:rFonts w:asciiTheme="minorEastAsia" w:hAnsiTheme="minorEastAsia" w:eastAsiaTheme="minorEastAsia"/>
        </w:rPr>
      </w:pPr>
      <w:r>
        <w:rPr>
          <w:rFonts w:hint="eastAsia" w:asciiTheme="minorEastAsia" w:hAnsiTheme="minorEastAsia" w:eastAsiaTheme="minorEastAsia"/>
        </w:rPr>
        <w:t>建筑采用轻型屋盖时，屋面采用铺设阻尼材料、设置吊顶等措施防止雨噪声：□是；□否。</w:t>
      </w:r>
    </w:p>
    <w:p>
      <w:pPr>
        <w:pStyle w:val="87"/>
        <w:jc w:val="both"/>
        <w:rPr>
          <w:rFonts w:asciiTheme="minorEastAsia" w:hAnsiTheme="minorEastAsia" w:eastAsiaTheme="minorEastAsia"/>
          <w:b/>
          <w:bCs/>
        </w:rPr>
      </w:pPr>
      <w:r>
        <w:rPr>
          <w:rFonts w:asciiTheme="minorEastAsia" w:hAnsiTheme="minorEastAsia" w:eastAsiaTheme="minorEastAsia"/>
          <w:b/>
          <w:bCs/>
        </w:rPr>
        <w:t>室内空气质量</w:t>
      </w:r>
      <w:r>
        <w:rPr>
          <w:rFonts w:hint="eastAsia" w:asciiTheme="minorEastAsia" w:hAnsiTheme="minorEastAsia" w:eastAsiaTheme="minorEastAsia"/>
          <w:b/>
          <w:bCs/>
        </w:rPr>
        <w:t>主要控制措施：</w:t>
      </w:r>
    </w:p>
    <w:p>
      <w:pPr>
        <w:pStyle w:val="88"/>
        <w:ind w:left="840" w:hanging="420"/>
        <w:rPr>
          <w:rFonts w:asciiTheme="minorEastAsia" w:hAnsiTheme="minorEastAsia" w:eastAsiaTheme="minorEastAsia"/>
        </w:rPr>
      </w:pPr>
      <w:r>
        <w:rPr>
          <w:rFonts w:hint="eastAsia" w:asciiTheme="minorEastAsia" w:hAnsiTheme="minorEastAsia" w:eastAsiaTheme="minorEastAsia"/>
        </w:rPr>
        <w:t>建筑室内和主要出入口的醒目位置设置禁烟标志：□是，位置：________________。</w:t>
      </w:r>
    </w:p>
    <w:p>
      <w:pPr>
        <w:pStyle w:val="88"/>
        <w:ind w:left="840" w:hanging="420"/>
        <w:jc w:val="both"/>
        <w:rPr>
          <w:rFonts w:asciiTheme="minorEastAsia" w:hAnsiTheme="minorEastAsia" w:eastAsiaTheme="minorEastAsia"/>
        </w:rPr>
      </w:pPr>
      <w:r>
        <w:rPr>
          <w:rFonts w:asciiTheme="minorEastAsia" w:hAnsiTheme="minorEastAsia" w:eastAsiaTheme="minorEastAsia"/>
        </w:rPr>
        <w:t>室内装饰装修材料</w:t>
      </w:r>
      <w:r>
        <w:rPr>
          <w:rFonts w:hint="eastAsia" w:asciiTheme="minorEastAsia" w:hAnsiTheme="minorEastAsia" w:eastAsiaTheme="minorEastAsia"/>
        </w:rPr>
        <w:t>及</w:t>
      </w:r>
      <w:r>
        <w:rPr>
          <w:rFonts w:asciiTheme="minorEastAsia" w:hAnsiTheme="minorEastAsia" w:eastAsiaTheme="minorEastAsia"/>
        </w:rPr>
        <w:t>材料中</w:t>
      </w:r>
      <w:r>
        <w:rPr>
          <w:rFonts w:hint="eastAsia" w:asciiTheme="minorEastAsia" w:hAnsiTheme="minorEastAsia" w:eastAsiaTheme="minorEastAsia"/>
        </w:rPr>
        <w:t>氨、甲醛、苯、甲苯、二甲苯、VOC、氡</w:t>
      </w:r>
      <w:r>
        <w:rPr>
          <w:rFonts w:asciiTheme="minorEastAsia" w:hAnsiTheme="minorEastAsia" w:eastAsiaTheme="minorEastAsia"/>
        </w:rPr>
        <w:t>等有害物质限量符合现行国家标准室内装饰装修材料有害物质限量</w:t>
      </w:r>
      <w:r>
        <w:rPr>
          <w:rFonts w:hint="eastAsia" w:asciiTheme="minorEastAsia" w:hAnsiTheme="minorEastAsia" w:eastAsiaTheme="minorEastAsia"/>
        </w:rPr>
        <w:t>系列</w:t>
      </w:r>
      <w:r>
        <w:rPr>
          <w:rFonts w:asciiTheme="minorEastAsia" w:hAnsiTheme="minorEastAsia" w:eastAsiaTheme="minorEastAsia"/>
        </w:rPr>
        <w:t>标准GB 18580～GB 18588、《建筑材料放射性核素限量》GB 6566和《民用建筑工程室内环境污染控制</w:t>
      </w:r>
      <w:r>
        <w:rPr>
          <w:rFonts w:hint="eastAsia" w:asciiTheme="minorEastAsia" w:hAnsiTheme="minorEastAsia" w:eastAsiaTheme="minorEastAsia"/>
        </w:rPr>
        <w:t>标准</w:t>
      </w:r>
      <w:r>
        <w:rPr>
          <w:rFonts w:asciiTheme="minorEastAsia" w:hAnsiTheme="minorEastAsia" w:eastAsiaTheme="minorEastAsia"/>
        </w:rPr>
        <w:t>》GB 50325等标准的规定</w:t>
      </w:r>
      <w:r>
        <w:rPr>
          <w:rFonts w:hint="eastAsia" w:asciiTheme="minorEastAsia" w:hAnsiTheme="minorEastAsia" w:eastAsiaTheme="minorEastAsia"/>
        </w:rPr>
        <w:t>：□是；室内主要空气污染物浓度比现行国家标准《室内空气质量标准》GB/T</w:t>
      </w:r>
      <w:r>
        <w:rPr>
          <w:rFonts w:asciiTheme="minorEastAsia" w:hAnsiTheme="minorEastAsia" w:eastAsiaTheme="minorEastAsia"/>
        </w:rPr>
        <w:t xml:space="preserve"> </w:t>
      </w:r>
      <w:r>
        <w:rPr>
          <w:rFonts w:hint="eastAsia" w:asciiTheme="minorEastAsia" w:hAnsiTheme="minorEastAsia" w:eastAsiaTheme="minorEastAsia"/>
        </w:rPr>
        <w:t>18883规定的限值降低：□10%；□20%。</w:t>
      </w:r>
    </w:p>
    <w:p>
      <w:pPr>
        <w:pStyle w:val="88"/>
        <w:ind w:left="840" w:hanging="420"/>
        <w:rPr>
          <w:rFonts w:asciiTheme="minorEastAsia" w:hAnsiTheme="minorEastAsia" w:eastAsiaTheme="minorEastAsia"/>
        </w:rPr>
      </w:pPr>
      <w:r>
        <w:rPr>
          <w:rFonts w:asciiTheme="minorEastAsia" w:hAnsiTheme="minorEastAsia" w:eastAsiaTheme="minorEastAsia"/>
        </w:rPr>
        <w:t>公共建筑的主要出入口</w:t>
      </w:r>
      <w:r>
        <w:rPr>
          <w:rFonts w:hint="eastAsia" w:asciiTheme="minorEastAsia" w:hAnsiTheme="minorEastAsia" w:eastAsiaTheme="minorEastAsia"/>
        </w:rPr>
        <w:t>采用刮泥地垫、刮泥板等设施，避免灰尘、小颗粒进入建筑：□是；□否。</w:t>
      </w:r>
      <w:r>
        <w:rPr>
          <w:rFonts w:asciiTheme="minorEastAsia" w:hAnsiTheme="minorEastAsia" w:eastAsiaTheme="minorEastAsia"/>
        </w:rPr>
        <w:t xml:space="preserve"> </w:t>
      </w:r>
    </w:p>
    <w:p>
      <w:pPr>
        <w:pStyle w:val="88"/>
        <w:ind w:left="840" w:hanging="420"/>
        <w:rPr>
          <w:rFonts w:asciiTheme="minorEastAsia" w:hAnsiTheme="minorEastAsia" w:eastAsiaTheme="minorEastAsia"/>
        </w:rPr>
      </w:pPr>
      <w:r>
        <w:rPr>
          <w:rFonts w:hint="eastAsia" w:asciiTheme="minorEastAsia" w:hAnsiTheme="minorEastAsia" w:eastAsiaTheme="minorEastAsia"/>
        </w:rPr>
        <w:t>优化空间布局，避免厨房、餐厅、打印复印室、卫生间、垃圾间、清洁间、地下车库等区域的空气和污染物串通到其他空间：□是；□否。</w:t>
      </w:r>
    </w:p>
    <w:p>
      <w:pPr>
        <w:pStyle w:val="88"/>
        <w:ind w:left="840" w:hanging="420"/>
        <w:rPr>
          <w:rFonts w:asciiTheme="minorEastAsia" w:hAnsiTheme="minorEastAsia" w:eastAsiaTheme="minorEastAsia"/>
        </w:rPr>
      </w:pPr>
      <w:r>
        <w:rPr>
          <w:rFonts w:hint="eastAsia" w:asciiTheme="minorEastAsia" w:hAnsiTheme="minorEastAsia" w:eastAsiaTheme="minorEastAsia"/>
        </w:rPr>
        <w:t>设计选用</w:t>
      </w:r>
      <w:r>
        <w:rPr>
          <w:rFonts w:asciiTheme="minorEastAsia" w:hAnsiTheme="minorEastAsia" w:eastAsiaTheme="minorEastAsia"/>
        </w:rPr>
        <w:t>满足</w:t>
      </w:r>
      <w:r>
        <w:rPr>
          <w:rFonts w:hint="eastAsia" w:asciiTheme="minorEastAsia" w:hAnsiTheme="minorEastAsia" w:eastAsiaTheme="minorEastAsia"/>
        </w:rPr>
        <w:t>国家</w:t>
      </w:r>
      <w:r>
        <w:rPr>
          <w:rFonts w:asciiTheme="minorEastAsia" w:hAnsiTheme="minorEastAsia" w:eastAsiaTheme="minorEastAsia"/>
        </w:rPr>
        <w:t>现行绿色产品评价标准中对有害物质限量要求的装饰装修材料</w:t>
      </w:r>
      <w:r>
        <w:rPr>
          <w:rFonts w:hint="eastAsia" w:asciiTheme="minorEastAsia" w:hAnsiTheme="minorEastAsia" w:eastAsiaTheme="minorEastAsia"/>
        </w:rPr>
        <w:t>的种类为____类；类别描述：________________________。</w:t>
      </w:r>
    </w:p>
    <w:p>
      <w:pPr>
        <w:pStyle w:val="87"/>
        <w:jc w:val="both"/>
        <w:rPr>
          <w:rFonts w:asciiTheme="minorEastAsia" w:hAnsiTheme="minorEastAsia" w:eastAsiaTheme="minorEastAsia"/>
          <w:b/>
          <w:bCs/>
        </w:rPr>
      </w:pPr>
      <w:r>
        <w:rPr>
          <w:rFonts w:asciiTheme="minorEastAsia" w:hAnsiTheme="minorEastAsia" w:eastAsiaTheme="minorEastAsia"/>
          <w:b/>
          <w:bCs/>
        </w:rPr>
        <w:t>建筑</w:t>
      </w:r>
      <w:r>
        <w:rPr>
          <w:rFonts w:hint="eastAsia" w:asciiTheme="minorEastAsia" w:hAnsiTheme="minorEastAsia" w:eastAsiaTheme="minorEastAsia"/>
          <w:b/>
          <w:bCs/>
        </w:rPr>
        <w:t>标准化与</w:t>
      </w:r>
      <w:r>
        <w:rPr>
          <w:rFonts w:asciiTheme="minorEastAsia" w:hAnsiTheme="minorEastAsia" w:eastAsiaTheme="minorEastAsia"/>
          <w:b/>
          <w:bCs/>
        </w:rPr>
        <w:t>工业化：</w:t>
      </w:r>
    </w:p>
    <w:p>
      <w:pPr>
        <w:pStyle w:val="88"/>
        <w:numPr>
          <w:ilvl w:val="1"/>
          <w:numId w:val="32"/>
        </w:numPr>
        <w:jc w:val="both"/>
        <w:rPr>
          <w:rFonts w:asciiTheme="minorEastAsia" w:hAnsiTheme="minorEastAsia" w:eastAsiaTheme="minorEastAsia"/>
          <w:b/>
          <w:bCs/>
        </w:rPr>
      </w:pPr>
      <w:r>
        <w:rPr>
          <w:rFonts w:hint="eastAsia" w:asciiTheme="minorEastAsia" w:hAnsiTheme="minorEastAsia" w:eastAsiaTheme="minorEastAsia"/>
          <w:b/>
          <w:bCs/>
        </w:rPr>
        <w:t>标准化设计：</w:t>
      </w:r>
      <w:r>
        <w:rPr>
          <w:rFonts w:asciiTheme="minorEastAsia" w:hAnsiTheme="minorEastAsia" w:eastAsiaTheme="minorEastAsia"/>
          <w:b/>
          <w:bCs/>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□遵循模数协调统一的设计原则，客房、办公单元等进行标准化设计；</w:t>
      </w:r>
    </w:p>
    <w:p>
      <w:pPr>
        <w:pStyle w:val="92"/>
        <w:ind w:left="1050" w:hanging="210"/>
        <w:rPr>
          <w:rFonts w:asciiTheme="minorEastAsia" w:hAnsiTheme="minorEastAsia" w:eastAsiaTheme="minorEastAsia"/>
        </w:rPr>
      </w:pPr>
      <w:r>
        <w:rPr>
          <w:rFonts w:hint="eastAsia" w:asciiTheme="minorEastAsia" w:hAnsiTheme="minorEastAsia" w:eastAsiaTheme="minorEastAsia"/>
        </w:rPr>
        <w:t>□标准化设计部位：□平面空间；□建筑构件；□建筑部品；</w:t>
      </w:r>
    </w:p>
    <w:p>
      <w:pPr>
        <w:pStyle w:val="92"/>
        <w:ind w:left="1050" w:hanging="210"/>
        <w:rPr>
          <w:rFonts w:asciiTheme="minorEastAsia" w:hAnsiTheme="minorEastAsia" w:eastAsiaTheme="minorEastAsia"/>
        </w:rPr>
      </w:pPr>
      <w:r>
        <w:rPr>
          <w:rFonts w:hint="eastAsia" w:asciiTheme="minorEastAsia" w:hAnsiTheme="minorEastAsia" w:eastAsiaTheme="minorEastAsia"/>
        </w:rPr>
        <w:t>□未涉及。</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建筑设计采用：□装配式建筑； □装配化装修。</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本项目装修设计选用______种新型建筑工业化内装部品，其占同类部品用量比例达到5</w:t>
      </w:r>
      <w:r>
        <w:rPr>
          <w:rFonts w:asciiTheme="minorEastAsia" w:hAnsiTheme="minorEastAsia" w:eastAsiaTheme="minorEastAsia"/>
        </w:rPr>
        <w:t>0</w:t>
      </w:r>
      <w:r>
        <w:rPr>
          <w:rFonts w:hint="eastAsia" w:asciiTheme="minorEastAsia" w:hAnsiTheme="minorEastAsia" w:eastAsiaTheme="minorEastAsia"/>
        </w:rPr>
        <w:t>％。</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本项目选用下列新型工业化构件或部品：</w:t>
      </w:r>
    </w:p>
    <w:p>
      <w:pPr>
        <w:pStyle w:val="92"/>
        <w:ind w:left="1050" w:hanging="210"/>
        <w:rPr>
          <w:rFonts w:asciiTheme="minorEastAsia" w:hAnsiTheme="minorEastAsia" w:eastAsiaTheme="minorEastAsia"/>
        </w:rPr>
      </w:pPr>
      <w:r>
        <w:rPr>
          <w:rFonts w:hint="eastAsia" w:asciiTheme="minorEastAsia" w:hAnsiTheme="minorEastAsia" w:eastAsiaTheme="minorEastAsia"/>
        </w:rPr>
        <w:t>□预制混凝土构件、钢结构构件、复合木结构等工业化生产程度较高的构件；</w:t>
      </w:r>
    </w:p>
    <w:p>
      <w:pPr>
        <w:pStyle w:val="92"/>
        <w:ind w:left="1050" w:hanging="210"/>
        <w:rPr>
          <w:rFonts w:asciiTheme="minorEastAsia" w:hAnsiTheme="minorEastAsia" w:eastAsiaTheme="minorEastAsia"/>
        </w:rPr>
      </w:pPr>
      <w:r>
        <w:rPr>
          <w:rFonts w:hint="eastAsia" w:asciiTheme="minorEastAsia" w:hAnsiTheme="minorEastAsia" w:eastAsiaTheme="minorEastAsia"/>
        </w:rPr>
        <w:t>□单元式幕墙；□复合外墙；□成品雨篷；□成品栏杆；</w:t>
      </w:r>
      <w:r>
        <w:rPr>
          <w:rFonts w:asciiTheme="minorEastAsia" w:hAnsiTheme="minorEastAsia" w:eastAsiaTheme="minorEastAsia"/>
        </w:rPr>
        <w:t xml:space="preserve"> </w:t>
      </w:r>
    </w:p>
    <w:p>
      <w:pPr>
        <w:pStyle w:val="92"/>
        <w:ind w:left="1050" w:hanging="210"/>
        <w:rPr>
          <w:rFonts w:asciiTheme="minorEastAsia" w:hAnsiTheme="minorEastAsia" w:eastAsiaTheme="minorEastAsia"/>
        </w:rPr>
      </w:pPr>
      <w:r>
        <w:rPr>
          <w:rFonts w:hint="eastAsia" w:asciiTheme="minorEastAsia" w:hAnsiTheme="minorEastAsia" w:eastAsiaTheme="minorEastAsia"/>
        </w:rPr>
        <w:t>□装配式内墙；□装配式吊顶；□集成厨房；□集成卫生间；</w:t>
      </w:r>
    </w:p>
    <w:p>
      <w:pPr>
        <w:pStyle w:val="92"/>
        <w:ind w:left="1050" w:hanging="210"/>
        <w:rPr>
          <w:rFonts w:asciiTheme="minorEastAsia" w:hAnsiTheme="minorEastAsia" w:eastAsiaTheme="minorEastAsia"/>
        </w:rPr>
      </w:pPr>
      <w:r>
        <w:rPr>
          <w:rFonts w:hint="eastAsia" w:asciiTheme="minorEastAsia" w:hAnsiTheme="minorEastAsia" w:eastAsiaTheme="minorEastAsia"/>
        </w:rPr>
        <w:t>□干式工法楼（地）面；□管线分离；</w:t>
      </w:r>
    </w:p>
    <w:p>
      <w:pPr>
        <w:pStyle w:val="92"/>
        <w:ind w:left="1050" w:hanging="210"/>
        <w:rPr>
          <w:rFonts w:asciiTheme="minorEastAsia" w:hAnsiTheme="minorEastAsia" w:eastAsiaTheme="minorEastAsia"/>
        </w:rPr>
      </w:pPr>
      <w:r>
        <w:rPr>
          <w:rFonts w:hint="eastAsia" w:asciiTheme="minorEastAsia" w:hAnsiTheme="minorEastAsia" w:eastAsiaTheme="minorEastAsia"/>
        </w:rPr>
        <w:t>□其他建筑部品。</w:t>
      </w:r>
    </w:p>
    <w:p>
      <w:pPr>
        <w:pStyle w:val="87"/>
        <w:jc w:val="both"/>
        <w:rPr>
          <w:rFonts w:asciiTheme="minorEastAsia" w:hAnsiTheme="minorEastAsia" w:eastAsiaTheme="minorEastAsia"/>
          <w:b/>
          <w:bCs/>
        </w:rPr>
      </w:pPr>
      <w:r>
        <w:rPr>
          <w:rFonts w:hint="eastAsia" w:asciiTheme="minorEastAsia" w:hAnsiTheme="minorEastAsia" w:eastAsiaTheme="minorEastAsia"/>
          <w:b/>
          <w:bCs/>
        </w:rPr>
        <w:t>本项目采用土建工程与装修工程一体化设计：□是；□否。</w:t>
      </w:r>
    </w:p>
    <w:p>
      <w:pPr>
        <w:pStyle w:val="92"/>
        <w:ind w:left="1050" w:hanging="210"/>
        <w:rPr>
          <w:rFonts w:asciiTheme="minorEastAsia" w:hAnsiTheme="minorEastAsia" w:eastAsiaTheme="minorEastAsia"/>
        </w:rPr>
      </w:pPr>
      <w:r>
        <w:rPr>
          <w:rFonts w:hint="eastAsia" w:asciiTheme="minorEastAsia" w:hAnsiTheme="minorEastAsia" w:eastAsiaTheme="minorEastAsia"/>
        </w:rPr>
        <w:t>□公共部位土建与装修一体化设计；</w:t>
      </w:r>
    </w:p>
    <w:p>
      <w:pPr>
        <w:pStyle w:val="92"/>
        <w:ind w:left="1050" w:hanging="210"/>
        <w:rPr>
          <w:rFonts w:asciiTheme="minorEastAsia" w:hAnsiTheme="minorEastAsia" w:eastAsiaTheme="minorEastAsia"/>
        </w:rPr>
      </w:pPr>
      <w:r>
        <w:rPr>
          <w:rFonts w:hint="eastAsia" w:asciiTheme="minorEastAsia" w:hAnsiTheme="minorEastAsia" w:eastAsiaTheme="minorEastAsia"/>
        </w:rPr>
        <w:t>□所有部位土建与装修一体化设计。</w:t>
      </w:r>
    </w:p>
    <w:p>
      <w:pPr>
        <w:pStyle w:val="87"/>
        <w:rPr>
          <w:rFonts w:asciiTheme="minorEastAsia" w:hAnsiTheme="minorEastAsia" w:eastAsiaTheme="minorEastAsia"/>
          <w:b/>
          <w:bCs/>
        </w:rPr>
      </w:pPr>
      <w:r>
        <w:rPr>
          <w:rFonts w:hint="eastAsia" w:asciiTheme="minorEastAsia" w:hAnsiTheme="minorEastAsia" w:eastAsiaTheme="minorEastAsia"/>
          <w:b/>
          <w:bCs/>
        </w:rPr>
        <w:t>建筑室内设置便于识别和使用的标识系统：</w:t>
      </w:r>
      <w:r>
        <w:rPr>
          <w:rFonts w:hint="eastAsia" w:asciiTheme="minorEastAsia" w:hAnsiTheme="minorEastAsia" w:eastAsiaTheme="minorEastAsia"/>
        </w:rPr>
        <w:t>□</w:t>
      </w:r>
      <w:r>
        <w:rPr>
          <w:rFonts w:hint="eastAsia" w:asciiTheme="minorEastAsia" w:hAnsiTheme="minorEastAsia" w:eastAsiaTheme="minorEastAsia"/>
          <w:b/>
          <w:bCs/>
        </w:rPr>
        <w:t>是，具体为：</w:t>
      </w:r>
    </w:p>
    <w:p>
      <w:pPr>
        <w:pStyle w:val="92"/>
        <w:ind w:left="1050" w:hanging="210"/>
        <w:rPr>
          <w:rFonts w:asciiTheme="minorEastAsia" w:hAnsiTheme="minorEastAsia" w:eastAsiaTheme="minorEastAsia"/>
        </w:rPr>
      </w:pPr>
      <w:r>
        <w:rPr>
          <w:rFonts w:hint="eastAsia" w:asciiTheme="minorEastAsia" w:hAnsiTheme="minorEastAsia" w:eastAsiaTheme="minorEastAsia"/>
        </w:rPr>
        <w:t>□易于老年人识别的标识；□满足儿童使用需求与身高匹配的标识；</w:t>
      </w:r>
    </w:p>
    <w:p>
      <w:pPr>
        <w:pStyle w:val="92"/>
        <w:ind w:left="1050" w:hanging="210"/>
        <w:rPr>
          <w:rFonts w:asciiTheme="minorEastAsia" w:hAnsiTheme="minorEastAsia" w:eastAsiaTheme="minorEastAsia"/>
        </w:rPr>
      </w:pPr>
      <w:r>
        <w:rPr>
          <w:rFonts w:hint="eastAsia" w:asciiTheme="minorEastAsia" w:hAnsiTheme="minorEastAsia" w:eastAsiaTheme="minorEastAsia"/>
        </w:rPr>
        <w:t>□无障碍标识；□健身楼梯间导向标识；□公共卫生间导向标识；□公共服务导向标识；</w:t>
      </w:r>
    </w:p>
    <w:p>
      <w:pPr>
        <w:pStyle w:val="92"/>
        <w:ind w:left="1050" w:hanging="210"/>
        <w:rPr>
          <w:rFonts w:asciiTheme="minorEastAsia" w:hAnsiTheme="minorEastAsia" w:eastAsiaTheme="minorEastAsia"/>
        </w:rPr>
      </w:pPr>
      <w:r>
        <w:rPr>
          <w:rFonts w:hint="eastAsia" w:asciiTheme="minorEastAsia" w:hAnsiTheme="minorEastAsia" w:eastAsiaTheme="minorEastAsia"/>
        </w:rPr>
        <w:t>□其他标识：________________。</w:t>
      </w:r>
    </w:p>
    <w:p>
      <w:pPr>
        <w:pStyle w:val="87"/>
        <w:rPr>
          <w:b/>
        </w:rPr>
      </w:pPr>
      <w:r>
        <w:rPr>
          <w:rFonts w:hint="eastAsia" w:asciiTheme="minorEastAsia" w:hAnsiTheme="minorEastAsia" w:eastAsiaTheme="minorEastAsia"/>
          <w:b/>
          <w:bCs/>
        </w:rPr>
        <w:t>无障碍设计</w:t>
      </w:r>
      <w:r>
        <w:rPr>
          <w:rFonts w:hint="eastAsia"/>
          <w:b/>
        </w:rPr>
        <w:t>结合建筑功能特性，并符合现行国家标准《建筑与市政工程无障碍通用规范》GB</w:t>
      </w:r>
      <w:r>
        <w:rPr>
          <w:b/>
        </w:rPr>
        <w:t xml:space="preserve"> </w:t>
      </w:r>
      <w:r>
        <w:rPr>
          <w:rFonts w:hint="eastAsia"/>
          <w:b/>
        </w:rPr>
        <w:t>55019和《无障碍设计规范》GB</w:t>
      </w:r>
      <w:r>
        <w:rPr>
          <w:b/>
        </w:rPr>
        <w:t xml:space="preserve"> </w:t>
      </w:r>
      <w:r>
        <w:rPr>
          <w:rFonts w:hint="eastAsia"/>
          <w:b/>
        </w:rPr>
        <w:t>50763的规定：</w:t>
      </w:r>
      <w:r>
        <w:rPr>
          <w:rFonts w:hint="eastAsia" w:asciiTheme="minorEastAsia" w:hAnsiTheme="minorEastAsia" w:eastAsiaTheme="minorEastAsia"/>
        </w:rPr>
        <w:t>□</w:t>
      </w:r>
      <w:r>
        <w:rPr>
          <w:rFonts w:hint="eastAsia"/>
          <w:b/>
        </w:rPr>
        <w:t>是。</w:t>
      </w:r>
    </w:p>
    <w:p>
      <w:pPr>
        <w:pStyle w:val="87"/>
        <w:rPr>
          <w:rFonts w:asciiTheme="minorEastAsia" w:hAnsiTheme="minorEastAsia" w:eastAsiaTheme="minorEastAsia"/>
          <w:b/>
          <w:bCs/>
        </w:rPr>
      </w:pPr>
      <w:r>
        <w:rPr>
          <w:rFonts w:hint="eastAsia" w:asciiTheme="minorEastAsia" w:hAnsiTheme="minorEastAsia" w:eastAsiaTheme="minorEastAsia"/>
          <w:b/>
          <w:bCs/>
        </w:rPr>
        <w:t>安全性与耐久性：</w:t>
      </w:r>
    </w:p>
    <w:p>
      <w:pPr>
        <w:pStyle w:val="88"/>
        <w:numPr>
          <w:ilvl w:val="1"/>
          <w:numId w:val="33"/>
        </w:numPr>
        <w:jc w:val="both"/>
        <w:rPr>
          <w:rFonts w:asciiTheme="minorEastAsia" w:hAnsiTheme="minorEastAsia" w:eastAsiaTheme="minorEastAsia"/>
        </w:rPr>
      </w:pPr>
      <w:r>
        <w:rPr>
          <w:rFonts w:hint="eastAsia" w:asciiTheme="minorEastAsia" w:hAnsiTheme="minorEastAsia" w:eastAsiaTheme="minorEastAsia"/>
        </w:rPr>
        <w:t>外遮阳、可再生能源利用设施、空调室外机位、外墙花池等外部设施与建筑主体结构进行统一设计，并具备安装、检修与维护条件。□是。</w:t>
      </w:r>
    </w:p>
    <w:p>
      <w:pPr>
        <w:pStyle w:val="88"/>
        <w:rPr>
          <w:rFonts w:asciiTheme="minorEastAsia" w:hAnsiTheme="minorEastAsia" w:eastAsiaTheme="minorEastAsia"/>
        </w:rPr>
      </w:pPr>
      <w:r>
        <w:rPr>
          <w:rFonts w:hint="eastAsia" w:asciiTheme="minorEastAsia" w:hAnsiTheme="minorEastAsia" w:eastAsiaTheme="minorEastAsia"/>
        </w:rPr>
        <w:t>建筑内部的非结构构件、设备及附属设施等连接牢固。□是。</w:t>
      </w:r>
    </w:p>
    <w:p>
      <w:pPr>
        <w:pStyle w:val="88"/>
        <w:rPr>
          <w:rFonts w:asciiTheme="minorEastAsia" w:hAnsiTheme="minorEastAsia" w:eastAsiaTheme="minorEastAsia"/>
        </w:rPr>
      </w:pPr>
      <w:r>
        <w:rPr>
          <w:rFonts w:hint="eastAsia" w:asciiTheme="minorEastAsia" w:hAnsiTheme="minorEastAsia" w:eastAsiaTheme="minorEastAsia"/>
        </w:rPr>
        <w:t>卫生间、浴室的楼、地面设置防水层，墙面、顶棚设置防潮层：□是；□未涉及。</w:t>
      </w:r>
    </w:p>
    <w:p>
      <w:pPr>
        <w:pStyle w:val="88"/>
        <w:rPr>
          <w:rFonts w:asciiTheme="minorEastAsia" w:hAnsiTheme="minorEastAsia" w:eastAsiaTheme="minorEastAsia"/>
        </w:rPr>
      </w:pPr>
      <w:r>
        <w:rPr>
          <w:rFonts w:hint="eastAsia" w:asciiTheme="minorEastAsia" w:hAnsiTheme="minorEastAsia" w:eastAsiaTheme="minorEastAsia"/>
        </w:rPr>
        <w:t>建筑室内公共区域考虑全龄化设计要求：</w:t>
      </w:r>
      <w:r>
        <w:rPr>
          <w:rFonts w:asciiTheme="minorEastAsia" w:hAnsiTheme="minorEastAsia" w:eastAsiaTheme="minorEastAsia"/>
        </w:rPr>
        <w:t xml:space="preserve"> </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□建筑室内公共区域的墙、柱等处的阳角均为圆角，并设有安全抓杆或扶手；</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□设有可容纳担架的无障碍电梯；</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□其他：____________________。</w:t>
      </w:r>
    </w:p>
    <w:p>
      <w:pPr>
        <w:pStyle w:val="88"/>
        <w:rPr>
          <w:rFonts w:asciiTheme="minorEastAsia" w:hAnsiTheme="minorEastAsia" w:eastAsiaTheme="minorEastAsia"/>
        </w:rPr>
      </w:pPr>
      <w:r>
        <w:rPr>
          <w:rFonts w:hint="eastAsia" w:asciiTheme="minorEastAsia" w:hAnsiTheme="minorEastAsia" w:eastAsiaTheme="minorEastAsia"/>
        </w:rPr>
        <w:t>采取措施提高阳台、外窗、窗台、防护栏杆等安全防护水平：</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rPr>
        <w:t>□是，措施为：______________；□否。</w:t>
      </w:r>
    </w:p>
    <w:p>
      <w:pPr>
        <w:pStyle w:val="88"/>
        <w:rPr>
          <w:rFonts w:asciiTheme="minorEastAsia" w:hAnsiTheme="minorEastAsia" w:eastAsiaTheme="minorEastAsia"/>
        </w:rPr>
      </w:pPr>
      <w:r>
        <w:rPr>
          <w:rFonts w:hint="eastAsia" w:asciiTheme="minorEastAsia" w:hAnsiTheme="minorEastAsia" w:eastAsiaTheme="minorEastAsia"/>
        </w:rPr>
        <w:t>建筑物主要出入口均设外墙饰面、门窗玻璃意外脱落的防护措施：</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rPr>
        <w:t>□是，措施为：______________；□否。</w:t>
      </w:r>
    </w:p>
    <w:p>
      <w:pPr>
        <w:pStyle w:val="88"/>
        <w:rPr>
          <w:rFonts w:asciiTheme="minorEastAsia" w:hAnsiTheme="minorEastAsia" w:eastAsiaTheme="minorEastAsia"/>
        </w:rPr>
      </w:pPr>
      <w:r>
        <w:rPr>
          <w:rFonts w:hint="eastAsia" w:asciiTheme="minorEastAsia" w:hAnsiTheme="minorEastAsia" w:eastAsiaTheme="minorEastAsia"/>
        </w:rPr>
        <w:t>建筑设计采用具有安全防护功能的产品或配件：</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□采用具有安全防护功能的玻璃；</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□采用具备防夹功能的门窗。</w:t>
      </w:r>
    </w:p>
    <w:p>
      <w:pPr>
        <w:pStyle w:val="88"/>
        <w:rPr>
          <w:rFonts w:asciiTheme="minorEastAsia" w:hAnsiTheme="minorEastAsia" w:eastAsiaTheme="minorEastAsia"/>
        </w:rPr>
      </w:pPr>
      <w:r>
        <w:rPr>
          <w:rFonts w:hint="eastAsia" w:asciiTheme="minorEastAsia" w:hAnsiTheme="minorEastAsia" w:eastAsiaTheme="minorEastAsia"/>
        </w:rPr>
        <w:t>玻璃幕墙设计采用以下安全防护的措施：</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□防护挑檐、防冲击雨篷；□绿化带或裙房等缓冲区；□夹层玻璃；□均质钢化玻璃。</w:t>
      </w:r>
    </w:p>
    <w:p>
      <w:pPr>
        <w:pStyle w:val="88"/>
        <w:rPr>
          <w:rFonts w:asciiTheme="minorEastAsia" w:hAnsiTheme="minorEastAsia" w:eastAsiaTheme="minorEastAsia"/>
        </w:rPr>
      </w:pPr>
      <w:r>
        <w:rPr>
          <w:rFonts w:hint="eastAsia" w:asciiTheme="minorEastAsia" w:hAnsiTheme="minorEastAsia" w:eastAsiaTheme="minorEastAsia"/>
        </w:rPr>
        <w:t>党政机关办公楼、医院门诊急诊楼和病房楼，未在二层及以上部位采用玻璃幕墙；中小学校、托儿所、幼儿园、青少年宫、老年人建筑，未在二层及以上部位采用玻璃幕墙或石材幕墙：</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□是；□未涉及。</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室内场所楼地面设置防滑措施的部位有：</w:t>
      </w:r>
      <w:r>
        <w:rPr>
          <w:rFonts w:hint="eastAsia" w:asciiTheme="minorEastAsia" w:hAnsiTheme="minorEastAsia" w:eastAsiaTheme="minorEastAsia"/>
          <w:i/>
        </w:rPr>
        <w:t>（防滑措施和防滑等级应在施工图工程做法中对应明确）</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□建</w:t>
      </w:r>
      <w:r>
        <w:rPr>
          <w:rFonts w:asciiTheme="minorEastAsia" w:hAnsiTheme="minorEastAsia" w:eastAsiaTheme="minorEastAsia"/>
        </w:rPr>
        <w:t>筑出入口及平台</w:t>
      </w:r>
      <w:r>
        <w:rPr>
          <w:rFonts w:hint="eastAsia" w:asciiTheme="minorEastAsia" w:hAnsiTheme="minorEastAsia" w:eastAsiaTheme="minorEastAsia"/>
        </w:rPr>
        <w:t>； □公共门厅/公共走廊； □电梯门厅；</w:t>
      </w:r>
      <w:r>
        <w:rPr>
          <w:rFonts w:hint="eastAsia"/>
        </w:rPr>
        <w:t>□厨房；□</w:t>
      </w:r>
      <w:r>
        <w:t>浴室</w:t>
      </w:r>
      <w:r>
        <w:rPr>
          <w:rFonts w:hint="eastAsia"/>
        </w:rPr>
        <w:t>；□</w:t>
      </w:r>
      <w:r>
        <w:t>卫生间；</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室</w:t>
      </w:r>
      <w:r>
        <w:rPr>
          <w:rFonts w:hint="eastAsia" w:asciiTheme="minorEastAsia" w:hAnsiTheme="minorEastAsia" w:eastAsiaTheme="minorEastAsia"/>
        </w:rPr>
        <w:t xml:space="preserve">内活动场所； </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□建筑坡道； □无障碍通道； □楼梯踏步；</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防滑措施和防滑等级说明：____________________。</w:t>
      </w:r>
    </w:p>
    <w:p>
      <w:pPr>
        <w:pStyle w:val="88"/>
        <w:ind w:left="840" w:hanging="420"/>
        <w:rPr>
          <w:rFonts w:asciiTheme="minorEastAsia" w:hAnsiTheme="minorEastAsia" w:eastAsiaTheme="minorEastAsia"/>
        </w:rPr>
      </w:pPr>
      <w:r>
        <w:rPr>
          <w:rFonts w:hint="eastAsia" w:asciiTheme="minorEastAsia" w:hAnsiTheme="minorEastAsia" w:eastAsiaTheme="minorEastAsia"/>
        </w:rPr>
        <w:t xml:space="preserve">建筑内特定部位具有安全防护的警示标识和安全引导标识系统，设置情况： </w:t>
      </w:r>
    </w:p>
    <w:p>
      <w:pPr>
        <w:pStyle w:val="88"/>
        <w:numPr>
          <w:ilvl w:val="0"/>
          <w:numId w:val="0"/>
        </w:numPr>
        <w:ind w:left="840" w:firstLine="210" w:firstLineChars="100"/>
        <w:rPr>
          <w:rFonts w:asciiTheme="minorEastAsia" w:hAnsiTheme="minorEastAsia" w:eastAsiaTheme="minorEastAsia"/>
        </w:rPr>
      </w:pPr>
      <w:r>
        <w:rPr>
          <w:rFonts w:hint="eastAsia" w:asciiTheme="minorEastAsia" w:hAnsiTheme="minorEastAsia" w:eastAsiaTheme="minorEastAsia"/>
        </w:rPr>
        <w:t xml:space="preserve">________________________________________________。 </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建筑中频繁使用的活动配件应选用长寿命产品：□是，选用描述：_____________________；□否。</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本项目装饰装修建筑材料：</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□采用耐久性好的外饰面材料；选用描述：____________________；</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□采用耐久性好防水和密封材料；选用描述：____________________；</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□采用耐久性好、易维护的室内装饰装修材料；选用描述：____________________。</w:t>
      </w:r>
    </w:p>
    <w:p>
      <w:pPr>
        <w:pStyle w:val="88"/>
        <w:ind w:left="840" w:hanging="420"/>
        <w:jc w:val="both"/>
        <w:rPr>
          <w:rFonts w:asciiTheme="minorEastAsia" w:hAnsiTheme="minorEastAsia" w:eastAsiaTheme="minorEastAsia"/>
        </w:rPr>
      </w:pPr>
      <w:r>
        <w:rPr>
          <w:rFonts w:hint="eastAsia" w:asciiTheme="minorEastAsia" w:hAnsiTheme="minorEastAsia" w:eastAsiaTheme="minorEastAsia"/>
        </w:rPr>
        <w:t>建筑中可变换功能的室内空间采用可重复使用的隔断（墙）的比例≥30％：</w:t>
      </w:r>
      <w:r>
        <w:rPr>
          <w:rFonts w:asciiTheme="minorEastAsia" w:hAnsiTheme="minorEastAsia" w:eastAsiaTheme="minorEastAsia"/>
        </w:rPr>
        <w:t xml:space="preserve"> </w:t>
      </w:r>
    </w:p>
    <w:p>
      <w:pPr>
        <w:pStyle w:val="92"/>
        <w:ind w:left="1050" w:leftChars="500" w:firstLine="0" w:firstLineChars="0"/>
        <w:rPr>
          <w:rFonts w:asciiTheme="minorEastAsia" w:hAnsiTheme="minorEastAsia" w:eastAsiaTheme="minorEastAsia"/>
        </w:rPr>
      </w:pPr>
      <w:r>
        <w:rPr>
          <w:rFonts w:hint="eastAsia" w:asciiTheme="minorEastAsia" w:hAnsiTheme="minorEastAsia" w:eastAsiaTheme="minorEastAsia"/>
        </w:rPr>
        <w:t>□商店建筑；□办公建筑；□未涉及。</w:t>
      </w:r>
    </w:p>
    <w:p>
      <w:pPr>
        <w:pStyle w:val="87"/>
        <w:rPr>
          <w:rFonts w:asciiTheme="minorEastAsia" w:hAnsiTheme="minorEastAsia" w:eastAsiaTheme="minorEastAsia"/>
          <w:b/>
          <w:bCs/>
        </w:rPr>
      </w:pPr>
      <w:r>
        <w:rPr>
          <w:rFonts w:hint="eastAsia" w:asciiTheme="minorEastAsia" w:hAnsiTheme="minorEastAsia" w:eastAsiaTheme="minorEastAsia"/>
          <w:b/>
          <w:bCs/>
        </w:rPr>
        <w:t>应用建筑信息模型（BIM）技术：</w:t>
      </w:r>
      <w:r>
        <w:rPr>
          <w:rFonts w:hint="eastAsia" w:asciiTheme="minorEastAsia" w:hAnsiTheme="minorEastAsia" w:eastAsiaTheme="minorEastAsia"/>
        </w:rPr>
        <w:t>□否；□是；应用的阶段：□规划设计；□施工建造；□项目建设全过程。</w:t>
      </w:r>
    </w:p>
    <w:p>
      <w:pPr>
        <w:pStyle w:val="87"/>
        <w:jc w:val="both"/>
        <w:rPr>
          <w:rFonts w:asciiTheme="minorEastAsia" w:hAnsiTheme="minorEastAsia" w:eastAsiaTheme="minorEastAsia"/>
          <w:b/>
          <w:bCs/>
        </w:rPr>
      </w:pPr>
      <w:r>
        <w:rPr>
          <w:rFonts w:hint="eastAsia" w:asciiTheme="minorEastAsia" w:hAnsiTheme="minorEastAsia" w:eastAsiaTheme="minorEastAsia"/>
          <w:b/>
          <w:bCs/>
        </w:rPr>
        <w:t>其他需要说明的内容（包含其他绿色建筑提高与创新内容）：</w:t>
      </w:r>
      <w:r>
        <w:rPr>
          <w:rFonts w:hint="eastAsia" w:asciiTheme="minorEastAsia" w:hAnsiTheme="minorEastAsia" w:eastAsiaTheme="minorEastAsia"/>
        </w:rPr>
        <w:t>_______________________________________。</w:t>
      </w:r>
    </w:p>
    <w:p>
      <w:pPr>
        <w:ind w:firstLine="420"/>
        <w:rPr>
          <w:rFonts w:asciiTheme="minorEastAsia" w:hAnsiTheme="minorEastAsia" w:eastAsiaTheme="minorEastAsia"/>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（三）围护结构构造</w:t>
      </w:r>
      <w:r>
        <w:rPr>
          <w:rFonts w:asciiTheme="minorEastAsia" w:hAnsiTheme="minorEastAsia" w:eastAsiaTheme="minorEastAsia"/>
          <w:b/>
          <w:sz w:val="24"/>
          <w:lang w:val="en-GB"/>
        </w:rPr>
        <w:t>措施</w:t>
      </w:r>
    </w:p>
    <w:p>
      <w:pPr>
        <w:pStyle w:val="87"/>
        <w:numPr>
          <w:ilvl w:val="0"/>
          <w:numId w:val="34"/>
        </w:numPr>
        <w:rPr>
          <w:rFonts w:asciiTheme="minorEastAsia" w:hAnsiTheme="minorEastAsia" w:eastAsiaTheme="minorEastAsia"/>
          <w:lang w:val="en-GB"/>
        </w:rPr>
      </w:pPr>
      <w:r>
        <w:rPr>
          <w:rFonts w:hint="eastAsia" w:asciiTheme="minorEastAsia" w:hAnsiTheme="minorEastAsia" w:eastAsiaTheme="minorEastAsia"/>
          <w:lang w:val="en-GB"/>
        </w:rPr>
        <w:t>公共建筑围护结构节能设计表</w:t>
      </w:r>
    </w:p>
    <w:tbl>
      <w:tblPr>
        <w:tblStyle w:val="44"/>
        <w:tblW w:w="507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0" w:type="dxa"/>
          <w:bottom w:w="0" w:type="dxa"/>
          <w:right w:w="0" w:type="dxa"/>
        </w:tblCellMar>
      </w:tblPr>
      <w:tblGrid>
        <w:gridCol w:w="1689"/>
        <w:gridCol w:w="1012"/>
        <w:gridCol w:w="1270"/>
        <w:gridCol w:w="1287"/>
        <w:gridCol w:w="1431"/>
        <w:gridCol w:w="1361"/>
        <w:gridCol w:w="722"/>
        <w:gridCol w:w="550"/>
        <w:gridCol w:w="389"/>
        <w:gridCol w:w="90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51" w:hRule="atLeast"/>
          <w:jc w:val="center"/>
        </w:trPr>
        <w:tc>
          <w:tcPr>
            <w:tcW w:w="796" w:type="pct"/>
            <w:vAlign w:val="center"/>
          </w:tcPr>
          <w:p>
            <w:pPr>
              <w:pStyle w:val="86"/>
              <w:spacing w:before="12"/>
              <w:jc w:val="center"/>
              <w:rPr>
                <w:sz w:val="18"/>
                <w:szCs w:val="28"/>
              </w:rPr>
            </w:pPr>
            <w:r>
              <w:rPr>
                <w:sz w:val="18"/>
                <w:szCs w:val="28"/>
              </w:rPr>
              <w:t>工程名称</w:t>
            </w:r>
          </w:p>
        </w:tc>
        <w:tc>
          <w:tcPr>
            <w:tcW w:w="2355" w:type="pct"/>
            <w:gridSpan w:val="4"/>
            <w:vAlign w:val="center"/>
          </w:tcPr>
          <w:p>
            <w:pPr>
              <w:pStyle w:val="86"/>
              <w:ind w:firstLine="360"/>
              <w:jc w:val="center"/>
              <w:rPr>
                <w:rFonts w:ascii="Times New Roman"/>
                <w:sz w:val="18"/>
                <w:szCs w:val="28"/>
              </w:rPr>
            </w:pPr>
          </w:p>
        </w:tc>
        <w:tc>
          <w:tcPr>
            <w:tcW w:w="641" w:type="pct"/>
            <w:vAlign w:val="center"/>
          </w:tcPr>
          <w:p>
            <w:pPr>
              <w:pStyle w:val="86"/>
              <w:spacing w:before="12"/>
              <w:jc w:val="center"/>
              <w:rPr>
                <w:sz w:val="18"/>
                <w:szCs w:val="28"/>
              </w:rPr>
            </w:pPr>
            <w:r>
              <w:rPr>
                <w:sz w:val="18"/>
                <w:szCs w:val="28"/>
              </w:rPr>
              <w:t>工程号</w:t>
            </w:r>
          </w:p>
        </w:tc>
        <w:tc>
          <w:tcPr>
            <w:tcW w:w="1208" w:type="pct"/>
            <w:gridSpan w:val="4"/>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611" w:hRule="atLeast"/>
          <w:jc w:val="center"/>
        </w:trPr>
        <w:tc>
          <w:tcPr>
            <w:tcW w:w="796" w:type="pct"/>
            <w:vAlign w:val="center"/>
          </w:tcPr>
          <w:p>
            <w:pPr>
              <w:pStyle w:val="86"/>
              <w:spacing w:line="239" w:lineRule="exact"/>
              <w:ind w:right="18"/>
              <w:jc w:val="center"/>
              <w:rPr>
                <w:sz w:val="18"/>
                <w:szCs w:val="28"/>
              </w:rPr>
            </w:pPr>
            <w:r>
              <w:rPr>
                <w:sz w:val="18"/>
                <w:szCs w:val="28"/>
              </w:rPr>
              <w:t>建筑功能类型</w:t>
            </w:r>
          </w:p>
        </w:tc>
        <w:tc>
          <w:tcPr>
            <w:tcW w:w="2355" w:type="pct"/>
            <w:gridSpan w:val="4"/>
            <w:vAlign w:val="center"/>
          </w:tcPr>
          <w:p>
            <w:pPr>
              <w:pStyle w:val="86"/>
              <w:spacing w:line="230" w:lineRule="exact"/>
              <w:jc w:val="center"/>
              <w:rPr>
                <w:sz w:val="18"/>
                <w:szCs w:val="28"/>
              </w:rPr>
            </w:pPr>
          </w:p>
        </w:tc>
        <w:tc>
          <w:tcPr>
            <w:tcW w:w="1240" w:type="pct"/>
            <w:gridSpan w:val="3"/>
            <w:vAlign w:val="center"/>
          </w:tcPr>
          <w:p>
            <w:pPr>
              <w:pStyle w:val="86"/>
              <w:spacing w:line="239" w:lineRule="exact"/>
              <w:ind w:right="261"/>
              <w:jc w:val="center"/>
              <w:rPr>
                <w:sz w:val="18"/>
                <w:szCs w:val="28"/>
              </w:rPr>
            </w:pPr>
            <w:r>
              <w:rPr>
                <w:sz w:val="18"/>
                <w:szCs w:val="28"/>
              </w:rPr>
              <w:t>公共建筑</w:t>
            </w:r>
          </w:p>
          <w:p>
            <w:pPr>
              <w:pStyle w:val="86"/>
              <w:spacing w:line="230" w:lineRule="exact"/>
              <w:ind w:right="261"/>
              <w:jc w:val="center"/>
              <w:rPr>
                <w:sz w:val="18"/>
                <w:szCs w:val="28"/>
              </w:rPr>
            </w:pPr>
            <w:r>
              <w:rPr>
                <w:sz w:val="18"/>
                <w:szCs w:val="28"/>
              </w:rPr>
              <w:t>节能设计类别</w:t>
            </w:r>
          </w:p>
        </w:tc>
        <w:tc>
          <w:tcPr>
            <w:tcW w:w="609" w:type="pct"/>
            <w:gridSpan w:val="2"/>
            <w:vAlign w:val="center"/>
          </w:tcPr>
          <w:p>
            <w:pPr>
              <w:pStyle w:val="86"/>
              <w:spacing w:line="239" w:lineRule="exact"/>
              <w:jc w:val="center"/>
              <w:rPr>
                <w:spacing w:val="-1"/>
                <w:sz w:val="18"/>
                <w:szCs w:val="28"/>
              </w:rPr>
            </w:pPr>
            <w:r>
              <w:rPr>
                <w:rFonts w:hint="eastAsia"/>
                <w:spacing w:val="-1"/>
                <w:sz w:val="18"/>
                <w:szCs w:val="28"/>
              </w:rPr>
              <w:t>□</w:t>
            </w:r>
            <w:r>
              <w:rPr>
                <w:spacing w:val="-1"/>
                <w:sz w:val="18"/>
                <w:szCs w:val="28"/>
              </w:rPr>
              <w:t>甲类</w:t>
            </w:r>
          </w:p>
          <w:p>
            <w:pPr>
              <w:pStyle w:val="86"/>
              <w:spacing w:line="230" w:lineRule="exact"/>
              <w:jc w:val="center"/>
              <w:rPr>
                <w:spacing w:val="-1"/>
                <w:sz w:val="18"/>
                <w:szCs w:val="28"/>
              </w:rPr>
            </w:pPr>
            <w:r>
              <w:rPr>
                <w:rFonts w:hint="eastAsia"/>
                <w:spacing w:val="-1"/>
                <w:sz w:val="18"/>
                <w:szCs w:val="28"/>
              </w:rPr>
              <w:t>□</w:t>
            </w:r>
            <w:r>
              <w:rPr>
                <w:spacing w:val="-1"/>
                <w:sz w:val="18"/>
                <w:szCs w:val="28"/>
              </w:rPr>
              <w:t>乙类</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89" w:hRule="atLeast"/>
          <w:jc w:val="center"/>
        </w:trPr>
        <w:tc>
          <w:tcPr>
            <w:tcW w:w="796" w:type="pct"/>
            <w:vAlign w:val="center"/>
          </w:tcPr>
          <w:p>
            <w:pPr>
              <w:pStyle w:val="86"/>
              <w:spacing w:before="11"/>
              <w:jc w:val="center"/>
              <w:rPr>
                <w:sz w:val="18"/>
                <w:szCs w:val="28"/>
              </w:rPr>
            </w:pPr>
            <w:r>
              <w:rPr>
                <w:sz w:val="18"/>
                <w:szCs w:val="28"/>
              </w:rPr>
              <w:t>建筑面积</w:t>
            </w:r>
          </w:p>
        </w:tc>
        <w:tc>
          <w:tcPr>
            <w:tcW w:w="477" w:type="pct"/>
            <w:vAlign w:val="center"/>
          </w:tcPr>
          <w:p>
            <w:pPr>
              <w:pStyle w:val="86"/>
              <w:ind w:firstLine="360"/>
              <w:jc w:val="center"/>
              <w:rPr>
                <w:rFonts w:ascii="Times New Roman"/>
                <w:sz w:val="18"/>
                <w:szCs w:val="28"/>
              </w:rPr>
            </w:pPr>
          </w:p>
        </w:tc>
        <w:tc>
          <w:tcPr>
            <w:tcW w:w="598" w:type="pct"/>
            <w:vAlign w:val="center"/>
          </w:tcPr>
          <w:p>
            <w:pPr>
              <w:pStyle w:val="86"/>
              <w:spacing w:before="11"/>
              <w:jc w:val="center"/>
              <w:rPr>
                <w:sz w:val="18"/>
                <w:szCs w:val="28"/>
              </w:rPr>
            </w:pPr>
            <w:r>
              <w:rPr>
                <w:sz w:val="18"/>
                <w:szCs w:val="28"/>
              </w:rPr>
              <w:t>建筑层数</w:t>
            </w:r>
          </w:p>
        </w:tc>
        <w:tc>
          <w:tcPr>
            <w:tcW w:w="606" w:type="pct"/>
            <w:vAlign w:val="center"/>
          </w:tcPr>
          <w:p>
            <w:pPr>
              <w:pStyle w:val="86"/>
              <w:ind w:firstLine="360"/>
              <w:jc w:val="center"/>
              <w:rPr>
                <w:rFonts w:ascii="Times New Roman"/>
                <w:sz w:val="18"/>
                <w:szCs w:val="28"/>
              </w:rPr>
            </w:pPr>
          </w:p>
        </w:tc>
        <w:tc>
          <w:tcPr>
            <w:tcW w:w="674" w:type="pct"/>
            <w:vAlign w:val="center"/>
          </w:tcPr>
          <w:p>
            <w:pPr>
              <w:pStyle w:val="86"/>
              <w:spacing w:before="11"/>
              <w:jc w:val="center"/>
              <w:rPr>
                <w:sz w:val="18"/>
                <w:szCs w:val="28"/>
              </w:rPr>
            </w:pPr>
            <w:r>
              <w:rPr>
                <w:sz w:val="18"/>
                <w:szCs w:val="28"/>
              </w:rPr>
              <w:t>建筑朝向</w:t>
            </w:r>
          </w:p>
        </w:tc>
        <w:tc>
          <w:tcPr>
            <w:tcW w:w="641" w:type="pct"/>
            <w:vAlign w:val="center"/>
          </w:tcPr>
          <w:p>
            <w:pPr>
              <w:pStyle w:val="86"/>
              <w:ind w:firstLine="360"/>
              <w:jc w:val="center"/>
              <w:rPr>
                <w:rFonts w:ascii="Times New Roman"/>
                <w:sz w:val="18"/>
                <w:szCs w:val="28"/>
              </w:rPr>
            </w:pPr>
          </w:p>
        </w:tc>
        <w:tc>
          <w:tcPr>
            <w:tcW w:w="599" w:type="pct"/>
            <w:gridSpan w:val="2"/>
            <w:vAlign w:val="center"/>
          </w:tcPr>
          <w:p>
            <w:pPr>
              <w:pStyle w:val="86"/>
              <w:spacing w:before="11"/>
              <w:jc w:val="center"/>
              <w:rPr>
                <w:sz w:val="18"/>
                <w:szCs w:val="28"/>
              </w:rPr>
            </w:pPr>
            <w:r>
              <w:rPr>
                <w:sz w:val="18"/>
                <w:szCs w:val="28"/>
              </w:rPr>
              <w:t>体形系数</w:t>
            </w:r>
          </w:p>
        </w:tc>
        <w:tc>
          <w:tcPr>
            <w:tcW w:w="609" w:type="pct"/>
            <w:gridSpan w:val="2"/>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610" w:hRule="atLeast"/>
          <w:jc w:val="center"/>
        </w:trPr>
        <w:tc>
          <w:tcPr>
            <w:tcW w:w="1272" w:type="pct"/>
            <w:gridSpan w:val="2"/>
            <w:vAlign w:val="center"/>
          </w:tcPr>
          <w:p>
            <w:pPr>
              <w:pStyle w:val="86"/>
              <w:spacing w:line="239" w:lineRule="exact"/>
              <w:ind w:right="199"/>
              <w:jc w:val="center"/>
              <w:rPr>
                <w:sz w:val="18"/>
                <w:szCs w:val="28"/>
              </w:rPr>
            </w:pPr>
            <w:r>
              <w:rPr>
                <w:sz w:val="18"/>
                <w:szCs w:val="28"/>
              </w:rPr>
              <w:t>整幢建筑</w:t>
            </w:r>
          </w:p>
          <w:p>
            <w:pPr>
              <w:pStyle w:val="86"/>
              <w:spacing w:line="230" w:lineRule="exact"/>
              <w:ind w:right="202"/>
              <w:jc w:val="center"/>
              <w:rPr>
                <w:sz w:val="18"/>
                <w:szCs w:val="28"/>
              </w:rPr>
            </w:pPr>
            <w:r>
              <w:rPr>
                <w:sz w:val="18"/>
                <w:szCs w:val="28"/>
              </w:rPr>
              <w:t>总窗墙面积比</w:t>
            </w:r>
          </w:p>
        </w:tc>
        <w:tc>
          <w:tcPr>
            <w:tcW w:w="598" w:type="pct"/>
            <w:vAlign w:val="center"/>
          </w:tcPr>
          <w:p>
            <w:pPr>
              <w:pStyle w:val="86"/>
              <w:ind w:firstLine="360"/>
              <w:jc w:val="center"/>
              <w:rPr>
                <w:rFonts w:ascii="Times New Roman"/>
                <w:sz w:val="18"/>
                <w:szCs w:val="28"/>
              </w:rPr>
            </w:pPr>
          </w:p>
        </w:tc>
        <w:tc>
          <w:tcPr>
            <w:tcW w:w="1280" w:type="pct"/>
            <w:gridSpan w:val="2"/>
            <w:vAlign w:val="center"/>
          </w:tcPr>
          <w:p>
            <w:pPr>
              <w:pStyle w:val="86"/>
              <w:spacing w:line="239" w:lineRule="exact"/>
              <w:jc w:val="center"/>
              <w:rPr>
                <w:sz w:val="18"/>
                <w:szCs w:val="28"/>
              </w:rPr>
            </w:pPr>
            <w:r>
              <w:rPr>
                <w:sz w:val="18"/>
                <w:szCs w:val="28"/>
              </w:rPr>
              <w:t>屋顶透光部分面积</w:t>
            </w:r>
          </w:p>
          <w:p>
            <w:pPr>
              <w:pStyle w:val="86"/>
              <w:spacing w:line="230" w:lineRule="exact"/>
              <w:jc w:val="center"/>
              <w:rPr>
                <w:sz w:val="18"/>
                <w:szCs w:val="28"/>
              </w:rPr>
            </w:pPr>
            <w:r>
              <w:rPr>
                <w:sz w:val="18"/>
                <w:szCs w:val="28"/>
              </w:rPr>
              <w:t>与屋顶总面积的比值</w:t>
            </w:r>
          </w:p>
        </w:tc>
        <w:tc>
          <w:tcPr>
            <w:tcW w:w="641" w:type="pct"/>
            <w:vAlign w:val="center"/>
          </w:tcPr>
          <w:p>
            <w:pPr>
              <w:pStyle w:val="86"/>
              <w:ind w:firstLine="360"/>
              <w:jc w:val="center"/>
              <w:rPr>
                <w:rFonts w:ascii="Times New Roman"/>
                <w:sz w:val="18"/>
                <w:szCs w:val="28"/>
              </w:rPr>
            </w:pPr>
          </w:p>
        </w:tc>
        <w:tc>
          <w:tcPr>
            <w:tcW w:w="599" w:type="pct"/>
            <w:gridSpan w:val="2"/>
            <w:vAlign w:val="center"/>
          </w:tcPr>
          <w:p>
            <w:pPr>
              <w:pStyle w:val="86"/>
              <w:spacing w:line="239" w:lineRule="exact"/>
              <w:jc w:val="center"/>
              <w:rPr>
                <w:sz w:val="18"/>
                <w:szCs w:val="28"/>
              </w:rPr>
            </w:pPr>
            <w:r>
              <w:rPr>
                <w:spacing w:val="-2"/>
                <w:sz w:val="18"/>
                <w:szCs w:val="28"/>
              </w:rPr>
              <w:t>空调系统</w:t>
            </w:r>
          </w:p>
          <w:p>
            <w:pPr>
              <w:pStyle w:val="86"/>
              <w:spacing w:line="230" w:lineRule="exact"/>
              <w:jc w:val="center"/>
              <w:rPr>
                <w:sz w:val="18"/>
                <w:szCs w:val="28"/>
              </w:rPr>
            </w:pPr>
            <w:r>
              <w:rPr>
                <w:spacing w:val="-2"/>
                <w:sz w:val="18"/>
                <w:szCs w:val="28"/>
              </w:rPr>
              <w:t>设置情况</w:t>
            </w:r>
          </w:p>
        </w:tc>
        <w:tc>
          <w:tcPr>
            <w:tcW w:w="609" w:type="pct"/>
            <w:gridSpan w:val="2"/>
            <w:vAlign w:val="center"/>
          </w:tcPr>
          <w:p>
            <w:pPr>
              <w:pStyle w:val="86"/>
              <w:spacing w:line="239" w:lineRule="exact"/>
              <w:jc w:val="center"/>
              <w:rPr>
                <w:sz w:val="18"/>
                <w:szCs w:val="28"/>
              </w:rPr>
            </w:pPr>
            <w:r>
              <w:rPr>
                <w:rFonts w:hint="eastAsia"/>
                <w:spacing w:val="-1"/>
                <w:sz w:val="18"/>
                <w:szCs w:val="28"/>
              </w:rPr>
              <w:t>□</w:t>
            </w:r>
            <w:r>
              <w:rPr>
                <w:spacing w:val="-1"/>
                <w:sz w:val="18"/>
                <w:szCs w:val="28"/>
              </w:rPr>
              <w:t>集中</w:t>
            </w:r>
          </w:p>
          <w:p>
            <w:pPr>
              <w:pStyle w:val="86"/>
              <w:spacing w:line="230" w:lineRule="exact"/>
              <w:jc w:val="center"/>
              <w:rPr>
                <w:sz w:val="18"/>
                <w:szCs w:val="28"/>
              </w:rPr>
            </w:pPr>
            <w:r>
              <w:rPr>
                <w:rFonts w:hint="eastAsia"/>
                <w:spacing w:val="-1"/>
                <w:sz w:val="18"/>
                <w:szCs w:val="28"/>
              </w:rPr>
              <w:t>□</w:t>
            </w:r>
            <w:r>
              <w:rPr>
                <w:spacing w:val="-1"/>
                <w:sz w:val="18"/>
                <w:szCs w:val="28"/>
              </w:rPr>
              <w:t>分体</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90" w:hRule="atLeast"/>
          <w:jc w:val="center"/>
        </w:trPr>
        <w:tc>
          <w:tcPr>
            <w:tcW w:w="796" w:type="pct"/>
            <w:vMerge w:val="restart"/>
            <w:vAlign w:val="center"/>
          </w:tcPr>
          <w:p>
            <w:pPr>
              <w:pStyle w:val="86"/>
              <w:spacing w:line="239" w:lineRule="exact"/>
              <w:jc w:val="center"/>
              <w:rPr>
                <w:rFonts w:ascii="微软雅黑" w:eastAsia="微软雅黑"/>
                <w:b/>
                <w:sz w:val="18"/>
                <w:szCs w:val="28"/>
              </w:rPr>
            </w:pPr>
            <w:r>
              <w:rPr>
                <w:rFonts w:hint="eastAsia"/>
                <w:b/>
                <w:sz w:val="18"/>
                <w:szCs w:val="28"/>
              </w:rPr>
              <w:t>围护结构项目</w:t>
            </w:r>
          </w:p>
        </w:tc>
        <w:tc>
          <w:tcPr>
            <w:tcW w:w="1681" w:type="pct"/>
            <w:gridSpan w:val="3"/>
            <w:vAlign w:val="center"/>
          </w:tcPr>
          <w:p>
            <w:pPr>
              <w:pStyle w:val="86"/>
              <w:spacing w:line="239" w:lineRule="exact"/>
              <w:jc w:val="center"/>
              <w:rPr>
                <w:b/>
                <w:sz w:val="18"/>
                <w:szCs w:val="28"/>
              </w:rPr>
            </w:pPr>
            <w:r>
              <w:rPr>
                <w:rFonts w:hint="eastAsia"/>
                <w:b/>
                <w:sz w:val="18"/>
                <w:szCs w:val="28"/>
              </w:rPr>
              <w:t>基本要求</w:t>
            </w:r>
          </w:p>
        </w:tc>
        <w:tc>
          <w:tcPr>
            <w:tcW w:w="2523" w:type="pct"/>
            <w:gridSpan w:val="6"/>
            <w:vAlign w:val="center"/>
          </w:tcPr>
          <w:p>
            <w:pPr>
              <w:pStyle w:val="86"/>
              <w:spacing w:line="239" w:lineRule="exact"/>
              <w:jc w:val="center"/>
              <w:rPr>
                <w:b/>
                <w:sz w:val="18"/>
                <w:szCs w:val="28"/>
              </w:rPr>
            </w:pPr>
            <w:r>
              <w:rPr>
                <w:rFonts w:hint="eastAsia"/>
                <w:b/>
                <w:sz w:val="18"/>
                <w:szCs w:val="28"/>
              </w:rPr>
              <w:t>设计建筑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706" w:hRule="atLeast"/>
          <w:jc w:val="center"/>
        </w:trPr>
        <w:tc>
          <w:tcPr>
            <w:tcW w:w="796" w:type="pct"/>
            <w:vMerge w:val="continue"/>
            <w:vAlign w:val="center"/>
          </w:tcPr>
          <w:p>
            <w:pPr>
              <w:ind w:firstLine="80"/>
              <w:jc w:val="center"/>
              <w:rPr>
                <w:sz w:val="4"/>
                <w:szCs w:val="4"/>
              </w:rPr>
            </w:pPr>
          </w:p>
        </w:tc>
        <w:tc>
          <w:tcPr>
            <w:tcW w:w="1681" w:type="pct"/>
            <w:gridSpan w:val="3"/>
            <w:vAlign w:val="center"/>
          </w:tcPr>
          <w:p>
            <w:pPr>
              <w:pStyle w:val="86"/>
              <w:spacing w:before="138" w:line="228" w:lineRule="auto"/>
              <w:ind w:right="15"/>
              <w:jc w:val="center"/>
              <w:rPr>
                <w:rFonts w:ascii="Times New Roman" w:eastAsia="Times New Roman"/>
                <w:sz w:val="18"/>
                <w:szCs w:val="28"/>
              </w:rPr>
            </w:pPr>
            <w:r>
              <w:rPr>
                <w:sz w:val="18"/>
                <w:szCs w:val="28"/>
              </w:rPr>
              <w:t>传热系数</w:t>
            </w:r>
            <w:r>
              <w:rPr>
                <w:rFonts w:ascii="Times New Roman" w:eastAsia="Times New Roman"/>
                <w:sz w:val="18"/>
                <w:szCs w:val="28"/>
              </w:rPr>
              <w:t>K [W/(m</w:t>
            </w:r>
            <w:r>
              <w:rPr>
                <w:rFonts w:ascii="Times New Roman" w:eastAsia="Times New Roman"/>
                <w:position w:val="5"/>
                <w:sz w:val="11"/>
                <w:szCs w:val="28"/>
              </w:rPr>
              <w:t>2</w:t>
            </w:r>
            <w:r>
              <w:rPr>
                <w:rFonts w:ascii="Times New Roman" w:eastAsia="Times New Roman"/>
                <w:sz w:val="18"/>
                <w:szCs w:val="28"/>
              </w:rPr>
              <w:t>·k)]</w:t>
            </w:r>
          </w:p>
        </w:tc>
        <w:tc>
          <w:tcPr>
            <w:tcW w:w="674" w:type="pct"/>
            <w:vAlign w:val="center"/>
          </w:tcPr>
          <w:p>
            <w:pPr>
              <w:pStyle w:val="86"/>
              <w:spacing w:before="23" w:line="218" w:lineRule="auto"/>
              <w:ind w:right="70"/>
              <w:jc w:val="center"/>
              <w:rPr>
                <w:rFonts w:ascii="Times New Roman" w:eastAsia="Times New Roman"/>
                <w:sz w:val="18"/>
                <w:szCs w:val="28"/>
              </w:rPr>
            </w:pPr>
            <w:r>
              <w:rPr>
                <w:sz w:val="18"/>
                <w:szCs w:val="28"/>
              </w:rPr>
              <w:t>平均传热系数</w:t>
            </w:r>
            <w:r>
              <w:rPr>
                <w:rFonts w:ascii="Times New Roman" w:eastAsia="Times New Roman"/>
                <w:sz w:val="18"/>
                <w:szCs w:val="28"/>
              </w:rPr>
              <w:t>K [W/(m</w:t>
            </w:r>
            <w:r>
              <w:rPr>
                <w:rFonts w:ascii="Times New Roman" w:eastAsia="Times New Roman"/>
                <w:position w:val="5"/>
                <w:sz w:val="11"/>
                <w:szCs w:val="28"/>
              </w:rPr>
              <w:t>2</w:t>
            </w:r>
            <w:r>
              <w:rPr>
                <w:rFonts w:ascii="Times New Roman" w:eastAsia="Times New Roman"/>
                <w:sz w:val="18"/>
                <w:szCs w:val="28"/>
              </w:rPr>
              <w:t>·k)]</w:t>
            </w:r>
          </w:p>
        </w:tc>
        <w:tc>
          <w:tcPr>
            <w:tcW w:w="981" w:type="pct"/>
            <w:gridSpan w:val="2"/>
            <w:vAlign w:val="center"/>
          </w:tcPr>
          <w:p>
            <w:pPr>
              <w:pStyle w:val="86"/>
              <w:spacing w:line="239" w:lineRule="exact"/>
              <w:jc w:val="center"/>
              <w:rPr>
                <w:sz w:val="18"/>
                <w:szCs w:val="28"/>
              </w:rPr>
            </w:pPr>
            <w:r>
              <w:rPr>
                <w:sz w:val="18"/>
                <w:szCs w:val="28"/>
              </w:rPr>
              <w:t>节能构造措施</w:t>
            </w:r>
          </w:p>
          <w:p>
            <w:pPr>
              <w:pStyle w:val="86"/>
              <w:spacing w:line="244" w:lineRule="exact"/>
              <w:jc w:val="center"/>
              <w:rPr>
                <w:sz w:val="18"/>
                <w:szCs w:val="28"/>
              </w:rPr>
            </w:pPr>
            <w:r>
              <w:rPr>
                <w:sz w:val="18"/>
                <w:szCs w:val="28"/>
              </w:rPr>
              <w:t>（节能材料名称、厚度）</w:t>
            </w:r>
          </w:p>
        </w:tc>
        <w:tc>
          <w:tcPr>
            <w:tcW w:w="442" w:type="pct"/>
            <w:gridSpan w:val="2"/>
            <w:vAlign w:val="center"/>
          </w:tcPr>
          <w:p>
            <w:pPr>
              <w:pStyle w:val="86"/>
              <w:spacing w:before="124" w:line="208" w:lineRule="auto"/>
              <w:ind w:right="153"/>
              <w:jc w:val="center"/>
              <w:rPr>
                <w:sz w:val="18"/>
                <w:szCs w:val="28"/>
              </w:rPr>
            </w:pPr>
            <w:r>
              <w:rPr>
                <w:sz w:val="18"/>
                <w:szCs w:val="28"/>
              </w:rPr>
              <w:t>保温形式</w:t>
            </w:r>
          </w:p>
        </w:tc>
        <w:tc>
          <w:tcPr>
            <w:tcW w:w="426" w:type="pct"/>
            <w:vAlign w:val="center"/>
          </w:tcPr>
          <w:p>
            <w:pPr>
              <w:pStyle w:val="86"/>
              <w:spacing w:line="211" w:lineRule="auto"/>
              <w:ind w:right="77"/>
              <w:jc w:val="center"/>
              <w:rPr>
                <w:spacing w:val="-9"/>
                <w:sz w:val="18"/>
                <w:szCs w:val="28"/>
              </w:rPr>
            </w:pPr>
            <w:r>
              <w:rPr>
                <w:spacing w:val="-8"/>
                <w:sz w:val="18"/>
                <w:szCs w:val="28"/>
              </w:rPr>
              <w:t>燃烧</w:t>
            </w:r>
            <w:r>
              <w:rPr>
                <w:spacing w:val="-9"/>
                <w:sz w:val="18"/>
                <w:szCs w:val="28"/>
              </w:rPr>
              <w:t>性能</w:t>
            </w:r>
          </w:p>
          <w:p>
            <w:pPr>
              <w:pStyle w:val="86"/>
              <w:spacing w:line="211" w:lineRule="auto"/>
              <w:ind w:right="77"/>
              <w:jc w:val="center"/>
              <w:rPr>
                <w:sz w:val="18"/>
                <w:szCs w:val="28"/>
              </w:rPr>
            </w:pPr>
            <w:r>
              <w:rPr>
                <w:spacing w:val="-1"/>
                <w:sz w:val="18"/>
                <w:szCs w:val="28"/>
              </w:rPr>
              <w:t>等级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467" w:hRule="atLeast"/>
          <w:jc w:val="center"/>
        </w:trPr>
        <w:tc>
          <w:tcPr>
            <w:tcW w:w="796" w:type="pct"/>
            <w:vMerge w:val="restart"/>
            <w:vAlign w:val="center"/>
          </w:tcPr>
          <w:p>
            <w:pPr>
              <w:pStyle w:val="86"/>
              <w:spacing w:line="262" w:lineRule="exact"/>
              <w:ind w:right="22"/>
              <w:jc w:val="center"/>
              <w:rPr>
                <w:sz w:val="18"/>
                <w:szCs w:val="28"/>
              </w:rPr>
            </w:pPr>
            <w:r>
              <w:rPr>
                <w:sz w:val="18"/>
                <w:szCs w:val="28"/>
              </w:rPr>
              <w:t>屋面</w:t>
            </w:r>
          </w:p>
          <w:p>
            <w:pPr>
              <w:pStyle w:val="86"/>
              <w:spacing w:before="8" w:line="208" w:lineRule="auto"/>
              <w:ind w:right="46"/>
              <w:jc w:val="center"/>
              <w:rPr>
                <w:sz w:val="18"/>
                <w:szCs w:val="28"/>
              </w:rPr>
            </w:pPr>
            <w:r>
              <w:rPr>
                <w:sz w:val="18"/>
                <w:szCs w:val="28"/>
              </w:rPr>
              <w:t>（非透光部分）</w:t>
            </w:r>
          </w:p>
        </w:tc>
        <w:tc>
          <w:tcPr>
            <w:tcW w:w="477" w:type="pct"/>
            <w:vAlign w:val="center"/>
          </w:tcPr>
          <w:p>
            <w:pPr>
              <w:pStyle w:val="86"/>
              <w:spacing w:before="98"/>
              <w:ind w:right="20"/>
              <w:jc w:val="center"/>
              <w:rPr>
                <w:sz w:val="18"/>
                <w:szCs w:val="28"/>
              </w:rPr>
            </w:pPr>
            <w:r>
              <w:rPr>
                <w:sz w:val="18"/>
                <w:szCs w:val="28"/>
              </w:rPr>
              <w:t>甲类</w:t>
            </w:r>
          </w:p>
        </w:tc>
        <w:tc>
          <w:tcPr>
            <w:tcW w:w="1204" w:type="pct"/>
            <w:gridSpan w:val="2"/>
            <w:vAlign w:val="center"/>
          </w:tcPr>
          <w:p>
            <w:pPr>
              <w:pStyle w:val="86"/>
              <w:spacing w:line="240" w:lineRule="exact"/>
              <w:ind w:firstLine="540" w:firstLineChars="300"/>
              <w:rPr>
                <w:sz w:val="18"/>
                <w:szCs w:val="28"/>
              </w:rPr>
            </w:pPr>
            <w:r>
              <w:rPr>
                <w:rFonts w:ascii="Times New Roman" w:eastAsia="Times New Roman"/>
                <w:sz w:val="18"/>
                <w:szCs w:val="28"/>
              </w:rPr>
              <w:t>D</w:t>
            </w:r>
            <w:r>
              <w:rPr>
                <w:rFonts w:hAnsi="宋体"/>
                <w:sz w:val="18"/>
                <w:szCs w:val="28"/>
              </w:rPr>
              <w:t>≤</w:t>
            </w:r>
            <w:r>
              <w:rPr>
                <w:rFonts w:ascii="Times New Roman" w:eastAsia="Times New Roman"/>
                <w:sz w:val="18"/>
                <w:szCs w:val="28"/>
              </w:rPr>
              <w:t>2.5</w:t>
            </w:r>
            <w:r>
              <w:rPr>
                <w:sz w:val="18"/>
                <w:szCs w:val="28"/>
              </w:rPr>
              <w:t>，</w:t>
            </w:r>
            <w:r>
              <w:rPr>
                <w:rFonts w:ascii="Times New Roman" w:eastAsia="Times New Roman"/>
                <w:sz w:val="18"/>
                <w:szCs w:val="28"/>
              </w:rPr>
              <w:t>K</w:t>
            </w:r>
            <w:r>
              <w:rPr>
                <w:rFonts w:hAnsi="宋体"/>
                <w:sz w:val="18"/>
                <w:szCs w:val="28"/>
              </w:rPr>
              <w:t>≤</w:t>
            </w:r>
            <w:r>
              <w:rPr>
                <w:rFonts w:ascii="Times New Roman" w:eastAsia="Times New Roman"/>
                <w:sz w:val="18"/>
                <w:szCs w:val="28"/>
              </w:rPr>
              <w:t>0.20</w:t>
            </w:r>
            <w:r>
              <w:rPr>
                <w:sz w:val="18"/>
                <w:szCs w:val="28"/>
              </w:rPr>
              <w:t>；</w:t>
            </w:r>
          </w:p>
          <w:p>
            <w:pPr>
              <w:pStyle w:val="86"/>
              <w:spacing w:line="240" w:lineRule="exact"/>
              <w:ind w:firstLine="540" w:firstLineChars="300"/>
              <w:rPr>
                <w:rFonts w:ascii="Times New Roman" w:eastAsia="Times New Roman"/>
                <w:sz w:val="18"/>
                <w:szCs w:val="28"/>
              </w:rPr>
            </w:pPr>
            <w:r>
              <w:rPr>
                <w:rFonts w:ascii="Times New Roman" w:eastAsia="Times New Roman"/>
                <w:sz w:val="18"/>
                <w:szCs w:val="28"/>
              </w:rPr>
              <w:t>D</w:t>
            </w:r>
            <w:r>
              <w:rPr>
                <w:rFonts w:hAnsi="宋体"/>
                <w:sz w:val="18"/>
                <w:szCs w:val="28"/>
              </w:rPr>
              <w:t>＞</w:t>
            </w:r>
            <w:r>
              <w:rPr>
                <w:rFonts w:ascii="Times New Roman" w:eastAsia="Times New Roman"/>
                <w:sz w:val="18"/>
                <w:szCs w:val="28"/>
              </w:rPr>
              <w:t>2.5</w:t>
            </w:r>
            <w:r>
              <w:rPr>
                <w:sz w:val="18"/>
                <w:szCs w:val="28"/>
              </w:rPr>
              <w:t>，</w:t>
            </w:r>
            <w:r>
              <w:rPr>
                <w:rFonts w:ascii="Times New Roman" w:eastAsia="Times New Roman"/>
                <w:sz w:val="18"/>
                <w:szCs w:val="28"/>
              </w:rPr>
              <w:t>K</w:t>
            </w:r>
            <w:r>
              <w:rPr>
                <w:rFonts w:hAnsi="宋体"/>
                <w:sz w:val="18"/>
                <w:szCs w:val="28"/>
              </w:rPr>
              <w:t>≤</w:t>
            </w:r>
            <w:r>
              <w:rPr>
                <w:rFonts w:ascii="Times New Roman" w:eastAsia="Times New Roman"/>
                <w:sz w:val="18"/>
                <w:szCs w:val="28"/>
              </w:rPr>
              <w:t>0.25</w:t>
            </w:r>
            <w:r>
              <w:rPr>
                <w:rFonts w:hint="eastAsia" w:asciiTheme="minorEastAsia" w:hAnsiTheme="minorEastAsia" w:eastAsiaTheme="minorEastAsia"/>
                <w:sz w:val="18"/>
                <w:szCs w:val="28"/>
              </w:rPr>
              <w:t>；</w:t>
            </w: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54" w:hRule="atLeast"/>
          <w:jc w:val="center"/>
        </w:trPr>
        <w:tc>
          <w:tcPr>
            <w:tcW w:w="796" w:type="pct"/>
            <w:vMerge w:val="continue"/>
            <w:vAlign w:val="center"/>
          </w:tcPr>
          <w:p>
            <w:pPr>
              <w:ind w:firstLine="80"/>
              <w:jc w:val="center"/>
              <w:rPr>
                <w:sz w:val="4"/>
                <w:szCs w:val="4"/>
              </w:rPr>
            </w:pPr>
          </w:p>
        </w:tc>
        <w:tc>
          <w:tcPr>
            <w:tcW w:w="477" w:type="pct"/>
            <w:vAlign w:val="center"/>
          </w:tcPr>
          <w:p>
            <w:pPr>
              <w:pStyle w:val="86"/>
              <w:spacing w:line="264" w:lineRule="exact"/>
              <w:ind w:right="20"/>
              <w:jc w:val="center"/>
              <w:rPr>
                <w:sz w:val="18"/>
                <w:szCs w:val="28"/>
              </w:rPr>
            </w:pPr>
            <w:r>
              <w:rPr>
                <w:sz w:val="18"/>
                <w:szCs w:val="28"/>
              </w:rPr>
              <w:t>乙类</w:t>
            </w:r>
          </w:p>
        </w:tc>
        <w:tc>
          <w:tcPr>
            <w:tcW w:w="1204" w:type="pct"/>
            <w:gridSpan w:val="2"/>
            <w:vAlign w:val="center"/>
          </w:tcPr>
          <w:p>
            <w:pPr>
              <w:pStyle w:val="86"/>
              <w:spacing w:line="264" w:lineRule="exact"/>
              <w:jc w:val="center"/>
              <w:rPr>
                <w:rFonts w:ascii="Times New Roman"/>
                <w:sz w:val="18"/>
                <w:szCs w:val="28"/>
              </w:rPr>
            </w:pPr>
            <w:r>
              <w:rPr>
                <w:rFonts w:ascii="Times New Roman"/>
                <w:sz w:val="18"/>
                <w:szCs w:val="28"/>
              </w:rPr>
              <w:t>K</w:t>
            </w:r>
            <w:r>
              <w:rPr>
                <w:rFonts w:hAnsi="宋体"/>
                <w:sz w:val="18"/>
                <w:szCs w:val="28"/>
              </w:rPr>
              <w:t>≤</w:t>
            </w:r>
            <w:r>
              <w:rPr>
                <w:rFonts w:ascii="Times New Roman"/>
                <w:sz w:val="18"/>
                <w:szCs w:val="28"/>
              </w:rPr>
              <w:t>0.30</w:t>
            </w: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54" w:hRule="atLeast"/>
          <w:jc w:val="center"/>
        </w:trPr>
        <w:tc>
          <w:tcPr>
            <w:tcW w:w="796" w:type="pct"/>
            <w:vMerge w:val="restart"/>
            <w:vAlign w:val="center"/>
          </w:tcPr>
          <w:p>
            <w:pPr>
              <w:pStyle w:val="86"/>
              <w:spacing w:line="238" w:lineRule="exact"/>
              <w:ind w:right="22"/>
              <w:jc w:val="center"/>
              <w:rPr>
                <w:sz w:val="18"/>
                <w:szCs w:val="28"/>
              </w:rPr>
            </w:pPr>
            <w:r>
              <w:rPr>
                <w:sz w:val="18"/>
                <w:szCs w:val="28"/>
              </w:rPr>
              <w:t>外墙</w:t>
            </w:r>
          </w:p>
          <w:p>
            <w:pPr>
              <w:pStyle w:val="86"/>
              <w:spacing w:line="245" w:lineRule="exact"/>
              <w:ind w:right="22"/>
              <w:jc w:val="center"/>
              <w:rPr>
                <w:sz w:val="18"/>
                <w:szCs w:val="28"/>
              </w:rPr>
            </w:pPr>
            <w:r>
              <w:rPr>
                <w:spacing w:val="-1"/>
                <w:sz w:val="18"/>
                <w:szCs w:val="28"/>
              </w:rPr>
              <w:t>（</w:t>
            </w:r>
            <w:r>
              <w:rPr>
                <w:spacing w:val="-2"/>
                <w:sz w:val="18"/>
                <w:szCs w:val="28"/>
              </w:rPr>
              <w:t>含非透光幕墙</w:t>
            </w:r>
            <w:r>
              <w:rPr>
                <w:sz w:val="18"/>
                <w:szCs w:val="28"/>
              </w:rPr>
              <w:t>）</w:t>
            </w:r>
          </w:p>
        </w:tc>
        <w:tc>
          <w:tcPr>
            <w:tcW w:w="477" w:type="pct"/>
            <w:vAlign w:val="center"/>
          </w:tcPr>
          <w:p>
            <w:pPr>
              <w:pStyle w:val="86"/>
              <w:spacing w:line="264" w:lineRule="exact"/>
              <w:jc w:val="center"/>
              <w:rPr>
                <w:sz w:val="18"/>
                <w:szCs w:val="28"/>
              </w:rPr>
            </w:pPr>
            <w:r>
              <w:rPr>
                <w:sz w:val="18"/>
                <w:szCs w:val="28"/>
              </w:rPr>
              <w:t>甲类</w:t>
            </w:r>
          </w:p>
        </w:tc>
        <w:tc>
          <w:tcPr>
            <w:tcW w:w="1204" w:type="pct"/>
            <w:gridSpan w:val="2"/>
            <w:vAlign w:val="center"/>
          </w:tcPr>
          <w:p>
            <w:pPr>
              <w:pStyle w:val="86"/>
              <w:spacing w:line="264" w:lineRule="exact"/>
              <w:jc w:val="center"/>
              <w:rPr>
                <w:rFonts w:ascii="Times New Roman"/>
                <w:sz w:val="18"/>
                <w:szCs w:val="28"/>
              </w:rPr>
            </w:pPr>
            <w:r>
              <w:rPr>
                <w:rFonts w:ascii="Times New Roman"/>
                <w:sz w:val="18"/>
                <w:szCs w:val="28"/>
              </w:rPr>
              <w:t>K</w:t>
            </w:r>
            <w:r>
              <w:rPr>
                <w:rFonts w:hAnsi="宋体"/>
                <w:sz w:val="18"/>
                <w:szCs w:val="28"/>
              </w:rPr>
              <w:t>≤</w:t>
            </w:r>
            <w:r>
              <w:rPr>
                <w:rFonts w:ascii="Times New Roman"/>
                <w:sz w:val="18"/>
                <w:szCs w:val="28"/>
              </w:rPr>
              <w:t>0.80</w:t>
            </w: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293" w:hRule="atLeast"/>
          <w:jc w:val="center"/>
        </w:trPr>
        <w:tc>
          <w:tcPr>
            <w:tcW w:w="796" w:type="pct"/>
            <w:vMerge w:val="continue"/>
            <w:vAlign w:val="center"/>
          </w:tcPr>
          <w:p>
            <w:pPr>
              <w:ind w:firstLine="80"/>
              <w:jc w:val="center"/>
              <w:rPr>
                <w:sz w:val="4"/>
                <w:szCs w:val="4"/>
              </w:rPr>
            </w:pPr>
          </w:p>
        </w:tc>
        <w:tc>
          <w:tcPr>
            <w:tcW w:w="477" w:type="pct"/>
            <w:vAlign w:val="center"/>
          </w:tcPr>
          <w:p>
            <w:pPr>
              <w:pStyle w:val="86"/>
              <w:spacing w:before="73"/>
              <w:jc w:val="center"/>
              <w:rPr>
                <w:sz w:val="18"/>
                <w:szCs w:val="28"/>
              </w:rPr>
            </w:pPr>
            <w:r>
              <w:rPr>
                <w:sz w:val="18"/>
                <w:szCs w:val="28"/>
              </w:rPr>
              <w:t>乙类</w:t>
            </w:r>
          </w:p>
        </w:tc>
        <w:tc>
          <w:tcPr>
            <w:tcW w:w="1204" w:type="pct"/>
            <w:gridSpan w:val="2"/>
            <w:vAlign w:val="center"/>
          </w:tcPr>
          <w:p>
            <w:pPr>
              <w:pStyle w:val="86"/>
              <w:spacing w:before="73"/>
              <w:jc w:val="center"/>
              <w:rPr>
                <w:rFonts w:ascii="Times New Roman"/>
                <w:sz w:val="18"/>
                <w:szCs w:val="28"/>
              </w:rPr>
            </w:pPr>
            <w:r>
              <w:rPr>
                <w:rFonts w:ascii="Times New Roman"/>
                <w:sz w:val="18"/>
                <w:szCs w:val="28"/>
              </w:rPr>
              <w:t>K</w:t>
            </w:r>
            <w:r>
              <w:rPr>
                <w:rFonts w:hAnsi="宋体"/>
                <w:sz w:val="18"/>
                <w:szCs w:val="28"/>
              </w:rPr>
              <w:t>≤</w:t>
            </w:r>
            <w:r>
              <w:rPr>
                <w:rFonts w:ascii="Times New Roman"/>
                <w:sz w:val="18"/>
                <w:szCs w:val="28"/>
              </w:rPr>
              <w:t>1.00</w:t>
            </w: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55" w:hRule="atLeast"/>
          <w:jc w:val="center"/>
        </w:trPr>
        <w:tc>
          <w:tcPr>
            <w:tcW w:w="796" w:type="pct"/>
            <w:vMerge w:val="restart"/>
            <w:vAlign w:val="center"/>
          </w:tcPr>
          <w:p>
            <w:pPr>
              <w:pStyle w:val="86"/>
              <w:spacing w:before="94" w:line="211" w:lineRule="auto"/>
              <w:ind w:right="46"/>
              <w:jc w:val="center"/>
              <w:rPr>
                <w:sz w:val="18"/>
                <w:szCs w:val="28"/>
              </w:rPr>
            </w:pPr>
            <w:r>
              <w:rPr>
                <w:sz w:val="18"/>
                <w:szCs w:val="28"/>
              </w:rPr>
              <w:t>底面接触室外空气的架空或外挑楼板</w:t>
            </w:r>
          </w:p>
        </w:tc>
        <w:tc>
          <w:tcPr>
            <w:tcW w:w="477" w:type="pct"/>
            <w:vAlign w:val="center"/>
          </w:tcPr>
          <w:p>
            <w:pPr>
              <w:pStyle w:val="86"/>
              <w:spacing w:line="264" w:lineRule="exact"/>
              <w:ind w:right="20"/>
              <w:jc w:val="center"/>
              <w:rPr>
                <w:sz w:val="18"/>
                <w:szCs w:val="28"/>
              </w:rPr>
            </w:pPr>
            <w:r>
              <w:rPr>
                <w:sz w:val="18"/>
                <w:szCs w:val="28"/>
              </w:rPr>
              <w:t>甲类</w:t>
            </w:r>
          </w:p>
        </w:tc>
        <w:tc>
          <w:tcPr>
            <w:tcW w:w="1204" w:type="pct"/>
            <w:gridSpan w:val="2"/>
            <w:vAlign w:val="center"/>
          </w:tcPr>
          <w:p>
            <w:pPr>
              <w:pStyle w:val="86"/>
              <w:spacing w:line="264" w:lineRule="exact"/>
              <w:jc w:val="center"/>
              <w:rPr>
                <w:rFonts w:ascii="Times New Roman"/>
                <w:sz w:val="18"/>
                <w:szCs w:val="28"/>
              </w:rPr>
            </w:pPr>
            <w:r>
              <w:rPr>
                <w:rFonts w:ascii="Times New Roman"/>
                <w:sz w:val="18"/>
                <w:szCs w:val="28"/>
              </w:rPr>
              <w:t>K</w:t>
            </w:r>
            <w:r>
              <w:rPr>
                <w:rFonts w:hAnsi="宋体"/>
                <w:sz w:val="18"/>
                <w:szCs w:val="28"/>
              </w:rPr>
              <w:t>≤</w:t>
            </w:r>
            <w:r>
              <w:rPr>
                <w:rFonts w:ascii="Times New Roman"/>
                <w:sz w:val="18"/>
                <w:szCs w:val="28"/>
              </w:rPr>
              <w:t>0.50</w:t>
            </w: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54" w:hRule="atLeast"/>
          <w:jc w:val="center"/>
        </w:trPr>
        <w:tc>
          <w:tcPr>
            <w:tcW w:w="796" w:type="pct"/>
            <w:vMerge w:val="continue"/>
            <w:vAlign w:val="center"/>
          </w:tcPr>
          <w:p>
            <w:pPr>
              <w:ind w:firstLine="80"/>
              <w:jc w:val="center"/>
              <w:rPr>
                <w:sz w:val="4"/>
                <w:szCs w:val="4"/>
              </w:rPr>
            </w:pPr>
          </w:p>
        </w:tc>
        <w:tc>
          <w:tcPr>
            <w:tcW w:w="477" w:type="pct"/>
            <w:vAlign w:val="center"/>
          </w:tcPr>
          <w:p>
            <w:pPr>
              <w:pStyle w:val="86"/>
              <w:spacing w:line="264" w:lineRule="exact"/>
              <w:ind w:right="20"/>
              <w:jc w:val="center"/>
              <w:rPr>
                <w:sz w:val="18"/>
                <w:szCs w:val="28"/>
              </w:rPr>
            </w:pPr>
            <w:r>
              <w:rPr>
                <w:sz w:val="18"/>
                <w:szCs w:val="28"/>
              </w:rPr>
              <w:t>乙类</w:t>
            </w:r>
          </w:p>
        </w:tc>
        <w:tc>
          <w:tcPr>
            <w:tcW w:w="1204" w:type="pct"/>
            <w:gridSpan w:val="2"/>
            <w:vAlign w:val="center"/>
          </w:tcPr>
          <w:p>
            <w:pPr>
              <w:pStyle w:val="86"/>
              <w:spacing w:line="264" w:lineRule="exact"/>
              <w:jc w:val="center"/>
              <w:rPr>
                <w:rFonts w:ascii="Times New Roman"/>
                <w:sz w:val="18"/>
                <w:szCs w:val="28"/>
              </w:rPr>
            </w:pPr>
            <w:r>
              <w:rPr>
                <w:rFonts w:ascii="Times New Roman"/>
                <w:sz w:val="18"/>
                <w:szCs w:val="28"/>
              </w:rPr>
              <w:t>K</w:t>
            </w:r>
            <w:r>
              <w:rPr>
                <w:rFonts w:hAnsi="宋体"/>
                <w:sz w:val="18"/>
                <w:szCs w:val="28"/>
              </w:rPr>
              <w:t>≤</w:t>
            </w:r>
            <w:r>
              <w:rPr>
                <w:rFonts w:ascii="Times New Roman"/>
                <w:sz w:val="18"/>
                <w:szCs w:val="28"/>
              </w:rPr>
              <w:t>0.80</w:t>
            </w: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3" w:hRule="atLeast"/>
          <w:jc w:val="center"/>
        </w:trPr>
        <w:tc>
          <w:tcPr>
            <w:tcW w:w="796" w:type="pct"/>
            <w:vAlign w:val="center"/>
          </w:tcPr>
          <w:p>
            <w:pPr>
              <w:pStyle w:val="86"/>
              <w:spacing w:before="11"/>
              <w:jc w:val="center"/>
              <w:rPr>
                <w:sz w:val="18"/>
                <w:szCs w:val="28"/>
              </w:rPr>
            </w:pPr>
            <w:r>
              <w:rPr>
                <w:sz w:val="18"/>
                <w:szCs w:val="28"/>
              </w:rPr>
              <w:t>其他部位</w:t>
            </w:r>
          </w:p>
        </w:tc>
        <w:tc>
          <w:tcPr>
            <w:tcW w:w="1681" w:type="pct"/>
            <w:gridSpan w:val="3"/>
            <w:vAlign w:val="center"/>
          </w:tcPr>
          <w:p>
            <w:pPr>
              <w:pStyle w:val="86"/>
              <w:ind w:firstLine="360"/>
              <w:jc w:val="center"/>
              <w:rPr>
                <w:rFonts w:ascii="Times New Roman"/>
                <w:sz w:val="18"/>
                <w:szCs w:val="28"/>
              </w:rPr>
            </w:pPr>
          </w:p>
        </w:tc>
        <w:tc>
          <w:tcPr>
            <w:tcW w:w="674" w:type="pct"/>
            <w:vAlign w:val="center"/>
          </w:tcPr>
          <w:p>
            <w:pPr>
              <w:pStyle w:val="86"/>
              <w:ind w:firstLine="360"/>
              <w:jc w:val="center"/>
              <w:rPr>
                <w:rFonts w:ascii="Times New Roman"/>
                <w:sz w:val="18"/>
                <w:szCs w:val="28"/>
              </w:rPr>
            </w:pPr>
          </w:p>
        </w:tc>
        <w:tc>
          <w:tcPr>
            <w:tcW w:w="981" w:type="pct"/>
            <w:gridSpan w:val="2"/>
            <w:vAlign w:val="center"/>
          </w:tcPr>
          <w:p>
            <w:pPr>
              <w:pStyle w:val="86"/>
              <w:ind w:firstLine="360"/>
              <w:jc w:val="center"/>
              <w:rPr>
                <w:rFonts w:ascii="Times New Roman"/>
                <w:sz w:val="18"/>
                <w:szCs w:val="28"/>
              </w:rPr>
            </w:pPr>
          </w:p>
        </w:tc>
        <w:tc>
          <w:tcPr>
            <w:tcW w:w="442" w:type="pct"/>
            <w:gridSpan w:val="2"/>
            <w:vAlign w:val="center"/>
          </w:tcPr>
          <w:p>
            <w:pPr>
              <w:pStyle w:val="86"/>
              <w:ind w:firstLine="360"/>
              <w:jc w:val="center"/>
              <w:rPr>
                <w:rFonts w:ascii="Times New Roman"/>
                <w:sz w:val="18"/>
                <w:szCs w:val="28"/>
              </w:rPr>
            </w:pPr>
          </w:p>
        </w:tc>
        <w:tc>
          <w:tcPr>
            <w:tcW w:w="426" w:type="pct"/>
            <w:vAlign w:val="center"/>
          </w:tcPr>
          <w:p>
            <w:pPr>
              <w:pStyle w:val="86"/>
              <w:ind w:firstLine="360"/>
              <w:jc w:val="center"/>
              <w:rPr>
                <w:rFonts w:ascii="Times New Roman"/>
                <w:sz w:val="1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709" w:hRule="atLeast"/>
          <w:jc w:val="center"/>
        </w:trPr>
        <w:tc>
          <w:tcPr>
            <w:tcW w:w="796" w:type="pct"/>
            <w:vAlign w:val="center"/>
          </w:tcPr>
          <w:p>
            <w:pPr>
              <w:pStyle w:val="86"/>
              <w:ind w:right="210" w:rightChars="100"/>
              <w:jc w:val="center"/>
              <w:rPr>
                <w:sz w:val="18"/>
                <w:szCs w:val="28"/>
              </w:rPr>
            </w:pPr>
            <w:r>
              <w:rPr>
                <w:sz w:val="18"/>
                <w:szCs w:val="28"/>
              </w:rPr>
              <w:t>屋面绿化设置情况</w:t>
            </w:r>
          </w:p>
        </w:tc>
        <w:tc>
          <w:tcPr>
            <w:tcW w:w="4204" w:type="pct"/>
            <w:gridSpan w:val="9"/>
            <w:vAlign w:val="center"/>
          </w:tcPr>
          <w:p>
            <w:pPr>
              <w:pStyle w:val="86"/>
              <w:tabs>
                <w:tab w:val="left" w:pos="2267"/>
                <w:tab w:val="left" w:pos="2425"/>
              </w:tabs>
              <w:ind w:left="210" w:leftChars="100"/>
              <w:rPr>
                <w:sz w:val="18"/>
                <w:szCs w:val="28"/>
              </w:rPr>
            </w:pPr>
            <w:r>
              <w:rPr>
                <w:sz w:val="18"/>
                <w:szCs w:val="28"/>
              </w:rPr>
              <w:t>设</w:t>
            </w:r>
            <w:r>
              <w:rPr>
                <w:spacing w:val="-3"/>
                <w:sz w:val="18"/>
                <w:szCs w:val="28"/>
              </w:rPr>
              <w:t>置</w:t>
            </w:r>
            <w:r>
              <w:rPr>
                <w:sz w:val="18"/>
                <w:szCs w:val="28"/>
              </w:rPr>
              <w:t>部位：</w:t>
            </w:r>
            <w:r>
              <w:rPr>
                <w:rFonts w:hint="eastAsia" w:asciiTheme="minorEastAsia" w:hAnsiTheme="minorEastAsia" w:eastAsiaTheme="minorEastAsia"/>
              </w:rPr>
              <w:t>____________</w:t>
            </w:r>
            <w:r>
              <w:rPr>
                <w:sz w:val="18"/>
                <w:szCs w:val="28"/>
              </w:rPr>
              <w:t>；</w:t>
            </w:r>
          </w:p>
          <w:p>
            <w:pPr>
              <w:pStyle w:val="86"/>
              <w:tabs>
                <w:tab w:val="left" w:pos="2267"/>
                <w:tab w:val="left" w:pos="2425"/>
              </w:tabs>
              <w:ind w:left="210" w:leftChars="100"/>
              <w:rPr>
                <w:sz w:val="18"/>
                <w:szCs w:val="28"/>
              </w:rPr>
            </w:pPr>
            <w:r>
              <w:rPr>
                <w:sz w:val="18"/>
                <w:szCs w:val="28"/>
              </w:rPr>
              <w:t>设</w:t>
            </w:r>
            <w:r>
              <w:rPr>
                <w:spacing w:val="-3"/>
                <w:sz w:val="18"/>
                <w:szCs w:val="28"/>
              </w:rPr>
              <w:t>置</w:t>
            </w:r>
            <w:r>
              <w:rPr>
                <w:sz w:val="18"/>
                <w:szCs w:val="28"/>
              </w:rPr>
              <w:t>面积：</w:t>
            </w:r>
            <w:r>
              <w:rPr>
                <w:rFonts w:hint="eastAsia" w:asciiTheme="minorEastAsia" w:hAnsiTheme="minorEastAsia" w:eastAsiaTheme="minorEastAsia"/>
              </w:rPr>
              <w:t>____________</w:t>
            </w:r>
            <w:r>
              <w:rPr>
                <w:rFonts w:ascii="Times New Roman" w:eastAsia="Times New Roman"/>
                <w:spacing w:val="-8"/>
                <w:sz w:val="18"/>
                <w:szCs w:val="28"/>
              </w:rPr>
              <w:t>m²</w:t>
            </w:r>
            <w:r>
              <w:rPr>
                <w:spacing w:val="-8"/>
                <w:sz w:val="18"/>
                <w:szCs w:val="28"/>
              </w:rPr>
              <w:t>；</w:t>
            </w:r>
          </w:p>
        </w:tc>
      </w:tr>
    </w:tbl>
    <w:p>
      <w:pPr>
        <w:pStyle w:val="87"/>
        <w:numPr>
          <w:ilvl w:val="255"/>
          <w:numId w:val="0"/>
        </w:numPr>
        <w:rPr>
          <w:rFonts w:asciiTheme="minorEastAsia" w:hAnsiTheme="minorEastAsia" w:eastAsiaTheme="minorEastAsia"/>
          <w:lang w:val="en-GB"/>
        </w:rPr>
      </w:pPr>
    </w:p>
    <w:tbl>
      <w:tblPr>
        <w:tblStyle w:val="44"/>
        <w:tblW w:w="1048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0" w:type="dxa"/>
          <w:bottom w:w="0" w:type="dxa"/>
          <w:right w:w="0" w:type="dxa"/>
        </w:tblCellMar>
      </w:tblPr>
      <w:tblGrid>
        <w:gridCol w:w="849"/>
        <w:gridCol w:w="710"/>
        <w:gridCol w:w="840"/>
        <w:gridCol w:w="89"/>
        <w:gridCol w:w="1170"/>
        <w:gridCol w:w="1211"/>
        <w:gridCol w:w="891"/>
        <w:gridCol w:w="163"/>
        <w:gridCol w:w="593"/>
        <w:gridCol w:w="283"/>
        <w:gridCol w:w="817"/>
        <w:gridCol w:w="49"/>
        <w:gridCol w:w="608"/>
        <w:gridCol w:w="144"/>
        <w:gridCol w:w="163"/>
        <w:gridCol w:w="837"/>
        <w:gridCol w:w="263"/>
        <w:gridCol w:w="794"/>
        <w:gridCol w:w="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312" w:hRule="atLeast"/>
          <w:jc w:val="center"/>
        </w:trPr>
        <w:tc>
          <w:tcPr>
            <w:tcW w:w="849" w:type="dxa"/>
            <w:vMerge w:val="restart"/>
            <w:vAlign w:val="center"/>
          </w:tcPr>
          <w:p>
            <w:pPr>
              <w:pStyle w:val="86"/>
              <w:spacing w:before="1" w:line="172" w:lineRule="auto"/>
              <w:ind w:right="52"/>
              <w:jc w:val="center"/>
              <w:rPr>
                <w:sz w:val="18"/>
                <w:szCs w:val="18"/>
              </w:rPr>
            </w:pPr>
            <w:r>
              <w:rPr>
                <w:sz w:val="18"/>
                <w:szCs w:val="18"/>
              </w:rPr>
              <w:t>屋顶透光部分</w:t>
            </w:r>
          </w:p>
        </w:tc>
        <w:tc>
          <w:tcPr>
            <w:tcW w:w="4020" w:type="dxa"/>
            <w:gridSpan w:val="5"/>
            <w:vAlign w:val="center"/>
          </w:tcPr>
          <w:p>
            <w:pPr>
              <w:pStyle w:val="86"/>
              <w:spacing w:line="239" w:lineRule="exact"/>
              <w:jc w:val="center"/>
              <w:rPr>
                <w:b/>
                <w:sz w:val="18"/>
                <w:szCs w:val="28"/>
              </w:rPr>
            </w:pPr>
            <w:r>
              <w:rPr>
                <w:rFonts w:hint="eastAsia"/>
                <w:b/>
                <w:sz w:val="18"/>
                <w:szCs w:val="28"/>
              </w:rPr>
              <w:t>基本要求</w:t>
            </w:r>
          </w:p>
        </w:tc>
        <w:tc>
          <w:tcPr>
            <w:tcW w:w="5605" w:type="dxa"/>
            <w:gridSpan w:val="12"/>
            <w:vAlign w:val="center"/>
          </w:tcPr>
          <w:p>
            <w:pPr>
              <w:pStyle w:val="86"/>
              <w:spacing w:line="239" w:lineRule="exact"/>
              <w:jc w:val="center"/>
              <w:rPr>
                <w:b/>
                <w:sz w:val="18"/>
                <w:szCs w:val="28"/>
              </w:rPr>
            </w:pPr>
            <w:r>
              <w:rPr>
                <w:rFonts w:hint="eastAsia"/>
                <w:b/>
                <w:sz w:val="18"/>
                <w:szCs w:val="28"/>
              </w:rPr>
              <w:t>设计建筑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799" w:hRule="atLeast"/>
          <w:jc w:val="center"/>
        </w:trPr>
        <w:tc>
          <w:tcPr>
            <w:tcW w:w="849" w:type="dxa"/>
            <w:vMerge w:val="continue"/>
            <w:vAlign w:val="center"/>
          </w:tcPr>
          <w:p>
            <w:pPr>
              <w:ind w:firstLine="360"/>
              <w:jc w:val="center"/>
              <w:rPr>
                <w:sz w:val="18"/>
                <w:szCs w:val="18"/>
              </w:rPr>
            </w:pPr>
          </w:p>
        </w:tc>
        <w:tc>
          <w:tcPr>
            <w:tcW w:w="2809" w:type="dxa"/>
            <w:gridSpan w:val="4"/>
            <w:vAlign w:val="center"/>
          </w:tcPr>
          <w:p>
            <w:pPr>
              <w:pStyle w:val="86"/>
              <w:spacing w:line="240" w:lineRule="exact"/>
              <w:jc w:val="center"/>
              <w:rPr>
                <w:spacing w:val="-8"/>
                <w:sz w:val="18"/>
                <w:szCs w:val="18"/>
              </w:rPr>
            </w:pPr>
            <w:r>
              <w:rPr>
                <w:spacing w:val="-8"/>
                <w:sz w:val="18"/>
                <w:szCs w:val="18"/>
              </w:rPr>
              <w:t>传热系数</w:t>
            </w:r>
          </w:p>
          <w:p>
            <w:pPr>
              <w:pStyle w:val="86"/>
              <w:spacing w:line="240" w:lineRule="exact"/>
              <w:jc w:val="center"/>
              <w:rPr>
                <w:rFonts w:ascii="Times New Roman"/>
                <w:sz w:val="18"/>
                <w:szCs w:val="18"/>
              </w:rPr>
            </w:pPr>
            <w:r>
              <w:rPr>
                <w:rFonts w:ascii="Times New Roman" w:eastAsia="Times New Roman"/>
                <w:sz w:val="18"/>
                <w:szCs w:val="28"/>
              </w:rPr>
              <w:t>[W/(m</w:t>
            </w:r>
            <w:r>
              <w:rPr>
                <w:rFonts w:ascii="Times New Roman" w:eastAsia="Times New Roman"/>
                <w:position w:val="5"/>
                <w:sz w:val="11"/>
                <w:szCs w:val="28"/>
              </w:rPr>
              <w:t>2</w:t>
            </w:r>
            <w:r>
              <w:rPr>
                <w:rFonts w:ascii="Times New Roman" w:eastAsia="Times New Roman"/>
                <w:sz w:val="18"/>
                <w:szCs w:val="28"/>
              </w:rPr>
              <w:t>·k)]</w:t>
            </w:r>
          </w:p>
        </w:tc>
        <w:tc>
          <w:tcPr>
            <w:tcW w:w="1211" w:type="dxa"/>
            <w:vAlign w:val="center"/>
          </w:tcPr>
          <w:p>
            <w:pPr>
              <w:pStyle w:val="86"/>
              <w:spacing w:line="240" w:lineRule="exact"/>
              <w:jc w:val="center"/>
              <w:rPr>
                <w:rFonts w:ascii="Times New Roman"/>
                <w:sz w:val="18"/>
                <w:szCs w:val="18"/>
              </w:rPr>
            </w:pPr>
            <w:r>
              <w:rPr>
                <w:spacing w:val="-8"/>
                <w:sz w:val="18"/>
                <w:szCs w:val="18"/>
              </w:rPr>
              <w:t>太阳得热</w:t>
            </w:r>
            <w:r>
              <w:rPr>
                <w:spacing w:val="-9"/>
                <w:sz w:val="18"/>
                <w:szCs w:val="18"/>
              </w:rPr>
              <w:t>系数</w:t>
            </w:r>
            <w:r>
              <w:rPr>
                <w:rFonts w:ascii="Times New Roman"/>
                <w:sz w:val="18"/>
                <w:szCs w:val="18"/>
              </w:rPr>
              <w:t>SHGC</w:t>
            </w:r>
          </w:p>
        </w:tc>
        <w:tc>
          <w:tcPr>
            <w:tcW w:w="1647" w:type="dxa"/>
            <w:gridSpan w:val="3"/>
            <w:vAlign w:val="center"/>
          </w:tcPr>
          <w:p>
            <w:pPr>
              <w:pStyle w:val="86"/>
              <w:spacing w:line="240" w:lineRule="exact"/>
              <w:jc w:val="center"/>
              <w:rPr>
                <w:spacing w:val="-8"/>
                <w:sz w:val="18"/>
                <w:szCs w:val="18"/>
              </w:rPr>
            </w:pPr>
            <w:r>
              <w:rPr>
                <w:spacing w:val="-8"/>
                <w:sz w:val="18"/>
                <w:szCs w:val="18"/>
              </w:rPr>
              <w:t>传热系数</w:t>
            </w:r>
          </w:p>
          <w:p>
            <w:pPr>
              <w:pStyle w:val="86"/>
              <w:spacing w:line="240" w:lineRule="exact"/>
              <w:jc w:val="center"/>
              <w:rPr>
                <w:rFonts w:ascii="Times New Roman"/>
                <w:sz w:val="18"/>
                <w:szCs w:val="18"/>
              </w:rPr>
            </w:pPr>
            <w:r>
              <w:rPr>
                <w:rFonts w:ascii="Times New Roman" w:eastAsia="Times New Roman"/>
                <w:sz w:val="18"/>
                <w:szCs w:val="28"/>
              </w:rPr>
              <w:t>[W/(m</w:t>
            </w:r>
            <w:r>
              <w:rPr>
                <w:rFonts w:ascii="Times New Roman" w:eastAsia="Times New Roman"/>
                <w:position w:val="5"/>
                <w:sz w:val="11"/>
                <w:szCs w:val="28"/>
              </w:rPr>
              <w:t>2</w:t>
            </w:r>
            <w:r>
              <w:rPr>
                <w:rFonts w:ascii="Times New Roman" w:eastAsia="Times New Roman"/>
                <w:sz w:val="18"/>
                <w:szCs w:val="28"/>
              </w:rPr>
              <w:t>·k)]</w:t>
            </w:r>
          </w:p>
        </w:tc>
        <w:tc>
          <w:tcPr>
            <w:tcW w:w="1100" w:type="dxa"/>
            <w:gridSpan w:val="2"/>
            <w:vAlign w:val="center"/>
          </w:tcPr>
          <w:p>
            <w:pPr>
              <w:pStyle w:val="86"/>
              <w:spacing w:line="240" w:lineRule="exact"/>
              <w:jc w:val="center"/>
              <w:rPr>
                <w:spacing w:val="-9"/>
                <w:sz w:val="18"/>
                <w:szCs w:val="18"/>
              </w:rPr>
            </w:pPr>
            <w:r>
              <w:rPr>
                <w:spacing w:val="-8"/>
                <w:sz w:val="18"/>
                <w:szCs w:val="18"/>
              </w:rPr>
              <w:t>太阳得热</w:t>
            </w:r>
            <w:r>
              <w:rPr>
                <w:spacing w:val="-9"/>
                <w:sz w:val="18"/>
                <w:szCs w:val="18"/>
              </w:rPr>
              <w:t>系数</w:t>
            </w:r>
          </w:p>
          <w:p>
            <w:pPr>
              <w:pStyle w:val="86"/>
              <w:spacing w:line="240" w:lineRule="exact"/>
              <w:jc w:val="center"/>
              <w:rPr>
                <w:rFonts w:ascii="Times New Roman"/>
                <w:sz w:val="18"/>
                <w:szCs w:val="18"/>
              </w:rPr>
            </w:pPr>
            <w:r>
              <w:rPr>
                <w:rFonts w:ascii="Times New Roman"/>
                <w:sz w:val="18"/>
                <w:szCs w:val="18"/>
              </w:rPr>
              <w:t>SHGC</w:t>
            </w:r>
          </w:p>
        </w:tc>
        <w:tc>
          <w:tcPr>
            <w:tcW w:w="2064" w:type="dxa"/>
            <w:gridSpan w:val="6"/>
            <w:vAlign w:val="center"/>
          </w:tcPr>
          <w:p>
            <w:pPr>
              <w:pStyle w:val="86"/>
              <w:spacing w:line="240" w:lineRule="exact"/>
              <w:jc w:val="center"/>
              <w:rPr>
                <w:sz w:val="18"/>
                <w:szCs w:val="18"/>
              </w:rPr>
            </w:pPr>
            <w:r>
              <w:rPr>
                <w:spacing w:val="9"/>
                <w:sz w:val="18"/>
                <w:szCs w:val="18"/>
              </w:rPr>
              <w:t>型材及玻璃选型</w:t>
            </w:r>
          </w:p>
          <w:p>
            <w:pPr>
              <w:pStyle w:val="86"/>
              <w:spacing w:line="240" w:lineRule="exact"/>
              <w:jc w:val="center"/>
              <w:rPr>
                <w:sz w:val="18"/>
                <w:szCs w:val="18"/>
              </w:rPr>
            </w:pPr>
            <w:r>
              <w:rPr>
                <w:sz w:val="18"/>
                <w:szCs w:val="18"/>
              </w:rPr>
              <w:t>（</w:t>
            </w:r>
            <w:r>
              <w:rPr>
                <w:spacing w:val="-15"/>
                <w:sz w:val="18"/>
                <w:szCs w:val="18"/>
              </w:rPr>
              <w:t>型材</w:t>
            </w:r>
            <w:r>
              <w:rPr>
                <w:sz w:val="18"/>
                <w:szCs w:val="18"/>
              </w:rPr>
              <w:t>品种</w:t>
            </w:r>
            <w:r>
              <w:rPr>
                <w:spacing w:val="-15"/>
                <w:sz w:val="18"/>
                <w:szCs w:val="18"/>
              </w:rPr>
              <w:t>、气体</w:t>
            </w:r>
            <w:r>
              <w:rPr>
                <w:spacing w:val="7"/>
                <w:sz w:val="18"/>
                <w:szCs w:val="18"/>
              </w:rPr>
              <w:t>层厚度、玻璃品</w:t>
            </w:r>
            <w:r>
              <w:rPr>
                <w:sz w:val="18"/>
                <w:szCs w:val="18"/>
              </w:rPr>
              <w:t>种）</w:t>
            </w:r>
          </w:p>
        </w:tc>
        <w:tc>
          <w:tcPr>
            <w:tcW w:w="794" w:type="dxa"/>
            <w:vAlign w:val="center"/>
          </w:tcPr>
          <w:p>
            <w:pPr>
              <w:pStyle w:val="86"/>
              <w:spacing w:line="240" w:lineRule="exact"/>
              <w:jc w:val="center"/>
              <w:rPr>
                <w:sz w:val="18"/>
                <w:szCs w:val="18"/>
              </w:rPr>
            </w:pPr>
            <w:r>
              <w:rPr>
                <w:sz w:val="18"/>
                <w:szCs w:val="18"/>
              </w:rPr>
              <w:t>是否符合规定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312" w:hRule="atLeast"/>
          <w:jc w:val="center"/>
        </w:trPr>
        <w:tc>
          <w:tcPr>
            <w:tcW w:w="849" w:type="dxa"/>
            <w:vMerge w:val="continue"/>
            <w:vAlign w:val="center"/>
          </w:tcPr>
          <w:p>
            <w:pPr>
              <w:ind w:firstLine="360"/>
              <w:jc w:val="center"/>
              <w:rPr>
                <w:sz w:val="18"/>
                <w:szCs w:val="18"/>
              </w:rPr>
            </w:pPr>
          </w:p>
        </w:tc>
        <w:tc>
          <w:tcPr>
            <w:tcW w:w="1639" w:type="dxa"/>
            <w:gridSpan w:val="3"/>
            <w:vAlign w:val="center"/>
          </w:tcPr>
          <w:p>
            <w:pPr>
              <w:pStyle w:val="86"/>
              <w:spacing w:before="23" w:line="269" w:lineRule="exact"/>
              <w:ind w:right="22"/>
              <w:jc w:val="center"/>
              <w:rPr>
                <w:sz w:val="18"/>
                <w:szCs w:val="18"/>
              </w:rPr>
            </w:pPr>
            <w:r>
              <w:rPr>
                <w:sz w:val="18"/>
                <w:szCs w:val="18"/>
              </w:rPr>
              <w:t>甲类</w:t>
            </w:r>
          </w:p>
        </w:tc>
        <w:tc>
          <w:tcPr>
            <w:tcW w:w="1170" w:type="dxa"/>
            <w:vAlign w:val="center"/>
          </w:tcPr>
          <w:p>
            <w:pPr>
              <w:pStyle w:val="86"/>
              <w:spacing w:before="23" w:line="269" w:lineRule="exact"/>
              <w:ind w:right="124"/>
              <w:jc w:val="center"/>
              <w:rPr>
                <w:rFonts w:ascii="Times New Roman"/>
                <w:sz w:val="18"/>
                <w:szCs w:val="18"/>
              </w:rPr>
            </w:pPr>
            <w:r>
              <w:rPr>
                <w:rFonts w:ascii="Times New Roman"/>
                <w:sz w:val="18"/>
                <w:szCs w:val="18"/>
              </w:rPr>
              <w:t>K</w:t>
            </w:r>
            <w:r>
              <w:rPr>
                <w:rFonts w:hAnsi="宋体"/>
                <w:sz w:val="18"/>
                <w:szCs w:val="28"/>
              </w:rPr>
              <w:t>≤</w:t>
            </w:r>
            <w:r>
              <w:rPr>
                <w:rFonts w:ascii="Times New Roman"/>
                <w:sz w:val="18"/>
                <w:szCs w:val="18"/>
              </w:rPr>
              <w:t>2.0</w:t>
            </w:r>
          </w:p>
        </w:tc>
        <w:tc>
          <w:tcPr>
            <w:tcW w:w="1211" w:type="dxa"/>
            <w:vMerge w:val="restart"/>
            <w:vAlign w:val="center"/>
          </w:tcPr>
          <w:p>
            <w:pPr>
              <w:pStyle w:val="86"/>
              <w:spacing w:before="1"/>
              <w:jc w:val="center"/>
              <w:rPr>
                <w:rFonts w:ascii="Times New Roman"/>
                <w:sz w:val="18"/>
                <w:szCs w:val="18"/>
              </w:rPr>
            </w:pPr>
            <w:r>
              <w:rPr>
                <w:rFonts w:hAnsi="宋体"/>
                <w:sz w:val="18"/>
                <w:szCs w:val="28"/>
              </w:rPr>
              <w:t>≤</w:t>
            </w:r>
            <w:r>
              <w:rPr>
                <w:rFonts w:ascii="Times New Roman"/>
                <w:sz w:val="18"/>
                <w:szCs w:val="18"/>
              </w:rPr>
              <w:t>0.25</w:t>
            </w:r>
          </w:p>
        </w:tc>
        <w:tc>
          <w:tcPr>
            <w:tcW w:w="1647" w:type="dxa"/>
            <w:gridSpan w:val="3"/>
            <w:vMerge w:val="restart"/>
            <w:vAlign w:val="center"/>
          </w:tcPr>
          <w:p>
            <w:pPr>
              <w:pStyle w:val="86"/>
              <w:ind w:firstLine="360"/>
              <w:jc w:val="center"/>
              <w:rPr>
                <w:rFonts w:ascii="Times New Roman"/>
                <w:sz w:val="18"/>
                <w:szCs w:val="18"/>
              </w:rPr>
            </w:pPr>
          </w:p>
        </w:tc>
        <w:tc>
          <w:tcPr>
            <w:tcW w:w="1100" w:type="dxa"/>
            <w:gridSpan w:val="2"/>
            <w:vMerge w:val="restart"/>
            <w:vAlign w:val="center"/>
          </w:tcPr>
          <w:p>
            <w:pPr>
              <w:pStyle w:val="86"/>
              <w:ind w:firstLine="360"/>
              <w:jc w:val="center"/>
              <w:rPr>
                <w:rFonts w:ascii="Times New Roman"/>
                <w:sz w:val="18"/>
                <w:szCs w:val="18"/>
              </w:rPr>
            </w:pPr>
          </w:p>
        </w:tc>
        <w:tc>
          <w:tcPr>
            <w:tcW w:w="2064" w:type="dxa"/>
            <w:gridSpan w:val="6"/>
            <w:vMerge w:val="restart"/>
            <w:vAlign w:val="center"/>
          </w:tcPr>
          <w:p>
            <w:pPr>
              <w:pStyle w:val="86"/>
              <w:ind w:firstLine="360"/>
              <w:jc w:val="center"/>
              <w:rPr>
                <w:rFonts w:ascii="Times New Roman"/>
                <w:sz w:val="18"/>
                <w:szCs w:val="18"/>
              </w:rPr>
            </w:pPr>
          </w:p>
        </w:tc>
        <w:tc>
          <w:tcPr>
            <w:tcW w:w="794" w:type="dxa"/>
            <w:vMerge w:val="restart"/>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312" w:hRule="atLeast"/>
          <w:jc w:val="center"/>
        </w:trPr>
        <w:tc>
          <w:tcPr>
            <w:tcW w:w="849" w:type="dxa"/>
            <w:vMerge w:val="continue"/>
            <w:vAlign w:val="center"/>
          </w:tcPr>
          <w:p>
            <w:pPr>
              <w:ind w:firstLine="360"/>
              <w:jc w:val="center"/>
              <w:rPr>
                <w:sz w:val="18"/>
                <w:szCs w:val="18"/>
              </w:rPr>
            </w:pPr>
          </w:p>
        </w:tc>
        <w:tc>
          <w:tcPr>
            <w:tcW w:w="1639" w:type="dxa"/>
            <w:gridSpan w:val="3"/>
            <w:vAlign w:val="center"/>
          </w:tcPr>
          <w:p>
            <w:pPr>
              <w:pStyle w:val="86"/>
              <w:spacing w:before="22" w:line="270" w:lineRule="exact"/>
              <w:jc w:val="center"/>
              <w:rPr>
                <w:sz w:val="18"/>
                <w:szCs w:val="18"/>
              </w:rPr>
            </w:pPr>
            <w:r>
              <w:rPr>
                <w:sz w:val="18"/>
                <w:szCs w:val="18"/>
              </w:rPr>
              <w:t>乙类</w:t>
            </w:r>
          </w:p>
        </w:tc>
        <w:tc>
          <w:tcPr>
            <w:tcW w:w="1170" w:type="dxa"/>
            <w:vAlign w:val="center"/>
          </w:tcPr>
          <w:p>
            <w:pPr>
              <w:pStyle w:val="86"/>
              <w:spacing w:before="22" w:line="270" w:lineRule="exact"/>
              <w:ind w:right="124"/>
              <w:jc w:val="center"/>
              <w:rPr>
                <w:rFonts w:ascii="Times New Roman"/>
                <w:sz w:val="18"/>
                <w:szCs w:val="18"/>
              </w:rPr>
            </w:pPr>
            <w:r>
              <w:rPr>
                <w:rFonts w:ascii="Times New Roman"/>
                <w:sz w:val="18"/>
                <w:szCs w:val="18"/>
              </w:rPr>
              <w:t>K</w:t>
            </w:r>
            <w:r>
              <w:rPr>
                <w:rFonts w:hAnsi="宋体"/>
                <w:sz w:val="18"/>
                <w:szCs w:val="28"/>
              </w:rPr>
              <w:t>≤</w:t>
            </w:r>
            <w:r>
              <w:rPr>
                <w:rFonts w:ascii="Times New Roman"/>
                <w:sz w:val="18"/>
                <w:szCs w:val="18"/>
              </w:rPr>
              <w:t>2.2</w:t>
            </w:r>
          </w:p>
        </w:tc>
        <w:tc>
          <w:tcPr>
            <w:tcW w:w="1211" w:type="dxa"/>
            <w:vMerge w:val="continue"/>
            <w:vAlign w:val="center"/>
          </w:tcPr>
          <w:p>
            <w:pPr>
              <w:ind w:firstLine="360"/>
              <w:jc w:val="center"/>
              <w:rPr>
                <w:sz w:val="18"/>
                <w:szCs w:val="18"/>
              </w:rPr>
            </w:pPr>
          </w:p>
        </w:tc>
        <w:tc>
          <w:tcPr>
            <w:tcW w:w="1647" w:type="dxa"/>
            <w:gridSpan w:val="3"/>
            <w:vMerge w:val="continue"/>
            <w:vAlign w:val="center"/>
          </w:tcPr>
          <w:p>
            <w:pPr>
              <w:ind w:firstLine="360"/>
              <w:jc w:val="center"/>
              <w:rPr>
                <w:sz w:val="18"/>
                <w:szCs w:val="18"/>
              </w:rPr>
            </w:pPr>
          </w:p>
        </w:tc>
        <w:tc>
          <w:tcPr>
            <w:tcW w:w="1100" w:type="dxa"/>
            <w:gridSpan w:val="2"/>
            <w:vMerge w:val="continue"/>
            <w:vAlign w:val="center"/>
          </w:tcPr>
          <w:p>
            <w:pPr>
              <w:ind w:firstLine="360"/>
              <w:jc w:val="center"/>
              <w:rPr>
                <w:sz w:val="18"/>
                <w:szCs w:val="18"/>
              </w:rPr>
            </w:pPr>
          </w:p>
        </w:tc>
        <w:tc>
          <w:tcPr>
            <w:tcW w:w="2064" w:type="dxa"/>
            <w:gridSpan w:val="6"/>
            <w:vMerge w:val="continue"/>
            <w:vAlign w:val="center"/>
          </w:tcPr>
          <w:p>
            <w:pPr>
              <w:ind w:firstLine="360"/>
              <w:jc w:val="center"/>
              <w:rPr>
                <w:sz w:val="18"/>
                <w:szCs w:val="18"/>
              </w:rPr>
            </w:pPr>
          </w:p>
        </w:tc>
        <w:tc>
          <w:tcPr>
            <w:tcW w:w="794" w:type="dxa"/>
            <w:vMerge w:val="continue"/>
            <w:vAlign w:val="center"/>
          </w:tcPr>
          <w:p>
            <w:pPr>
              <w:ind w:firstLine="360"/>
              <w:jc w:val="center"/>
              <w:rPr>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600" w:hRule="atLeast"/>
          <w:jc w:val="center"/>
        </w:trPr>
        <w:tc>
          <w:tcPr>
            <w:tcW w:w="849" w:type="dxa"/>
            <w:vMerge w:val="continue"/>
            <w:vAlign w:val="center"/>
          </w:tcPr>
          <w:p>
            <w:pPr>
              <w:ind w:firstLine="360"/>
              <w:jc w:val="center"/>
              <w:rPr>
                <w:sz w:val="18"/>
                <w:szCs w:val="18"/>
              </w:rPr>
            </w:pPr>
          </w:p>
        </w:tc>
        <w:tc>
          <w:tcPr>
            <w:tcW w:w="1639" w:type="dxa"/>
            <w:gridSpan w:val="3"/>
            <w:vAlign w:val="center"/>
          </w:tcPr>
          <w:p>
            <w:pPr>
              <w:pStyle w:val="86"/>
              <w:spacing w:line="173" w:lineRule="auto"/>
              <w:ind w:left="53" w:leftChars="25" w:right="53" w:rightChars="25"/>
              <w:jc w:val="center"/>
              <w:rPr>
                <w:sz w:val="18"/>
                <w:szCs w:val="18"/>
              </w:rPr>
            </w:pPr>
            <w:r>
              <w:rPr>
                <w:sz w:val="18"/>
                <w:szCs w:val="18"/>
              </w:rPr>
              <w:t>遮阳设置</w:t>
            </w:r>
          </w:p>
        </w:tc>
        <w:tc>
          <w:tcPr>
            <w:tcW w:w="2381" w:type="dxa"/>
            <w:gridSpan w:val="2"/>
            <w:vAlign w:val="center"/>
          </w:tcPr>
          <w:p>
            <w:pPr>
              <w:pStyle w:val="86"/>
              <w:spacing w:line="173" w:lineRule="auto"/>
              <w:ind w:left="53" w:leftChars="25" w:right="53" w:rightChars="25"/>
              <w:jc w:val="both"/>
              <w:rPr>
                <w:sz w:val="18"/>
                <w:szCs w:val="18"/>
              </w:rPr>
            </w:pPr>
            <w:r>
              <w:rPr>
                <w:sz w:val="18"/>
                <w:szCs w:val="18"/>
              </w:rPr>
              <w:t>屋顶天窗应设置固定外遮阳、可调节外遮阳或可调节中置遮阳。</w:t>
            </w:r>
          </w:p>
        </w:tc>
        <w:tc>
          <w:tcPr>
            <w:tcW w:w="5605" w:type="dxa"/>
            <w:gridSpan w:val="12"/>
            <w:vAlign w:val="center"/>
          </w:tcPr>
          <w:p>
            <w:pPr>
              <w:pStyle w:val="86"/>
              <w:spacing w:line="173" w:lineRule="auto"/>
              <w:ind w:left="53" w:leftChars="25" w:right="53" w:rightChars="25"/>
              <w:jc w:val="both"/>
              <w:rPr>
                <w:sz w:val="18"/>
                <w:szCs w:val="18"/>
              </w:rPr>
            </w:pPr>
            <w:r>
              <w:rPr>
                <w:sz w:val="18"/>
                <w:szCs w:val="18"/>
              </w:rPr>
              <w:t>设置形式：</w:t>
            </w:r>
          </w:p>
          <w:p>
            <w:pPr>
              <w:pStyle w:val="86"/>
              <w:spacing w:line="173" w:lineRule="auto"/>
              <w:ind w:left="53" w:leftChars="25" w:right="53" w:rightChars="25"/>
              <w:jc w:val="both"/>
              <w:rPr>
                <w:sz w:val="18"/>
                <w:szCs w:val="18"/>
              </w:rPr>
            </w:pPr>
            <w:r>
              <w:rPr>
                <w:rFonts w:hint="eastAsia"/>
                <w:sz w:val="18"/>
                <w:szCs w:val="18"/>
              </w:rPr>
              <w:t>□</w:t>
            </w:r>
            <w:r>
              <w:rPr>
                <w:sz w:val="18"/>
                <w:szCs w:val="18"/>
              </w:rPr>
              <w:t>外遮阳；</w:t>
            </w:r>
            <w:r>
              <w:rPr>
                <w:rFonts w:hint="eastAsia"/>
                <w:sz w:val="18"/>
                <w:szCs w:val="18"/>
              </w:rPr>
              <w:t>□</w:t>
            </w:r>
            <w:r>
              <w:rPr>
                <w:sz w:val="18"/>
                <w:szCs w:val="18"/>
              </w:rPr>
              <w:t>内遮阳；</w:t>
            </w:r>
            <w:r>
              <w:rPr>
                <w:rFonts w:hint="eastAsia"/>
                <w:sz w:val="18"/>
                <w:szCs w:val="18"/>
              </w:rPr>
              <w:t>□</w:t>
            </w:r>
            <w:r>
              <w:rPr>
                <w:sz w:val="18"/>
                <w:szCs w:val="18"/>
              </w:rPr>
              <w:t>中置遮阳；</w:t>
            </w:r>
          </w:p>
          <w:p>
            <w:pPr>
              <w:pStyle w:val="86"/>
              <w:spacing w:line="173" w:lineRule="auto"/>
              <w:ind w:left="53" w:leftChars="25" w:right="53" w:rightChars="25"/>
              <w:jc w:val="both"/>
              <w:rPr>
                <w:sz w:val="18"/>
                <w:szCs w:val="18"/>
              </w:rPr>
            </w:pPr>
            <w:r>
              <w:rPr>
                <w:rFonts w:hint="eastAsia"/>
                <w:sz w:val="18"/>
                <w:szCs w:val="18"/>
              </w:rPr>
              <w:t>□</w:t>
            </w:r>
            <w:r>
              <w:rPr>
                <w:sz w:val="18"/>
                <w:szCs w:val="18"/>
              </w:rPr>
              <w:t>固定遮阳；</w:t>
            </w:r>
            <w:r>
              <w:rPr>
                <w:rFonts w:hint="eastAsia"/>
                <w:sz w:val="18"/>
                <w:szCs w:val="18"/>
              </w:rPr>
              <w:t>□</w:t>
            </w:r>
            <w:r>
              <w:rPr>
                <w:sz w:val="18"/>
                <w:szCs w:val="18"/>
              </w:rPr>
              <w:t>可调节遮阳；</w:t>
            </w:r>
            <w:r>
              <w:rPr>
                <w:rFonts w:hint="eastAsia"/>
                <w:sz w:val="18"/>
                <w:szCs w:val="18"/>
              </w:rPr>
              <w:t>□</w:t>
            </w:r>
            <w:r>
              <w:rPr>
                <w:sz w:val="18"/>
                <w:szCs w:val="18"/>
              </w:rPr>
              <w:t>未设置。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306" w:hRule="atLeast"/>
          <w:jc w:val="center"/>
        </w:trPr>
        <w:tc>
          <w:tcPr>
            <w:tcW w:w="849" w:type="dxa"/>
            <w:vMerge w:val="restart"/>
            <w:vAlign w:val="center"/>
          </w:tcPr>
          <w:p>
            <w:pPr>
              <w:pStyle w:val="86"/>
              <w:spacing w:line="173" w:lineRule="auto"/>
              <w:ind w:left="53" w:leftChars="25" w:right="53" w:rightChars="25"/>
              <w:jc w:val="both"/>
              <w:rPr>
                <w:sz w:val="18"/>
                <w:szCs w:val="18"/>
              </w:rPr>
            </w:pPr>
            <w:r>
              <w:rPr>
                <w:spacing w:val="-8"/>
                <w:sz w:val="18"/>
                <w:szCs w:val="18"/>
              </w:rPr>
              <w:t>单一立面</w:t>
            </w:r>
            <w:r>
              <w:rPr>
                <w:spacing w:val="-9"/>
                <w:sz w:val="18"/>
                <w:szCs w:val="18"/>
              </w:rPr>
              <w:t>外窗</w:t>
            </w:r>
          </w:p>
          <w:p>
            <w:pPr>
              <w:pStyle w:val="86"/>
              <w:spacing w:line="172" w:lineRule="auto"/>
              <w:ind w:right="95"/>
              <w:jc w:val="center"/>
              <w:rPr>
                <w:sz w:val="18"/>
                <w:szCs w:val="18"/>
              </w:rPr>
            </w:pPr>
            <w:r>
              <w:rPr>
                <w:sz w:val="18"/>
                <w:szCs w:val="18"/>
              </w:rPr>
              <w:t>（</w:t>
            </w:r>
            <w:r>
              <w:rPr>
                <w:spacing w:val="-16"/>
                <w:sz w:val="18"/>
                <w:szCs w:val="18"/>
              </w:rPr>
              <w:t>包</w:t>
            </w:r>
            <w:r>
              <w:rPr>
                <w:spacing w:val="-8"/>
                <w:sz w:val="18"/>
                <w:szCs w:val="18"/>
              </w:rPr>
              <w:t>括透光幕</w:t>
            </w:r>
            <w:r>
              <w:rPr>
                <w:spacing w:val="-1"/>
                <w:sz w:val="18"/>
                <w:szCs w:val="18"/>
              </w:rPr>
              <w:t>墙</w:t>
            </w:r>
            <w:r>
              <w:rPr>
                <w:spacing w:val="-16"/>
                <w:sz w:val="18"/>
                <w:szCs w:val="18"/>
              </w:rPr>
              <w:t>）</w:t>
            </w:r>
          </w:p>
        </w:tc>
        <w:tc>
          <w:tcPr>
            <w:tcW w:w="4020" w:type="dxa"/>
            <w:gridSpan w:val="5"/>
            <w:vAlign w:val="center"/>
          </w:tcPr>
          <w:p>
            <w:pPr>
              <w:pStyle w:val="86"/>
              <w:spacing w:line="239" w:lineRule="exact"/>
              <w:jc w:val="center"/>
              <w:rPr>
                <w:b/>
                <w:sz w:val="18"/>
                <w:szCs w:val="28"/>
              </w:rPr>
            </w:pPr>
            <w:r>
              <w:rPr>
                <w:rFonts w:hint="eastAsia"/>
                <w:b/>
                <w:sz w:val="18"/>
                <w:szCs w:val="28"/>
              </w:rPr>
              <w:t>基本要求</w:t>
            </w:r>
          </w:p>
        </w:tc>
        <w:tc>
          <w:tcPr>
            <w:tcW w:w="5605" w:type="dxa"/>
            <w:gridSpan w:val="12"/>
            <w:vAlign w:val="center"/>
          </w:tcPr>
          <w:p>
            <w:pPr>
              <w:pStyle w:val="86"/>
              <w:spacing w:line="239" w:lineRule="exact"/>
              <w:jc w:val="center"/>
              <w:rPr>
                <w:b/>
                <w:sz w:val="18"/>
                <w:szCs w:val="28"/>
              </w:rPr>
            </w:pPr>
            <w:r>
              <w:rPr>
                <w:rFonts w:hint="eastAsia"/>
                <w:b/>
                <w:sz w:val="18"/>
                <w:szCs w:val="28"/>
              </w:rPr>
              <w:t>设计建筑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1190" w:hRule="atLeast"/>
          <w:jc w:val="center"/>
        </w:trPr>
        <w:tc>
          <w:tcPr>
            <w:tcW w:w="849" w:type="dxa"/>
            <w:vMerge w:val="continue"/>
            <w:vAlign w:val="center"/>
          </w:tcPr>
          <w:p>
            <w:pPr>
              <w:ind w:firstLine="360"/>
              <w:jc w:val="center"/>
              <w:rPr>
                <w:sz w:val="18"/>
                <w:szCs w:val="18"/>
              </w:rPr>
            </w:pPr>
          </w:p>
        </w:tc>
        <w:tc>
          <w:tcPr>
            <w:tcW w:w="1639" w:type="dxa"/>
            <w:gridSpan w:val="3"/>
            <w:shd w:val="clear" w:color="auto" w:fill="auto"/>
            <w:vAlign w:val="center"/>
          </w:tcPr>
          <w:p>
            <w:pPr>
              <w:pStyle w:val="86"/>
              <w:spacing w:line="240" w:lineRule="exact"/>
              <w:ind w:left="53" w:leftChars="25" w:right="53" w:rightChars="25"/>
              <w:jc w:val="center"/>
              <w:rPr>
                <w:sz w:val="18"/>
                <w:szCs w:val="18"/>
              </w:rPr>
            </w:pPr>
            <w:r>
              <w:rPr>
                <w:sz w:val="18"/>
                <w:szCs w:val="18"/>
              </w:rPr>
              <w:t>平均窗墙面积比</w:t>
            </w:r>
          </w:p>
        </w:tc>
        <w:tc>
          <w:tcPr>
            <w:tcW w:w="1170" w:type="dxa"/>
            <w:shd w:val="clear" w:color="auto" w:fill="auto"/>
            <w:vAlign w:val="center"/>
          </w:tcPr>
          <w:p>
            <w:pPr>
              <w:pStyle w:val="86"/>
              <w:spacing w:line="240" w:lineRule="exact"/>
              <w:ind w:left="53" w:leftChars="25" w:right="53" w:rightChars="25"/>
              <w:jc w:val="center"/>
              <w:rPr>
                <w:sz w:val="18"/>
                <w:szCs w:val="18"/>
              </w:rPr>
            </w:pPr>
            <w:r>
              <w:rPr>
                <w:spacing w:val="-2"/>
                <w:sz w:val="18"/>
                <w:szCs w:val="18"/>
              </w:rPr>
              <w:t>传热系数</w:t>
            </w:r>
          </w:p>
          <w:p>
            <w:pPr>
              <w:pStyle w:val="86"/>
              <w:spacing w:line="240" w:lineRule="exact"/>
              <w:ind w:left="53" w:leftChars="25" w:right="53" w:rightChars="25"/>
              <w:jc w:val="center"/>
              <w:rPr>
                <w:spacing w:val="-2"/>
                <w:sz w:val="18"/>
                <w:szCs w:val="18"/>
              </w:rPr>
            </w:pPr>
            <w:r>
              <w:rPr>
                <w:rFonts w:ascii="Times New Roman"/>
                <w:sz w:val="18"/>
                <w:szCs w:val="18"/>
              </w:rPr>
              <w:t>[W/(m²·k)]</w:t>
            </w:r>
          </w:p>
        </w:tc>
        <w:tc>
          <w:tcPr>
            <w:tcW w:w="1211" w:type="dxa"/>
            <w:shd w:val="clear" w:color="auto" w:fill="auto"/>
            <w:vAlign w:val="center"/>
          </w:tcPr>
          <w:p>
            <w:pPr>
              <w:pStyle w:val="86"/>
              <w:spacing w:line="240" w:lineRule="exact"/>
              <w:ind w:left="53" w:leftChars="25" w:right="53" w:rightChars="25"/>
              <w:jc w:val="center"/>
              <w:rPr>
                <w:spacing w:val="-2"/>
                <w:sz w:val="18"/>
                <w:szCs w:val="18"/>
              </w:rPr>
            </w:pPr>
            <w:r>
              <w:rPr>
                <w:spacing w:val="-2"/>
                <w:sz w:val="18"/>
                <w:szCs w:val="18"/>
              </w:rPr>
              <w:t>太阳得热系数</w:t>
            </w:r>
            <w:r>
              <w:rPr>
                <w:rFonts w:ascii="Times New Roman" w:eastAsia="Times New Roman"/>
                <w:spacing w:val="-1"/>
                <w:sz w:val="18"/>
                <w:szCs w:val="18"/>
              </w:rPr>
              <w:t>S</w:t>
            </w:r>
            <w:r>
              <w:rPr>
                <w:rFonts w:ascii="Times New Roman" w:eastAsia="Times New Roman"/>
                <w:spacing w:val="-2"/>
                <w:sz w:val="18"/>
                <w:szCs w:val="18"/>
              </w:rPr>
              <w:t>HG</w:t>
            </w:r>
            <w:r>
              <w:rPr>
                <w:rFonts w:ascii="Times New Roman" w:eastAsia="Times New Roman"/>
                <w:spacing w:val="-74"/>
                <w:sz w:val="18"/>
                <w:szCs w:val="18"/>
              </w:rPr>
              <w:t>C</w:t>
            </w:r>
            <w:r>
              <w:rPr>
                <w:spacing w:val="-1"/>
                <w:sz w:val="18"/>
                <w:szCs w:val="18"/>
              </w:rPr>
              <w:t>（</w:t>
            </w:r>
            <w:r>
              <w:rPr>
                <w:sz w:val="18"/>
                <w:szCs w:val="18"/>
              </w:rPr>
              <w:t>东</w:t>
            </w:r>
            <w:r>
              <w:rPr>
                <w:rFonts w:hint="eastAsia"/>
                <w:sz w:val="18"/>
                <w:szCs w:val="18"/>
              </w:rPr>
              <w:t>、</w:t>
            </w:r>
            <w:r>
              <w:rPr>
                <w:spacing w:val="-2"/>
                <w:sz w:val="18"/>
                <w:szCs w:val="18"/>
              </w:rPr>
              <w:t>南西向</w:t>
            </w:r>
            <w:r>
              <w:rPr>
                <w:rFonts w:ascii="Times New Roman" w:eastAsia="Times New Roman"/>
                <w:sz w:val="18"/>
                <w:szCs w:val="18"/>
              </w:rPr>
              <w:t>/</w:t>
            </w:r>
            <w:r>
              <w:rPr>
                <w:sz w:val="18"/>
                <w:szCs w:val="18"/>
              </w:rPr>
              <w:t>北向）</w:t>
            </w:r>
          </w:p>
        </w:tc>
        <w:tc>
          <w:tcPr>
            <w:tcW w:w="891" w:type="dxa"/>
            <w:shd w:val="clear" w:color="auto" w:fill="auto"/>
            <w:vAlign w:val="center"/>
          </w:tcPr>
          <w:p>
            <w:pPr>
              <w:pStyle w:val="86"/>
              <w:spacing w:line="240" w:lineRule="exact"/>
              <w:ind w:left="53" w:leftChars="25" w:right="53" w:rightChars="25"/>
              <w:jc w:val="center"/>
              <w:rPr>
                <w:sz w:val="18"/>
                <w:szCs w:val="18"/>
              </w:rPr>
            </w:pPr>
            <w:r>
              <w:rPr>
                <w:sz w:val="18"/>
                <w:szCs w:val="18"/>
              </w:rPr>
              <w:t>立面朝向</w:t>
            </w:r>
          </w:p>
        </w:tc>
        <w:tc>
          <w:tcPr>
            <w:tcW w:w="1039" w:type="dxa"/>
            <w:gridSpan w:val="3"/>
            <w:shd w:val="clear" w:color="auto" w:fill="auto"/>
            <w:vAlign w:val="center"/>
          </w:tcPr>
          <w:p>
            <w:pPr>
              <w:pStyle w:val="86"/>
              <w:spacing w:line="240" w:lineRule="exact"/>
              <w:ind w:left="53" w:leftChars="25" w:right="53" w:rightChars="25"/>
              <w:jc w:val="center"/>
              <w:rPr>
                <w:rFonts w:ascii="Times New Roman" w:eastAsia="Times New Roman"/>
                <w:sz w:val="18"/>
                <w:szCs w:val="18"/>
              </w:rPr>
            </w:pPr>
            <w:r>
              <w:rPr>
                <w:sz w:val="18"/>
                <w:szCs w:val="18"/>
              </w:rPr>
              <w:t>平均传热系数</w:t>
            </w:r>
            <w:r>
              <w:rPr>
                <w:rFonts w:ascii="Times New Roman" w:eastAsia="Times New Roman"/>
                <w:sz w:val="18"/>
                <w:szCs w:val="18"/>
              </w:rPr>
              <w:t>K</w:t>
            </w:r>
          </w:p>
          <w:p>
            <w:pPr>
              <w:pStyle w:val="86"/>
              <w:spacing w:line="240" w:lineRule="exact"/>
              <w:ind w:left="53" w:leftChars="25" w:right="53" w:rightChars="25"/>
              <w:jc w:val="center"/>
              <w:rPr>
                <w:sz w:val="18"/>
                <w:szCs w:val="18"/>
              </w:rPr>
            </w:pPr>
            <w:r>
              <w:rPr>
                <w:rFonts w:ascii="Times New Roman" w:eastAsia="Times New Roman"/>
                <w:sz w:val="18"/>
                <w:szCs w:val="18"/>
              </w:rPr>
              <w:t>[W/(m²·k</w:t>
            </w:r>
            <w:r>
              <w:rPr>
                <w:rFonts w:ascii="Times New Roman"/>
                <w:sz w:val="18"/>
                <w:szCs w:val="18"/>
              </w:rPr>
              <w:t>)]</w:t>
            </w:r>
          </w:p>
        </w:tc>
        <w:tc>
          <w:tcPr>
            <w:tcW w:w="817" w:type="dxa"/>
            <w:shd w:val="clear" w:color="auto" w:fill="auto"/>
            <w:vAlign w:val="center"/>
          </w:tcPr>
          <w:p>
            <w:pPr>
              <w:pStyle w:val="86"/>
              <w:spacing w:line="240" w:lineRule="exact"/>
              <w:ind w:left="53" w:leftChars="25" w:right="53" w:rightChars="25"/>
              <w:jc w:val="center"/>
              <w:rPr>
                <w:sz w:val="18"/>
                <w:szCs w:val="18"/>
              </w:rPr>
            </w:pPr>
            <w:r>
              <w:rPr>
                <w:sz w:val="18"/>
                <w:szCs w:val="18"/>
              </w:rPr>
              <w:t>太阳得热系数</w:t>
            </w:r>
            <w:r>
              <w:rPr>
                <w:rFonts w:ascii="Times New Roman" w:eastAsia="Times New Roman"/>
                <w:sz w:val="18"/>
                <w:szCs w:val="18"/>
              </w:rPr>
              <w:t>SHG</w:t>
            </w:r>
            <w:r>
              <w:rPr>
                <w:rFonts w:ascii="Times New Roman"/>
                <w:sz w:val="18"/>
                <w:szCs w:val="18"/>
              </w:rPr>
              <w:t>C</w:t>
            </w:r>
          </w:p>
        </w:tc>
        <w:tc>
          <w:tcPr>
            <w:tcW w:w="964" w:type="dxa"/>
            <w:gridSpan w:val="4"/>
            <w:shd w:val="clear" w:color="auto" w:fill="auto"/>
            <w:vAlign w:val="center"/>
          </w:tcPr>
          <w:p>
            <w:pPr>
              <w:pStyle w:val="86"/>
              <w:spacing w:line="240" w:lineRule="exact"/>
              <w:ind w:left="53" w:leftChars="25" w:right="53" w:rightChars="25"/>
              <w:jc w:val="center"/>
              <w:rPr>
                <w:spacing w:val="24"/>
                <w:sz w:val="18"/>
                <w:szCs w:val="18"/>
              </w:rPr>
            </w:pPr>
            <w:r>
              <w:rPr>
                <w:spacing w:val="24"/>
                <w:sz w:val="18"/>
                <w:szCs w:val="18"/>
              </w:rPr>
              <w:t>型材及玻</w:t>
            </w:r>
            <w:r>
              <w:rPr>
                <w:spacing w:val="-15"/>
                <w:sz w:val="18"/>
                <w:szCs w:val="18"/>
              </w:rPr>
              <w:t>璃选型</w:t>
            </w:r>
            <w:r>
              <w:rPr>
                <w:sz w:val="18"/>
                <w:szCs w:val="18"/>
              </w:rPr>
              <w:t>（</w:t>
            </w:r>
            <w:r>
              <w:rPr>
                <w:spacing w:val="-15"/>
                <w:sz w:val="18"/>
                <w:szCs w:val="18"/>
              </w:rPr>
              <w:t>型</w:t>
            </w:r>
            <w:r>
              <w:rPr>
                <w:spacing w:val="-13"/>
                <w:sz w:val="18"/>
                <w:szCs w:val="18"/>
              </w:rPr>
              <w:t>材品种、气</w:t>
            </w:r>
            <w:r>
              <w:rPr>
                <w:spacing w:val="24"/>
                <w:sz w:val="18"/>
                <w:szCs w:val="18"/>
              </w:rPr>
              <w:t>体层种类</w:t>
            </w:r>
            <w:r>
              <w:rPr>
                <w:spacing w:val="-13"/>
                <w:sz w:val="18"/>
                <w:szCs w:val="18"/>
              </w:rPr>
              <w:t>及厚度、玻</w:t>
            </w:r>
            <w:r>
              <w:rPr>
                <w:sz w:val="18"/>
                <w:szCs w:val="18"/>
              </w:rPr>
              <w:t>璃品种）</w:t>
            </w:r>
          </w:p>
        </w:tc>
        <w:tc>
          <w:tcPr>
            <w:tcW w:w="1100" w:type="dxa"/>
            <w:gridSpan w:val="2"/>
            <w:shd w:val="clear" w:color="auto" w:fill="auto"/>
            <w:vAlign w:val="center"/>
          </w:tcPr>
          <w:p>
            <w:pPr>
              <w:pStyle w:val="86"/>
              <w:spacing w:line="240" w:lineRule="exact"/>
              <w:ind w:left="53" w:leftChars="25" w:right="53" w:rightChars="25"/>
              <w:jc w:val="center"/>
              <w:rPr>
                <w:sz w:val="18"/>
                <w:szCs w:val="18"/>
              </w:rPr>
            </w:pPr>
            <w:r>
              <w:rPr>
                <w:sz w:val="18"/>
                <w:szCs w:val="18"/>
              </w:rPr>
              <w:t>可见光透射比</w:t>
            </w:r>
          </w:p>
        </w:tc>
        <w:tc>
          <w:tcPr>
            <w:tcW w:w="794" w:type="dxa"/>
            <w:shd w:val="clear" w:color="auto" w:fill="auto"/>
            <w:vAlign w:val="center"/>
          </w:tcPr>
          <w:p>
            <w:pPr>
              <w:pStyle w:val="86"/>
              <w:spacing w:line="240" w:lineRule="exact"/>
              <w:ind w:left="53" w:leftChars="25" w:right="53" w:rightChars="25"/>
              <w:jc w:val="center"/>
              <w:rPr>
                <w:sz w:val="18"/>
                <w:szCs w:val="18"/>
              </w:rPr>
            </w:pPr>
            <w:r>
              <w:rPr>
                <w:sz w:val="18"/>
                <w:szCs w:val="18"/>
              </w:rPr>
              <w:t>是否符合规定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273" w:hRule="atLeast"/>
          <w:jc w:val="center"/>
        </w:trPr>
        <w:tc>
          <w:tcPr>
            <w:tcW w:w="849" w:type="dxa"/>
            <w:vMerge w:val="continue"/>
            <w:vAlign w:val="center"/>
          </w:tcPr>
          <w:p>
            <w:pPr>
              <w:ind w:firstLine="360"/>
              <w:jc w:val="center"/>
              <w:rPr>
                <w:sz w:val="18"/>
                <w:szCs w:val="18"/>
              </w:rPr>
            </w:pPr>
          </w:p>
        </w:tc>
        <w:tc>
          <w:tcPr>
            <w:tcW w:w="1639" w:type="dxa"/>
            <w:gridSpan w:val="3"/>
            <w:vAlign w:val="center"/>
          </w:tcPr>
          <w:p>
            <w:pPr>
              <w:pStyle w:val="86"/>
              <w:spacing w:before="3" w:line="250" w:lineRule="exact"/>
              <w:ind w:right="22"/>
              <w:jc w:val="center"/>
              <w:rPr>
                <w:rFonts w:ascii="Times New Roman"/>
                <w:sz w:val="18"/>
                <w:szCs w:val="18"/>
              </w:rPr>
            </w:pPr>
            <w:r>
              <w:rPr>
                <w:rFonts w:hAnsi="宋体"/>
                <w:sz w:val="18"/>
                <w:szCs w:val="28"/>
              </w:rPr>
              <w:t>≤</w:t>
            </w:r>
            <w:r>
              <w:rPr>
                <w:rFonts w:ascii="Times New Roman"/>
                <w:sz w:val="18"/>
                <w:szCs w:val="18"/>
              </w:rPr>
              <w:t>0.70</w:t>
            </w:r>
          </w:p>
        </w:tc>
        <w:tc>
          <w:tcPr>
            <w:tcW w:w="1170" w:type="dxa"/>
            <w:vAlign w:val="center"/>
          </w:tcPr>
          <w:p>
            <w:pPr>
              <w:pStyle w:val="86"/>
              <w:spacing w:before="3" w:line="250" w:lineRule="exact"/>
              <w:ind w:right="124"/>
              <w:jc w:val="center"/>
              <w:rPr>
                <w:rFonts w:ascii="Times New Roman"/>
                <w:sz w:val="18"/>
                <w:szCs w:val="18"/>
              </w:rPr>
            </w:pPr>
            <w:r>
              <w:rPr>
                <w:rFonts w:ascii="Times New Roman"/>
                <w:sz w:val="18"/>
                <w:szCs w:val="18"/>
              </w:rPr>
              <w:t>K</w:t>
            </w:r>
            <w:r>
              <w:rPr>
                <w:rFonts w:hAnsi="宋体"/>
                <w:sz w:val="18"/>
                <w:szCs w:val="28"/>
              </w:rPr>
              <w:t>≤</w:t>
            </w:r>
            <w:r>
              <w:rPr>
                <w:rFonts w:ascii="Times New Roman"/>
                <w:sz w:val="18"/>
                <w:szCs w:val="18"/>
              </w:rPr>
              <w:t>2.0</w:t>
            </w:r>
          </w:p>
        </w:tc>
        <w:tc>
          <w:tcPr>
            <w:tcW w:w="1211" w:type="dxa"/>
            <w:vMerge w:val="restart"/>
            <w:vAlign w:val="center"/>
          </w:tcPr>
          <w:p>
            <w:pPr>
              <w:pStyle w:val="86"/>
              <w:spacing w:before="51" w:line="260" w:lineRule="exact"/>
              <w:jc w:val="center"/>
              <w:rPr>
                <w:rFonts w:ascii="Times New Roman"/>
                <w:sz w:val="18"/>
                <w:szCs w:val="18"/>
              </w:rPr>
            </w:pPr>
            <w:r>
              <w:rPr>
                <w:rFonts w:hAnsi="宋体"/>
                <w:sz w:val="18"/>
                <w:szCs w:val="18"/>
              </w:rPr>
              <w:t>≤</w:t>
            </w:r>
            <w:r>
              <w:rPr>
                <w:rFonts w:ascii="Times New Roman"/>
                <w:sz w:val="18"/>
                <w:szCs w:val="18"/>
              </w:rPr>
              <w:t>0.40/0.45</w:t>
            </w:r>
          </w:p>
        </w:tc>
        <w:tc>
          <w:tcPr>
            <w:tcW w:w="891" w:type="dxa"/>
            <w:vAlign w:val="center"/>
          </w:tcPr>
          <w:p>
            <w:pPr>
              <w:pStyle w:val="86"/>
              <w:ind w:firstLine="360"/>
              <w:jc w:val="center"/>
              <w:rPr>
                <w:rFonts w:ascii="Times New Roman"/>
                <w:sz w:val="18"/>
                <w:szCs w:val="18"/>
              </w:rPr>
            </w:pPr>
          </w:p>
        </w:tc>
        <w:tc>
          <w:tcPr>
            <w:tcW w:w="1039" w:type="dxa"/>
            <w:gridSpan w:val="3"/>
            <w:vAlign w:val="center"/>
          </w:tcPr>
          <w:p>
            <w:pPr>
              <w:pStyle w:val="86"/>
              <w:ind w:firstLine="360"/>
              <w:jc w:val="center"/>
              <w:rPr>
                <w:rFonts w:ascii="Times New Roman"/>
                <w:sz w:val="18"/>
                <w:szCs w:val="18"/>
              </w:rPr>
            </w:pPr>
          </w:p>
        </w:tc>
        <w:tc>
          <w:tcPr>
            <w:tcW w:w="817" w:type="dxa"/>
            <w:vAlign w:val="center"/>
          </w:tcPr>
          <w:p>
            <w:pPr>
              <w:pStyle w:val="86"/>
              <w:ind w:firstLine="360"/>
              <w:jc w:val="center"/>
              <w:rPr>
                <w:rFonts w:ascii="Times New Roman"/>
                <w:sz w:val="18"/>
                <w:szCs w:val="18"/>
              </w:rPr>
            </w:pPr>
          </w:p>
        </w:tc>
        <w:tc>
          <w:tcPr>
            <w:tcW w:w="964" w:type="dxa"/>
            <w:gridSpan w:val="4"/>
            <w:vAlign w:val="center"/>
          </w:tcPr>
          <w:p>
            <w:pPr>
              <w:pStyle w:val="86"/>
              <w:ind w:firstLine="360"/>
              <w:jc w:val="center"/>
              <w:rPr>
                <w:rFonts w:ascii="Times New Roman"/>
                <w:sz w:val="18"/>
                <w:szCs w:val="18"/>
              </w:rPr>
            </w:pPr>
          </w:p>
        </w:tc>
        <w:tc>
          <w:tcPr>
            <w:tcW w:w="1100" w:type="dxa"/>
            <w:gridSpan w:val="2"/>
            <w:vAlign w:val="center"/>
          </w:tcPr>
          <w:p>
            <w:pPr>
              <w:pStyle w:val="86"/>
              <w:ind w:firstLine="360"/>
              <w:jc w:val="center"/>
              <w:rPr>
                <w:rFonts w:ascii="Times New Roman"/>
                <w:sz w:val="18"/>
                <w:szCs w:val="18"/>
              </w:rPr>
            </w:pPr>
          </w:p>
        </w:tc>
        <w:tc>
          <w:tcPr>
            <w:tcW w:w="794" w:type="dxa"/>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273" w:hRule="atLeast"/>
          <w:jc w:val="center"/>
        </w:trPr>
        <w:tc>
          <w:tcPr>
            <w:tcW w:w="849" w:type="dxa"/>
            <w:vMerge w:val="continue"/>
            <w:vAlign w:val="center"/>
          </w:tcPr>
          <w:p>
            <w:pPr>
              <w:ind w:firstLine="360"/>
              <w:jc w:val="center"/>
              <w:rPr>
                <w:sz w:val="18"/>
                <w:szCs w:val="18"/>
              </w:rPr>
            </w:pPr>
          </w:p>
        </w:tc>
        <w:tc>
          <w:tcPr>
            <w:tcW w:w="1639" w:type="dxa"/>
            <w:gridSpan w:val="3"/>
            <w:vAlign w:val="center"/>
          </w:tcPr>
          <w:p>
            <w:pPr>
              <w:pStyle w:val="86"/>
              <w:spacing w:before="5" w:line="249" w:lineRule="exact"/>
              <w:ind w:right="22"/>
              <w:jc w:val="center"/>
              <w:rPr>
                <w:rFonts w:ascii="Times New Roman" w:eastAsia="Times New Roman"/>
                <w:sz w:val="18"/>
                <w:szCs w:val="18"/>
              </w:rPr>
            </w:pPr>
            <w:r>
              <w:rPr>
                <w:sz w:val="18"/>
                <w:szCs w:val="18"/>
              </w:rPr>
              <w:t>＞</w:t>
            </w:r>
            <w:r>
              <w:rPr>
                <w:rFonts w:ascii="Times New Roman" w:eastAsia="Times New Roman"/>
                <w:sz w:val="18"/>
                <w:szCs w:val="18"/>
              </w:rPr>
              <w:t>0.70</w:t>
            </w:r>
          </w:p>
        </w:tc>
        <w:tc>
          <w:tcPr>
            <w:tcW w:w="1170" w:type="dxa"/>
            <w:vAlign w:val="center"/>
          </w:tcPr>
          <w:p>
            <w:pPr>
              <w:pStyle w:val="86"/>
              <w:spacing w:before="5" w:line="249" w:lineRule="exact"/>
              <w:ind w:right="124"/>
              <w:jc w:val="center"/>
              <w:rPr>
                <w:rFonts w:ascii="Times New Roman"/>
                <w:sz w:val="18"/>
                <w:szCs w:val="18"/>
              </w:rPr>
            </w:pPr>
            <w:r>
              <w:rPr>
                <w:rFonts w:ascii="Times New Roman"/>
                <w:sz w:val="18"/>
                <w:szCs w:val="18"/>
              </w:rPr>
              <w:t>K</w:t>
            </w:r>
            <w:r>
              <w:rPr>
                <w:rFonts w:hAnsi="宋体"/>
                <w:sz w:val="18"/>
                <w:szCs w:val="28"/>
              </w:rPr>
              <w:t>≤</w:t>
            </w:r>
            <w:r>
              <w:rPr>
                <w:rFonts w:ascii="Times New Roman"/>
                <w:sz w:val="18"/>
                <w:szCs w:val="18"/>
              </w:rPr>
              <w:t>1.9</w:t>
            </w:r>
          </w:p>
        </w:tc>
        <w:tc>
          <w:tcPr>
            <w:tcW w:w="1211" w:type="dxa"/>
            <w:vMerge w:val="continue"/>
            <w:vAlign w:val="center"/>
          </w:tcPr>
          <w:p>
            <w:pPr>
              <w:ind w:firstLine="360"/>
              <w:jc w:val="center"/>
              <w:rPr>
                <w:sz w:val="18"/>
                <w:szCs w:val="18"/>
              </w:rPr>
            </w:pPr>
          </w:p>
        </w:tc>
        <w:tc>
          <w:tcPr>
            <w:tcW w:w="891" w:type="dxa"/>
            <w:vAlign w:val="center"/>
          </w:tcPr>
          <w:p>
            <w:pPr>
              <w:pStyle w:val="86"/>
              <w:ind w:firstLine="360"/>
              <w:jc w:val="center"/>
              <w:rPr>
                <w:rFonts w:ascii="Times New Roman"/>
                <w:sz w:val="18"/>
                <w:szCs w:val="18"/>
              </w:rPr>
            </w:pPr>
          </w:p>
        </w:tc>
        <w:tc>
          <w:tcPr>
            <w:tcW w:w="1039" w:type="dxa"/>
            <w:gridSpan w:val="3"/>
            <w:vAlign w:val="center"/>
          </w:tcPr>
          <w:p>
            <w:pPr>
              <w:pStyle w:val="86"/>
              <w:ind w:firstLine="360"/>
              <w:jc w:val="center"/>
              <w:rPr>
                <w:rFonts w:ascii="Times New Roman"/>
                <w:sz w:val="18"/>
                <w:szCs w:val="18"/>
              </w:rPr>
            </w:pPr>
          </w:p>
        </w:tc>
        <w:tc>
          <w:tcPr>
            <w:tcW w:w="817" w:type="dxa"/>
            <w:vAlign w:val="center"/>
          </w:tcPr>
          <w:p>
            <w:pPr>
              <w:pStyle w:val="86"/>
              <w:ind w:firstLine="360"/>
              <w:jc w:val="center"/>
              <w:rPr>
                <w:rFonts w:ascii="Times New Roman"/>
                <w:sz w:val="18"/>
                <w:szCs w:val="18"/>
              </w:rPr>
            </w:pPr>
          </w:p>
        </w:tc>
        <w:tc>
          <w:tcPr>
            <w:tcW w:w="964" w:type="dxa"/>
            <w:gridSpan w:val="4"/>
            <w:vAlign w:val="center"/>
          </w:tcPr>
          <w:p>
            <w:pPr>
              <w:pStyle w:val="86"/>
              <w:ind w:firstLine="360"/>
              <w:jc w:val="center"/>
              <w:rPr>
                <w:rFonts w:ascii="Times New Roman"/>
                <w:sz w:val="18"/>
                <w:szCs w:val="18"/>
              </w:rPr>
            </w:pPr>
          </w:p>
        </w:tc>
        <w:tc>
          <w:tcPr>
            <w:tcW w:w="1100" w:type="dxa"/>
            <w:gridSpan w:val="2"/>
            <w:vAlign w:val="center"/>
          </w:tcPr>
          <w:p>
            <w:pPr>
              <w:pStyle w:val="86"/>
              <w:ind w:firstLine="360"/>
              <w:jc w:val="center"/>
              <w:rPr>
                <w:rFonts w:ascii="Times New Roman"/>
                <w:sz w:val="18"/>
                <w:szCs w:val="18"/>
              </w:rPr>
            </w:pPr>
          </w:p>
        </w:tc>
        <w:tc>
          <w:tcPr>
            <w:tcW w:w="794" w:type="dxa"/>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273" w:hRule="atLeast"/>
          <w:jc w:val="center"/>
        </w:trPr>
        <w:tc>
          <w:tcPr>
            <w:tcW w:w="849" w:type="dxa"/>
            <w:vMerge w:val="continue"/>
            <w:vAlign w:val="center"/>
          </w:tcPr>
          <w:p>
            <w:pPr>
              <w:ind w:firstLine="360"/>
              <w:jc w:val="center"/>
              <w:rPr>
                <w:sz w:val="18"/>
                <w:szCs w:val="18"/>
              </w:rPr>
            </w:pPr>
          </w:p>
        </w:tc>
        <w:tc>
          <w:tcPr>
            <w:tcW w:w="710" w:type="dxa"/>
            <w:vMerge w:val="restart"/>
            <w:vAlign w:val="center"/>
          </w:tcPr>
          <w:p>
            <w:pPr>
              <w:pStyle w:val="86"/>
              <w:spacing w:line="173" w:lineRule="auto"/>
              <w:ind w:left="53" w:leftChars="25" w:right="53" w:rightChars="25"/>
              <w:jc w:val="both"/>
              <w:rPr>
                <w:sz w:val="18"/>
                <w:szCs w:val="18"/>
              </w:rPr>
            </w:pPr>
            <w:r>
              <w:rPr>
                <w:sz w:val="18"/>
                <w:szCs w:val="18"/>
              </w:rPr>
              <w:t>甲类</w:t>
            </w:r>
          </w:p>
        </w:tc>
        <w:tc>
          <w:tcPr>
            <w:tcW w:w="929" w:type="dxa"/>
            <w:gridSpan w:val="2"/>
            <w:vAlign w:val="center"/>
          </w:tcPr>
          <w:p>
            <w:pPr>
              <w:pStyle w:val="86"/>
              <w:spacing w:before="3" w:line="250" w:lineRule="exact"/>
              <w:ind w:right="22"/>
              <w:jc w:val="center"/>
              <w:rPr>
                <w:rFonts w:ascii="Times New Roman" w:eastAsia="Times New Roman"/>
                <w:sz w:val="18"/>
                <w:szCs w:val="18"/>
              </w:rPr>
            </w:pPr>
            <w:r>
              <w:rPr>
                <w:sz w:val="18"/>
                <w:szCs w:val="18"/>
              </w:rPr>
              <w:t>＜</w:t>
            </w:r>
            <w:r>
              <w:rPr>
                <w:rFonts w:ascii="Times New Roman" w:eastAsia="Times New Roman"/>
                <w:sz w:val="18"/>
                <w:szCs w:val="18"/>
              </w:rPr>
              <w:t>0.40</w:t>
            </w:r>
          </w:p>
        </w:tc>
        <w:tc>
          <w:tcPr>
            <w:tcW w:w="2381" w:type="dxa"/>
            <w:gridSpan w:val="2"/>
            <w:vAlign w:val="center"/>
          </w:tcPr>
          <w:p>
            <w:pPr>
              <w:pStyle w:val="86"/>
              <w:spacing w:before="3" w:line="250" w:lineRule="exact"/>
              <w:jc w:val="center"/>
              <w:rPr>
                <w:rFonts w:ascii="Times New Roman" w:eastAsia="Times New Roman"/>
                <w:sz w:val="18"/>
                <w:szCs w:val="18"/>
              </w:rPr>
            </w:pPr>
            <w:r>
              <w:rPr>
                <w:sz w:val="18"/>
                <w:szCs w:val="18"/>
              </w:rPr>
              <w:t>可见光透射比</w:t>
            </w:r>
            <w:r>
              <w:rPr>
                <w:rFonts w:hAnsi="宋体"/>
                <w:sz w:val="18"/>
                <w:szCs w:val="28"/>
              </w:rPr>
              <w:t>≥</w:t>
            </w:r>
            <w:r>
              <w:rPr>
                <w:rFonts w:ascii="Times New Roman" w:eastAsia="Times New Roman"/>
                <w:sz w:val="18"/>
                <w:szCs w:val="18"/>
              </w:rPr>
              <w:t>0.60</w:t>
            </w:r>
          </w:p>
        </w:tc>
        <w:tc>
          <w:tcPr>
            <w:tcW w:w="891" w:type="dxa"/>
            <w:vAlign w:val="center"/>
          </w:tcPr>
          <w:p>
            <w:pPr>
              <w:pStyle w:val="86"/>
              <w:ind w:firstLine="360"/>
              <w:jc w:val="center"/>
              <w:rPr>
                <w:rFonts w:ascii="Times New Roman"/>
                <w:sz w:val="18"/>
                <w:szCs w:val="18"/>
              </w:rPr>
            </w:pPr>
          </w:p>
        </w:tc>
        <w:tc>
          <w:tcPr>
            <w:tcW w:w="1039" w:type="dxa"/>
            <w:gridSpan w:val="3"/>
            <w:vAlign w:val="center"/>
          </w:tcPr>
          <w:p>
            <w:pPr>
              <w:pStyle w:val="86"/>
              <w:ind w:firstLine="360"/>
              <w:jc w:val="center"/>
              <w:rPr>
                <w:rFonts w:ascii="Times New Roman"/>
                <w:sz w:val="18"/>
                <w:szCs w:val="18"/>
              </w:rPr>
            </w:pPr>
          </w:p>
        </w:tc>
        <w:tc>
          <w:tcPr>
            <w:tcW w:w="817" w:type="dxa"/>
            <w:vAlign w:val="center"/>
          </w:tcPr>
          <w:p>
            <w:pPr>
              <w:pStyle w:val="86"/>
              <w:ind w:firstLine="360"/>
              <w:jc w:val="center"/>
              <w:rPr>
                <w:rFonts w:ascii="Times New Roman"/>
                <w:sz w:val="18"/>
                <w:szCs w:val="18"/>
              </w:rPr>
            </w:pPr>
          </w:p>
        </w:tc>
        <w:tc>
          <w:tcPr>
            <w:tcW w:w="964" w:type="dxa"/>
            <w:gridSpan w:val="4"/>
            <w:vAlign w:val="center"/>
          </w:tcPr>
          <w:p>
            <w:pPr>
              <w:pStyle w:val="86"/>
              <w:ind w:firstLine="360"/>
              <w:jc w:val="center"/>
              <w:rPr>
                <w:rFonts w:ascii="Times New Roman"/>
                <w:sz w:val="18"/>
                <w:szCs w:val="18"/>
              </w:rPr>
            </w:pPr>
          </w:p>
        </w:tc>
        <w:tc>
          <w:tcPr>
            <w:tcW w:w="1100" w:type="dxa"/>
            <w:gridSpan w:val="2"/>
            <w:vAlign w:val="center"/>
          </w:tcPr>
          <w:p>
            <w:pPr>
              <w:pStyle w:val="86"/>
              <w:ind w:firstLine="360"/>
              <w:jc w:val="center"/>
              <w:rPr>
                <w:rFonts w:ascii="Times New Roman"/>
                <w:sz w:val="18"/>
                <w:szCs w:val="18"/>
              </w:rPr>
            </w:pPr>
          </w:p>
        </w:tc>
        <w:tc>
          <w:tcPr>
            <w:tcW w:w="794" w:type="dxa"/>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273" w:hRule="atLeast"/>
          <w:jc w:val="center"/>
        </w:trPr>
        <w:tc>
          <w:tcPr>
            <w:tcW w:w="849" w:type="dxa"/>
            <w:vMerge w:val="continue"/>
            <w:vAlign w:val="center"/>
          </w:tcPr>
          <w:p>
            <w:pPr>
              <w:ind w:firstLine="360"/>
              <w:jc w:val="center"/>
              <w:rPr>
                <w:sz w:val="18"/>
                <w:szCs w:val="18"/>
              </w:rPr>
            </w:pPr>
          </w:p>
        </w:tc>
        <w:tc>
          <w:tcPr>
            <w:tcW w:w="710" w:type="dxa"/>
            <w:vMerge w:val="continue"/>
            <w:vAlign w:val="center"/>
          </w:tcPr>
          <w:p>
            <w:pPr>
              <w:ind w:firstLine="360"/>
              <w:jc w:val="center"/>
              <w:rPr>
                <w:sz w:val="18"/>
                <w:szCs w:val="18"/>
              </w:rPr>
            </w:pPr>
          </w:p>
        </w:tc>
        <w:tc>
          <w:tcPr>
            <w:tcW w:w="929" w:type="dxa"/>
            <w:gridSpan w:val="2"/>
            <w:vAlign w:val="center"/>
          </w:tcPr>
          <w:p>
            <w:pPr>
              <w:pStyle w:val="86"/>
              <w:spacing w:before="5" w:line="249" w:lineRule="exact"/>
              <w:ind w:right="22"/>
              <w:jc w:val="center"/>
              <w:rPr>
                <w:rFonts w:ascii="Times New Roman"/>
                <w:sz w:val="18"/>
                <w:szCs w:val="18"/>
              </w:rPr>
            </w:pPr>
            <w:r>
              <w:rPr>
                <w:rFonts w:hAnsi="宋体"/>
                <w:sz w:val="18"/>
                <w:szCs w:val="28"/>
              </w:rPr>
              <w:t>≥</w:t>
            </w:r>
            <w:r>
              <w:rPr>
                <w:rFonts w:ascii="Times New Roman"/>
                <w:sz w:val="18"/>
                <w:szCs w:val="18"/>
              </w:rPr>
              <w:t>0.40</w:t>
            </w:r>
          </w:p>
        </w:tc>
        <w:tc>
          <w:tcPr>
            <w:tcW w:w="2381" w:type="dxa"/>
            <w:gridSpan w:val="2"/>
            <w:vAlign w:val="center"/>
          </w:tcPr>
          <w:p>
            <w:pPr>
              <w:pStyle w:val="86"/>
              <w:spacing w:before="5" w:line="249" w:lineRule="exact"/>
              <w:jc w:val="center"/>
              <w:rPr>
                <w:rFonts w:ascii="Times New Roman" w:eastAsia="Times New Roman"/>
                <w:sz w:val="18"/>
                <w:szCs w:val="18"/>
              </w:rPr>
            </w:pPr>
            <w:r>
              <w:rPr>
                <w:sz w:val="18"/>
                <w:szCs w:val="18"/>
              </w:rPr>
              <w:t>可见光透射比</w:t>
            </w:r>
            <w:r>
              <w:rPr>
                <w:rFonts w:hAnsi="宋体"/>
                <w:sz w:val="18"/>
                <w:szCs w:val="28"/>
              </w:rPr>
              <w:t>≥</w:t>
            </w:r>
            <w:r>
              <w:rPr>
                <w:rFonts w:ascii="Times New Roman" w:eastAsia="Times New Roman"/>
                <w:sz w:val="18"/>
                <w:szCs w:val="18"/>
              </w:rPr>
              <w:t>0.40</w:t>
            </w:r>
          </w:p>
        </w:tc>
        <w:tc>
          <w:tcPr>
            <w:tcW w:w="891" w:type="dxa"/>
            <w:vAlign w:val="center"/>
          </w:tcPr>
          <w:p>
            <w:pPr>
              <w:pStyle w:val="86"/>
              <w:ind w:firstLine="360"/>
              <w:jc w:val="center"/>
              <w:rPr>
                <w:rFonts w:ascii="Times New Roman"/>
                <w:sz w:val="18"/>
                <w:szCs w:val="18"/>
              </w:rPr>
            </w:pPr>
          </w:p>
        </w:tc>
        <w:tc>
          <w:tcPr>
            <w:tcW w:w="1039" w:type="dxa"/>
            <w:gridSpan w:val="3"/>
            <w:vAlign w:val="center"/>
          </w:tcPr>
          <w:p>
            <w:pPr>
              <w:pStyle w:val="86"/>
              <w:ind w:firstLine="360"/>
              <w:jc w:val="center"/>
              <w:rPr>
                <w:rFonts w:ascii="Times New Roman"/>
                <w:sz w:val="18"/>
                <w:szCs w:val="18"/>
              </w:rPr>
            </w:pPr>
          </w:p>
        </w:tc>
        <w:tc>
          <w:tcPr>
            <w:tcW w:w="817" w:type="dxa"/>
            <w:vAlign w:val="center"/>
          </w:tcPr>
          <w:p>
            <w:pPr>
              <w:pStyle w:val="86"/>
              <w:ind w:firstLine="360"/>
              <w:jc w:val="center"/>
              <w:rPr>
                <w:rFonts w:ascii="Times New Roman"/>
                <w:sz w:val="18"/>
                <w:szCs w:val="18"/>
              </w:rPr>
            </w:pPr>
          </w:p>
        </w:tc>
        <w:tc>
          <w:tcPr>
            <w:tcW w:w="964" w:type="dxa"/>
            <w:gridSpan w:val="4"/>
            <w:vAlign w:val="center"/>
          </w:tcPr>
          <w:p>
            <w:pPr>
              <w:pStyle w:val="86"/>
              <w:ind w:firstLine="360"/>
              <w:jc w:val="center"/>
              <w:rPr>
                <w:rFonts w:ascii="Times New Roman"/>
                <w:sz w:val="18"/>
                <w:szCs w:val="18"/>
              </w:rPr>
            </w:pPr>
          </w:p>
        </w:tc>
        <w:tc>
          <w:tcPr>
            <w:tcW w:w="1100" w:type="dxa"/>
            <w:gridSpan w:val="2"/>
            <w:vAlign w:val="center"/>
          </w:tcPr>
          <w:p>
            <w:pPr>
              <w:pStyle w:val="86"/>
              <w:ind w:firstLine="360"/>
              <w:jc w:val="center"/>
              <w:rPr>
                <w:rFonts w:ascii="Times New Roman"/>
                <w:sz w:val="18"/>
                <w:szCs w:val="18"/>
              </w:rPr>
            </w:pPr>
          </w:p>
        </w:tc>
        <w:tc>
          <w:tcPr>
            <w:tcW w:w="794" w:type="dxa"/>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590" w:hRule="atLeast"/>
          <w:jc w:val="center"/>
        </w:trPr>
        <w:tc>
          <w:tcPr>
            <w:tcW w:w="849" w:type="dxa"/>
            <w:vMerge w:val="continue"/>
            <w:vAlign w:val="center"/>
          </w:tcPr>
          <w:p>
            <w:pPr>
              <w:ind w:firstLine="360"/>
              <w:jc w:val="center"/>
              <w:rPr>
                <w:sz w:val="18"/>
                <w:szCs w:val="18"/>
              </w:rPr>
            </w:pPr>
          </w:p>
        </w:tc>
        <w:tc>
          <w:tcPr>
            <w:tcW w:w="710" w:type="dxa"/>
            <w:vMerge w:val="restart"/>
            <w:vAlign w:val="center"/>
          </w:tcPr>
          <w:p>
            <w:pPr>
              <w:pStyle w:val="86"/>
              <w:spacing w:line="173" w:lineRule="auto"/>
              <w:ind w:left="53" w:leftChars="25" w:right="53" w:rightChars="25"/>
              <w:jc w:val="both"/>
              <w:rPr>
                <w:sz w:val="18"/>
                <w:szCs w:val="18"/>
              </w:rPr>
            </w:pPr>
            <w:r>
              <w:rPr>
                <w:sz w:val="18"/>
                <w:szCs w:val="18"/>
              </w:rPr>
              <w:t>气密性指标</w:t>
            </w:r>
          </w:p>
        </w:tc>
        <w:tc>
          <w:tcPr>
            <w:tcW w:w="3310" w:type="dxa"/>
            <w:gridSpan w:val="4"/>
            <w:vAlign w:val="center"/>
          </w:tcPr>
          <w:p>
            <w:pPr>
              <w:pStyle w:val="86"/>
              <w:spacing w:line="173" w:lineRule="auto"/>
              <w:ind w:left="53" w:leftChars="25" w:right="53" w:rightChars="25"/>
              <w:jc w:val="both"/>
              <w:rPr>
                <w:sz w:val="18"/>
                <w:szCs w:val="18"/>
              </w:rPr>
            </w:pPr>
            <w:r>
              <w:rPr>
                <w:sz w:val="18"/>
                <w:szCs w:val="18"/>
              </w:rPr>
              <w:t>外窗（基本要求）：甲类不低于 7 级，乙类不低于 6 级。</w:t>
            </w:r>
          </w:p>
        </w:tc>
        <w:tc>
          <w:tcPr>
            <w:tcW w:w="1930" w:type="dxa"/>
            <w:gridSpan w:val="4"/>
            <w:vAlign w:val="center"/>
          </w:tcPr>
          <w:p>
            <w:pPr>
              <w:pStyle w:val="86"/>
              <w:spacing w:line="173" w:lineRule="auto"/>
              <w:ind w:left="53" w:leftChars="25" w:right="53" w:rightChars="25" w:firstLine="180" w:firstLineChars="100"/>
              <w:jc w:val="both"/>
              <w:rPr>
                <w:sz w:val="18"/>
                <w:szCs w:val="18"/>
              </w:rPr>
            </w:pPr>
            <w:r>
              <w:rPr>
                <w:sz w:val="18"/>
                <w:szCs w:val="18"/>
              </w:rPr>
              <w:t>外窗：</w:t>
            </w:r>
            <w:r>
              <w:rPr>
                <w:rFonts w:hint="eastAsia" w:asciiTheme="minorEastAsia" w:hAnsiTheme="minorEastAsia" w:eastAsiaTheme="minorEastAsia"/>
              </w:rPr>
              <w:t>____</w:t>
            </w:r>
            <w:r>
              <w:rPr>
                <w:sz w:val="18"/>
                <w:szCs w:val="18"/>
              </w:rPr>
              <w:t>级</w:t>
            </w:r>
          </w:p>
        </w:tc>
        <w:tc>
          <w:tcPr>
            <w:tcW w:w="1474" w:type="dxa"/>
            <w:gridSpan w:val="3"/>
            <w:vMerge w:val="restart"/>
            <w:vAlign w:val="center"/>
          </w:tcPr>
          <w:p>
            <w:pPr>
              <w:pStyle w:val="86"/>
              <w:spacing w:line="173" w:lineRule="auto"/>
              <w:ind w:left="53" w:leftChars="25" w:right="53" w:rightChars="25"/>
              <w:jc w:val="both"/>
              <w:rPr>
                <w:sz w:val="18"/>
                <w:szCs w:val="18"/>
              </w:rPr>
            </w:pPr>
            <w:r>
              <w:rPr>
                <w:sz w:val="18"/>
                <w:szCs w:val="18"/>
              </w:rPr>
              <w:t>可开启面积比例</w:t>
            </w:r>
          </w:p>
        </w:tc>
        <w:tc>
          <w:tcPr>
            <w:tcW w:w="2201" w:type="dxa"/>
            <w:gridSpan w:val="5"/>
            <w:vMerge w:val="restart"/>
            <w:vAlign w:val="center"/>
          </w:tcPr>
          <w:p>
            <w:pPr>
              <w:pStyle w:val="86"/>
              <w:spacing w:line="173" w:lineRule="auto"/>
              <w:ind w:left="53" w:leftChars="25" w:right="53" w:rightChars="25"/>
              <w:jc w:val="both"/>
              <w:rPr>
                <w:i/>
                <w:sz w:val="18"/>
                <w:szCs w:val="18"/>
              </w:rPr>
            </w:pPr>
            <w:r>
              <w:rPr>
                <w:i/>
                <w:sz w:val="18"/>
                <w:szCs w:val="18"/>
              </w:rPr>
              <w:t>（对照 4.2.6 条，进行设计内容描述）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790" w:hRule="atLeast"/>
          <w:jc w:val="center"/>
        </w:trPr>
        <w:tc>
          <w:tcPr>
            <w:tcW w:w="849" w:type="dxa"/>
            <w:vMerge w:val="continue"/>
            <w:vAlign w:val="center"/>
          </w:tcPr>
          <w:p>
            <w:pPr>
              <w:ind w:firstLine="360"/>
              <w:jc w:val="center"/>
              <w:rPr>
                <w:sz w:val="18"/>
                <w:szCs w:val="18"/>
              </w:rPr>
            </w:pPr>
          </w:p>
        </w:tc>
        <w:tc>
          <w:tcPr>
            <w:tcW w:w="710" w:type="dxa"/>
            <w:vMerge w:val="continue"/>
            <w:vAlign w:val="center"/>
          </w:tcPr>
          <w:p>
            <w:pPr>
              <w:ind w:firstLine="360"/>
              <w:jc w:val="center"/>
              <w:rPr>
                <w:sz w:val="18"/>
                <w:szCs w:val="18"/>
              </w:rPr>
            </w:pPr>
          </w:p>
        </w:tc>
        <w:tc>
          <w:tcPr>
            <w:tcW w:w="3310" w:type="dxa"/>
            <w:gridSpan w:val="4"/>
            <w:vAlign w:val="center"/>
          </w:tcPr>
          <w:p>
            <w:pPr>
              <w:pStyle w:val="86"/>
              <w:spacing w:line="173" w:lineRule="auto"/>
              <w:ind w:left="53" w:leftChars="25" w:right="53" w:rightChars="25"/>
              <w:jc w:val="both"/>
              <w:rPr>
                <w:sz w:val="18"/>
                <w:szCs w:val="18"/>
              </w:rPr>
            </w:pPr>
            <w:r>
              <w:rPr>
                <w:sz w:val="18"/>
                <w:szCs w:val="18"/>
              </w:rPr>
              <w:t>幕墙（基本要求）：</w:t>
            </w:r>
          </w:p>
          <w:p>
            <w:pPr>
              <w:pStyle w:val="86"/>
              <w:spacing w:line="173" w:lineRule="auto"/>
              <w:ind w:left="53" w:leftChars="25" w:right="53" w:rightChars="25"/>
              <w:jc w:val="both"/>
              <w:rPr>
                <w:sz w:val="18"/>
                <w:szCs w:val="18"/>
              </w:rPr>
            </w:pPr>
            <w:r>
              <w:rPr>
                <w:sz w:val="18"/>
                <w:szCs w:val="18"/>
              </w:rPr>
              <w:t>不低于 3 级，安装部位高度大于 100m 的透光幕墙的气密性不应低于 4 级。</w:t>
            </w:r>
          </w:p>
        </w:tc>
        <w:tc>
          <w:tcPr>
            <w:tcW w:w="1930" w:type="dxa"/>
            <w:gridSpan w:val="4"/>
            <w:vAlign w:val="center"/>
          </w:tcPr>
          <w:p>
            <w:pPr>
              <w:pStyle w:val="86"/>
              <w:spacing w:before="161" w:line="173" w:lineRule="auto"/>
              <w:ind w:right="53" w:rightChars="25" w:firstLine="180" w:firstLineChars="100"/>
              <w:jc w:val="both"/>
              <w:rPr>
                <w:sz w:val="18"/>
                <w:szCs w:val="18"/>
              </w:rPr>
            </w:pPr>
            <w:r>
              <w:rPr>
                <w:sz w:val="18"/>
                <w:szCs w:val="18"/>
              </w:rPr>
              <w:t>幕墙：</w:t>
            </w:r>
            <w:r>
              <w:rPr>
                <w:rFonts w:hint="eastAsia" w:asciiTheme="minorEastAsia" w:hAnsiTheme="minorEastAsia" w:eastAsiaTheme="minorEastAsia"/>
              </w:rPr>
              <w:t>____</w:t>
            </w:r>
            <w:r>
              <w:rPr>
                <w:sz w:val="18"/>
                <w:szCs w:val="18"/>
              </w:rPr>
              <w:t>级</w:t>
            </w:r>
          </w:p>
        </w:tc>
        <w:tc>
          <w:tcPr>
            <w:tcW w:w="1474" w:type="dxa"/>
            <w:gridSpan w:val="3"/>
            <w:vMerge w:val="continue"/>
            <w:vAlign w:val="center"/>
          </w:tcPr>
          <w:p>
            <w:pPr>
              <w:spacing w:line="173" w:lineRule="auto"/>
              <w:ind w:right="53" w:rightChars="25" w:firstLine="360"/>
              <w:rPr>
                <w:kern w:val="0"/>
                <w:sz w:val="18"/>
                <w:szCs w:val="18"/>
              </w:rPr>
            </w:pPr>
          </w:p>
        </w:tc>
        <w:tc>
          <w:tcPr>
            <w:tcW w:w="2201" w:type="dxa"/>
            <w:gridSpan w:val="5"/>
            <w:vMerge w:val="continue"/>
            <w:vAlign w:val="center"/>
          </w:tcPr>
          <w:p>
            <w:pPr>
              <w:spacing w:line="173" w:lineRule="auto"/>
              <w:ind w:right="53" w:rightChars="25" w:firstLine="360"/>
              <w:rPr>
                <w:kern w:val="0"/>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gridAfter w:val="1"/>
          <w:wAfter w:w="6" w:type="dxa"/>
          <w:trHeight w:val="994" w:hRule="atLeast"/>
          <w:jc w:val="center"/>
        </w:trPr>
        <w:tc>
          <w:tcPr>
            <w:tcW w:w="849" w:type="dxa"/>
            <w:vMerge w:val="continue"/>
            <w:vAlign w:val="center"/>
          </w:tcPr>
          <w:p>
            <w:pPr>
              <w:ind w:firstLine="360"/>
              <w:jc w:val="center"/>
              <w:rPr>
                <w:sz w:val="18"/>
                <w:szCs w:val="18"/>
              </w:rPr>
            </w:pPr>
          </w:p>
        </w:tc>
        <w:tc>
          <w:tcPr>
            <w:tcW w:w="710" w:type="dxa"/>
            <w:vAlign w:val="center"/>
          </w:tcPr>
          <w:p>
            <w:pPr>
              <w:pStyle w:val="86"/>
              <w:spacing w:line="173" w:lineRule="auto"/>
              <w:ind w:left="53" w:leftChars="25" w:right="53" w:rightChars="25"/>
              <w:jc w:val="both"/>
              <w:rPr>
                <w:sz w:val="18"/>
                <w:szCs w:val="18"/>
              </w:rPr>
            </w:pPr>
            <w:r>
              <w:rPr>
                <w:sz w:val="18"/>
                <w:szCs w:val="18"/>
              </w:rPr>
              <w:t>遮阳</w:t>
            </w:r>
          </w:p>
          <w:p>
            <w:pPr>
              <w:pStyle w:val="86"/>
              <w:spacing w:line="173" w:lineRule="auto"/>
              <w:ind w:left="53" w:leftChars="25" w:right="53" w:rightChars="25"/>
              <w:jc w:val="both"/>
              <w:rPr>
                <w:sz w:val="18"/>
                <w:szCs w:val="18"/>
              </w:rPr>
            </w:pPr>
            <w:r>
              <w:rPr>
                <w:sz w:val="18"/>
                <w:szCs w:val="18"/>
              </w:rPr>
              <w:t>设置</w:t>
            </w:r>
          </w:p>
        </w:tc>
        <w:tc>
          <w:tcPr>
            <w:tcW w:w="3310" w:type="dxa"/>
            <w:gridSpan w:val="4"/>
            <w:vAlign w:val="center"/>
          </w:tcPr>
          <w:p>
            <w:pPr>
              <w:pStyle w:val="86"/>
              <w:spacing w:line="173" w:lineRule="auto"/>
              <w:ind w:left="53" w:leftChars="25" w:right="53" w:rightChars="25"/>
              <w:jc w:val="both"/>
              <w:rPr>
                <w:sz w:val="18"/>
                <w:szCs w:val="18"/>
              </w:rPr>
            </w:pPr>
            <w:r>
              <w:rPr>
                <w:sz w:val="18"/>
                <w:szCs w:val="18"/>
              </w:rPr>
              <w:t>东、西向宜设置挡板式外遮阳可调节外遮阳或可调节中置遮阳；南向宜设置水平外遮阳、可调节外遮阳或可调节中置遮阳。</w:t>
            </w:r>
          </w:p>
        </w:tc>
        <w:tc>
          <w:tcPr>
            <w:tcW w:w="5605" w:type="dxa"/>
            <w:gridSpan w:val="12"/>
            <w:vAlign w:val="center"/>
          </w:tcPr>
          <w:p>
            <w:pPr>
              <w:pStyle w:val="86"/>
              <w:spacing w:line="173" w:lineRule="auto"/>
              <w:ind w:left="53" w:leftChars="25" w:right="53" w:rightChars="25"/>
              <w:jc w:val="both"/>
              <w:rPr>
                <w:sz w:val="18"/>
                <w:szCs w:val="18"/>
              </w:rPr>
            </w:pPr>
            <w:r>
              <w:rPr>
                <w:sz w:val="18"/>
                <w:szCs w:val="18"/>
              </w:rPr>
              <w:t>朝向：</w:t>
            </w:r>
            <w:r>
              <w:rPr>
                <w:rFonts w:hint="eastAsia"/>
                <w:sz w:val="18"/>
                <w:szCs w:val="18"/>
              </w:rPr>
              <w:t>□</w:t>
            </w:r>
            <w:r>
              <w:rPr>
                <w:sz w:val="18"/>
                <w:szCs w:val="18"/>
              </w:rPr>
              <w:t xml:space="preserve">南向 </w:t>
            </w:r>
            <w:r>
              <w:rPr>
                <w:rFonts w:hint="eastAsia"/>
                <w:sz w:val="18"/>
                <w:szCs w:val="18"/>
              </w:rPr>
              <w:t>□</w:t>
            </w:r>
            <w:r>
              <w:rPr>
                <w:sz w:val="18"/>
                <w:szCs w:val="18"/>
              </w:rPr>
              <w:t xml:space="preserve">东向 </w:t>
            </w:r>
            <w:r>
              <w:rPr>
                <w:rFonts w:hint="eastAsia"/>
                <w:sz w:val="18"/>
                <w:szCs w:val="18"/>
              </w:rPr>
              <w:t>□</w:t>
            </w:r>
            <w:r>
              <w:rPr>
                <w:sz w:val="18"/>
                <w:szCs w:val="18"/>
              </w:rPr>
              <w:t>西向；</w:t>
            </w:r>
          </w:p>
          <w:p>
            <w:pPr>
              <w:pStyle w:val="86"/>
              <w:spacing w:line="173" w:lineRule="auto"/>
              <w:ind w:left="53" w:leftChars="25" w:right="53" w:rightChars="25"/>
              <w:jc w:val="both"/>
              <w:rPr>
                <w:sz w:val="18"/>
                <w:szCs w:val="18"/>
              </w:rPr>
            </w:pPr>
            <w:r>
              <w:rPr>
                <w:sz w:val="18"/>
                <w:szCs w:val="18"/>
              </w:rPr>
              <w:t>设置形式：</w:t>
            </w:r>
          </w:p>
          <w:p>
            <w:pPr>
              <w:pStyle w:val="86"/>
              <w:spacing w:line="173" w:lineRule="auto"/>
              <w:ind w:left="53" w:leftChars="25" w:right="53" w:rightChars="25"/>
              <w:jc w:val="both"/>
              <w:rPr>
                <w:sz w:val="18"/>
                <w:szCs w:val="18"/>
              </w:rPr>
            </w:pPr>
            <w:r>
              <w:rPr>
                <w:rFonts w:hint="eastAsia"/>
                <w:sz w:val="18"/>
                <w:szCs w:val="18"/>
              </w:rPr>
              <w:t>□</w:t>
            </w:r>
            <w:r>
              <w:rPr>
                <w:sz w:val="18"/>
                <w:szCs w:val="18"/>
              </w:rPr>
              <w:t xml:space="preserve">外遮阳； </w:t>
            </w:r>
            <w:r>
              <w:rPr>
                <w:rFonts w:hint="eastAsia"/>
                <w:sz w:val="18"/>
                <w:szCs w:val="18"/>
              </w:rPr>
              <w:t>□</w:t>
            </w:r>
            <w:r>
              <w:rPr>
                <w:sz w:val="18"/>
                <w:szCs w:val="18"/>
              </w:rPr>
              <w:t xml:space="preserve">内遮阳； </w:t>
            </w:r>
            <w:r>
              <w:rPr>
                <w:rFonts w:hint="eastAsia"/>
                <w:sz w:val="18"/>
                <w:szCs w:val="18"/>
              </w:rPr>
              <w:t>□</w:t>
            </w:r>
            <w:r>
              <w:rPr>
                <w:sz w:val="18"/>
                <w:szCs w:val="18"/>
              </w:rPr>
              <w:t>中置遮阳；</w:t>
            </w:r>
          </w:p>
          <w:p>
            <w:pPr>
              <w:pStyle w:val="86"/>
              <w:spacing w:line="173" w:lineRule="auto"/>
              <w:ind w:left="53" w:leftChars="25" w:right="53" w:rightChars="25"/>
              <w:jc w:val="both"/>
              <w:rPr>
                <w:sz w:val="18"/>
                <w:szCs w:val="18"/>
              </w:rPr>
            </w:pPr>
            <w:r>
              <w:rPr>
                <w:rFonts w:hint="eastAsia"/>
                <w:sz w:val="18"/>
                <w:szCs w:val="18"/>
              </w:rPr>
              <w:t>□</w:t>
            </w:r>
            <w:r>
              <w:rPr>
                <w:sz w:val="18"/>
                <w:szCs w:val="18"/>
              </w:rPr>
              <w:t>固定遮阳；</w:t>
            </w:r>
            <w:r>
              <w:rPr>
                <w:rFonts w:hint="eastAsia"/>
                <w:sz w:val="18"/>
                <w:szCs w:val="18"/>
              </w:rPr>
              <w:t>□</w:t>
            </w:r>
            <w:r>
              <w:rPr>
                <w:sz w:val="18"/>
                <w:szCs w:val="18"/>
              </w:rPr>
              <w:t>可调节遮阳；</w:t>
            </w:r>
            <w:r>
              <w:rPr>
                <w:rFonts w:hint="eastAsia"/>
                <w:sz w:val="18"/>
                <w:szCs w:val="18"/>
              </w:rPr>
              <w:t>□</w:t>
            </w:r>
            <w:r>
              <w:rPr>
                <w:sz w:val="18"/>
                <w:szCs w:val="18"/>
              </w:rPr>
              <w:t>未设置。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40" w:hRule="atLeast"/>
          <w:jc w:val="center"/>
        </w:trPr>
        <w:tc>
          <w:tcPr>
            <w:tcW w:w="7665" w:type="dxa"/>
            <w:gridSpan w:val="12"/>
            <w:vAlign w:val="center"/>
          </w:tcPr>
          <w:p>
            <w:pPr>
              <w:pStyle w:val="86"/>
              <w:spacing w:before="37"/>
              <w:jc w:val="center"/>
              <w:rPr>
                <w:sz w:val="18"/>
                <w:szCs w:val="18"/>
              </w:rPr>
            </w:pPr>
            <w:r>
              <w:rPr>
                <w:sz w:val="18"/>
                <w:szCs w:val="18"/>
              </w:rPr>
              <w:t>供暖建筑围护结构结露计算是否符合标准规定</w:t>
            </w:r>
          </w:p>
        </w:tc>
        <w:tc>
          <w:tcPr>
            <w:tcW w:w="2815" w:type="dxa"/>
            <w:gridSpan w:val="7"/>
            <w:vAlign w:val="center"/>
          </w:tcPr>
          <w:p>
            <w:pPr>
              <w:pStyle w:val="86"/>
              <w:spacing w:before="36"/>
              <w:jc w:val="center"/>
              <w:rPr>
                <w:sz w:val="18"/>
                <w:szCs w:val="18"/>
              </w:rPr>
            </w:pPr>
            <w:r>
              <w:rPr>
                <w:rFonts w:hint="eastAsia"/>
                <w:sz w:val="18"/>
                <w:szCs w:val="18"/>
              </w:rPr>
              <w:t>□</w:t>
            </w:r>
            <w:r>
              <w:rPr>
                <w:sz w:val="18"/>
                <w:szCs w:val="18"/>
              </w:rPr>
              <w:t>是；</w:t>
            </w:r>
            <w:r>
              <w:rPr>
                <w:rFonts w:hint="eastAsia"/>
                <w:sz w:val="18"/>
                <w:szCs w:val="18"/>
              </w:rPr>
              <w:t>□</w:t>
            </w:r>
            <w:r>
              <w:rPr>
                <w:sz w:val="18"/>
                <w:szCs w:val="18"/>
              </w:rPr>
              <w:t>否；</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40" w:hRule="atLeast"/>
          <w:jc w:val="center"/>
        </w:trPr>
        <w:tc>
          <w:tcPr>
            <w:tcW w:w="7665" w:type="dxa"/>
            <w:gridSpan w:val="12"/>
            <w:vAlign w:val="center"/>
          </w:tcPr>
          <w:p>
            <w:pPr>
              <w:pStyle w:val="86"/>
              <w:spacing w:before="37"/>
              <w:jc w:val="center"/>
              <w:rPr>
                <w:sz w:val="18"/>
                <w:szCs w:val="18"/>
              </w:rPr>
            </w:pPr>
            <w:r>
              <w:rPr>
                <w:sz w:val="18"/>
                <w:szCs w:val="18"/>
              </w:rPr>
              <w:t>其他需说明情况</w:t>
            </w:r>
          </w:p>
        </w:tc>
        <w:tc>
          <w:tcPr>
            <w:tcW w:w="2815" w:type="dxa"/>
            <w:gridSpan w:val="7"/>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276" w:hRule="atLeast"/>
          <w:jc w:val="center"/>
        </w:trPr>
        <w:tc>
          <w:tcPr>
            <w:tcW w:w="10480" w:type="dxa"/>
            <w:gridSpan w:val="19"/>
            <w:vAlign w:val="center"/>
          </w:tcPr>
          <w:p>
            <w:pPr>
              <w:pStyle w:val="86"/>
              <w:spacing w:line="239" w:lineRule="exact"/>
              <w:jc w:val="center"/>
              <w:rPr>
                <w:b/>
                <w:sz w:val="18"/>
                <w:szCs w:val="28"/>
              </w:rPr>
            </w:pPr>
            <w:r>
              <w:rPr>
                <w:rFonts w:hint="eastAsia"/>
                <w:b/>
                <w:sz w:val="18"/>
                <w:szCs w:val="28"/>
              </w:rPr>
              <w:t>围护结构热工性能的权衡判断</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498" w:hRule="atLeast"/>
          <w:jc w:val="center"/>
        </w:trPr>
        <w:tc>
          <w:tcPr>
            <w:tcW w:w="5923" w:type="dxa"/>
            <w:gridSpan w:val="8"/>
            <w:vAlign w:val="center"/>
          </w:tcPr>
          <w:p>
            <w:pPr>
              <w:pStyle w:val="86"/>
              <w:spacing w:before="69" w:line="172" w:lineRule="auto"/>
              <w:ind w:right="276"/>
              <w:jc w:val="center"/>
              <w:rPr>
                <w:sz w:val="18"/>
                <w:szCs w:val="18"/>
              </w:rPr>
            </w:pPr>
            <w:r>
              <w:rPr>
                <w:sz w:val="18"/>
                <w:szCs w:val="18"/>
              </w:rPr>
              <w:t>参照建筑在规定条件下的全年供暖和空气调节能耗</w:t>
            </w:r>
          </w:p>
        </w:tc>
        <w:tc>
          <w:tcPr>
            <w:tcW w:w="1742" w:type="dxa"/>
            <w:gridSpan w:val="4"/>
            <w:vMerge w:val="restart"/>
            <w:vAlign w:val="center"/>
          </w:tcPr>
          <w:p>
            <w:pPr>
              <w:pStyle w:val="86"/>
              <w:spacing w:line="239" w:lineRule="exact"/>
              <w:jc w:val="center"/>
              <w:rPr>
                <w:sz w:val="18"/>
                <w:szCs w:val="18"/>
              </w:rPr>
            </w:pPr>
            <w:r>
              <w:rPr>
                <w:sz w:val="18"/>
                <w:szCs w:val="18"/>
              </w:rPr>
              <w:t>年能耗</w:t>
            </w:r>
          </w:p>
          <w:p>
            <w:pPr>
              <w:pStyle w:val="86"/>
              <w:spacing w:line="239" w:lineRule="exact"/>
              <w:jc w:val="center"/>
              <w:rPr>
                <w:sz w:val="18"/>
                <w:szCs w:val="18"/>
              </w:rPr>
            </w:pPr>
            <w:r>
              <w:rPr>
                <w:sz w:val="18"/>
                <w:szCs w:val="18"/>
              </w:rPr>
              <w:t>（</w:t>
            </w:r>
            <w:r>
              <w:rPr>
                <w:rFonts w:ascii="Times New Roman" w:eastAsia="Times New Roman"/>
                <w:sz w:val="18"/>
                <w:szCs w:val="18"/>
              </w:rPr>
              <w:t>kWh</w:t>
            </w:r>
            <w:r>
              <w:rPr>
                <w:sz w:val="18"/>
                <w:szCs w:val="18"/>
              </w:rPr>
              <w:t>）</w:t>
            </w:r>
          </w:p>
        </w:tc>
        <w:tc>
          <w:tcPr>
            <w:tcW w:w="752" w:type="dxa"/>
            <w:gridSpan w:val="2"/>
            <w:vAlign w:val="center"/>
          </w:tcPr>
          <w:p>
            <w:pPr>
              <w:pStyle w:val="86"/>
              <w:ind w:firstLine="360"/>
              <w:jc w:val="center"/>
              <w:rPr>
                <w:rFonts w:ascii="Times New Roman"/>
                <w:sz w:val="18"/>
                <w:szCs w:val="18"/>
              </w:rPr>
            </w:pPr>
          </w:p>
        </w:tc>
        <w:tc>
          <w:tcPr>
            <w:tcW w:w="1000" w:type="dxa"/>
            <w:gridSpan w:val="2"/>
            <w:vMerge w:val="restart"/>
            <w:vAlign w:val="center"/>
          </w:tcPr>
          <w:p>
            <w:pPr>
              <w:pStyle w:val="86"/>
              <w:spacing w:line="239" w:lineRule="exact"/>
              <w:jc w:val="center"/>
              <w:rPr>
                <w:sz w:val="18"/>
                <w:szCs w:val="18"/>
              </w:rPr>
            </w:pPr>
            <w:r>
              <w:rPr>
                <w:sz w:val="18"/>
                <w:szCs w:val="18"/>
              </w:rPr>
              <w:t>单位能耗</w:t>
            </w:r>
          </w:p>
          <w:p>
            <w:pPr>
              <w:pStyle w:val="86"/>
              <w:spacing w:line="239" w:lineRule="exact"/>
              <w:jc w:val="center"/>
              <w:rPr>
                <w:sz w:val="18"/>
                <w:szCs w:val="18"/>
              </w:rPr>
            </w:pPr>
            <w:r>
              <w:rPr>
                <w:sz w:val="18"/>
                <w:szCs w:val="18"/>
              </w:rPr>
              <w:t>（</w:t>
            </w:r>
            <w:r>
              <w:rPr>
                <w:rFonts w:ascii="Times New Roman" w:eastAsia="Times New Roman"/>
                <w:sz w:val="18"/>
                <w:szCs w:val="18"/>
              </w:rPr>
              <w:t>kWh/m</w:t>
            </w:r>
            <w:r>
              <w:rPr>
                <w:rFonts w:ascii="Times New Roman" w:eastAsia="Times New Roman"/>
                <w:position w:val="5"/>
                <w:sz w:val="18"/>
                <w:szCs w:val="18"/>
              </w:rPr>
              <w:t>2</w:t>
            </w:r>
            <w:r>
              <w:rPr>
                <w:sz w:val="18"/>
                <w:szCs w:val="18"/>
              </w:rPr>
              <w:t>）</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485" w:hRule="atLeast"/>
          <w:jc w:val="center"/>
        </w:trPr>
        <w:tc>
          <w:tcPr>
            <w:tcW w:w="5923" w:type="dxa"/>
            <w:gridSpan w:val="8"/>
            <w:vAlign w:val="center"/>
          </w:tcPr>
          <w:p>
            <w:pPr>
              <w:pStyle w:val="86"/>
              <w:spacing w:before="10" w:line="239" w:lineRule="exact"/>
              <w:jc w:val="center"/>
              <w:rPr>
                <w:sz w:val="18"/>
                <w:szCs w:val="18"/>
              </w:rPr>
            </w:pPr>
            <w:r>
              <w:rPr>
                <w:spacing w:val="-3"/>
                <w:sz w:val="18"/>
                <w:szCs w:val="18"/>
              </w:rPr>
              <w:t>设计建筑在相同条件下的全年供暖和空气调节能耗</w:t>
            </w:r>
          </w:p>
        </w:tc>
        <w:tc>
          <w:tcPr>
            <w:tcW w:w="1742" w:type="dxa"/>
            <w:gridSpan w:val="4"/>
            <w:vMerge w:val="continue"/>
            <w:vAlign w:val="center"/>
          </w:tcPr>
          <w:p>
            <w:pPr>
              <w:ind w:firstLine="360"/>
              <w:jc w:val="center"/>
              <w:rPr>
                <w:sz w:val="18"/>
                <w:szCs w:val="18"/>
              </w:rPr>
            </w:pPr>
          </w:p>
        </w:tc>
        <w:tc>
          <w:tcPr>
            <w:tcW w:w="752" w:type="dxa"/>
            <w:gridSpan w:val="2"/>
            <w:vAlign w:val="center"/>
          </w:tcPr>
          <w:p>
            <w:pPr>
              <w:pStyle w:val="86"/>
              <w:ind w:firstLine="360"/>
              <w:jc w:val="center"/>
              <w:rPr>
                <w:rFonts w:ascii="Times New Roman"/>
                <w:sz w:val="18"/>
                <w:szCs w:val="18"/>
              </w:rPr>
            </w:pPr>
          </w:p>
        </w:tc>
        <w:tc>
          <w:tcPr>
            <w:tcW w:w="1000" w:type="dxa"/>
            <w:gridSpan w:val="2"/>
            <w:vMerge w:val="continue"/>
            <w:vAlign w:val="center"/>
          </w:tcPr>
          <w:p>
            <w:pPr>
              <w:ind w:firstLine="360"/>
              <w:jc w:val="center"/>
              <w:rPr>
                <w:sz w:val="18"/>
                <w:szCs w:val="18"/>
              </w:rPr>
            </w:pP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311" w:hRule="atLeast"/>
          <w:jc w:val="center"/>
        </w:trPr>
        <w:tc>
          <w:tcPr>
            <w:tcW w:w="10480" w:type="dxa"/>
            <w:gridSpan w:val="19"/>
            <w:vAlign w:val="center"/>
          </w:tcPr>
          <w:p>
            <w:pPr>
              <w:pStyle w:val="86"/>
              <w:spacing w:line="239" w:lineRule="exact"/>
              <w:jc w:val="center"/>
              <w:rPr>
                <w:b/>
                <w:sz w:val="18"/>
                <w:szCs w:val="28"/>
              </w:rPr>
            </w:pPr>
            <w:r>
              <w:rPr>
                <w:rFonts w:hint="eastAsia"/>
                <w:b/>
                <w:sz w:val="18"/>
                <w:szCs w:val="28"/>
              </w:rPr>
              <w:t>可再生能源应用情况</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7" w:hRule="atLeast"/>
          <w:jc w:val="center"/>
        </w:trPr>
        <w:tc>
          <w:tcPr>
            <w:tcW w:w="2399" w:type="dxa"/>
            <w:gridSpan w:val="3"/>
            <w:vMerge w:val="restart"/>
            <w:vAlign w:val="center"/>
          </w:tcPr>
          <w:p>
            <w:pPr>
              <w:pStyle w:val="86"/>
              <w:spacing w:line="172" w:lineRule="auto"/>
              <w:ind w:right="137"/>
              <w:jc w:val="center"/>
              <w:rPr>
                <w:sz w:val="18"/>
                <w:szCs w:val="18"/>
              </w:rPr>
            </w:pPr>
            <w:r>
              <w:rPr>
                <w:sz w:val="18"/>
                <w:szCs w:val="18"/>
              </w:rPr>
              <w:t>太阳能系统</w:t>
            </w:r>
          </w:p>
        </w:tc>
        <w:tc>
          <w:tcPr>
            <w:tcW w:w="3524" w:type="dxa"/>
            <w:gridSpan w:val="5"/>
            <w:vAlign w:val="center"/>
          </w:tcPr>
          <w:p>
            <w:pPr>
              <w:pStyle w:val="86"/>
              <w:spacing w:before="149"/>
              <w:jc w:val="center"/>
              <w:rPr>
                <w:sz w:val="18"/>
                <w:szCs w:val="18"/>
              </w:rPr>
            </w:pPr>
            <w:r>
              <w:rPr>
                <w:sz w:val="18"/>
                <w:szCs w:val="18"/>
              </w:rPr>
              <w:t>太阳能光伏系统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49"/>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6" w:hRule="atLeast"/>
          <w:jc w:val="center"/>
        </w:trPr>
        <w:tc>
          <w:tcPr>
            <w:tcW w:w="2399" w:type="dxa"/>
            <w:gridSpan w:val="3"/>
            <w:vMerge w:val="continue"/>
            <w:vAlign w:val="center"/>
          </w:tcPr>
          <w:p>
            <w:pPr>
              <w:ind w:firstLine="360"/>
              <w:jc w:val="center"/>
              <w:rPr>
                <w:sz w:val="18"/>
                <w:szCs w:val="18"/>
              </w:rPr>
            </w:pPr>
          </w:p>
        </w:tc>
        <w:tc>
          <w:tcPr>
            <w:tcW w:w="3524" w:type="dxa"/>
            <w:gridSpan w:val="5"/>
            <w:vAlign w:val="center"/>
          </w:tcPr>
          <w:p>
            <w:pPr>
              <w:pStyle w:val="86"/>
              <w:spacing w:before="151"/>
              <w:jc w:val="center"/>
              <w:rPr>
                <w:sz w:val="18"/>
                <w:szCs w:val="18"/>
              </w:rPr>
            </w:pPr>
            <w:r>
              <w:rPr>
                <w:sz w:val="18"/>
                <w:szCs w:val="18"/>
              </w:rPr>
              <w:t>太阳能热水系统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51"/>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7" w:hRule="atLeast"/>
          <w:jc w:val="center"/>
        </w:trPr>
        <w:tc>
          <w:tcPr>
            <w:tcW w:w="2399" w:type="dxa"/>
            <w:gridSpan w:val="3"/>
            <w:vMerge w:val="continue"/>
            <w:vAlign w:val="center"/>
          </w:tcPr>
          <w:p>
            <w:pPr>
              <w:ind w:firstLine="360"/>
              <w:jc w:val="center"/>
              <w:rPr>
                <w:sz w:val="18"/>
                <w:szCs w:val="18"/>
              </w:rPr>
            </w:pPr>
          </w:p>
        </w:tc>
        <w:tc>
          <w:tcPr>
            <w:tcW w:w="3524" w:type="dxa"/>
            <w:gridSpan w:val="5"/>
            <w:vAlign w:val="center"/>
          </w:tcPr>
          <w:p>
            <w:pPr>
              <w:pStyle w:val="86"/>
              <w:spacing w:before="150"/>
              <w:jc w:val="center"/>
              <w:rPr>
                <w:sz w:val="18"/>
                <w:szCs w:val="18"/>
              </w:rPr>
            </w:pPr>
            <w:r>
              <w:rPr>
                <w:sz w:val="18"/>
                <w:szCs w:val="18"/>
              </w:rPr>
              <w:t>其他系统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40"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50"/>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6" w:hRule="atLeast"/>
          <w:jc w:val="center"/>
        </w:trPr>
        <w:tc>
          <w:tcPr>
            <w:tcW w:w="2399" w:type="dxa"/>
            <w:gridSpan w:val="3"/>
            <w:vMerge w:val="restart"/>
            <w:vAlign w:val="center"/>
          </w:tcPr>
          <w:p>
            <w:pPr>
              <w:pStyle w:val="86"/>
              <w:spacing w:before="1" w:line="172" w:lineRule="auto"/>
              <w:ind w:right="137"/>
              <w:jc w:val="center"/>
              <w:rPr>
                <w:sz w:val="18"/>
                <w:szCs w:val="18"/>
              </w:rPr>
            </w:pPr>
            <w:r>
              <w:rPr>
                <w:sz w:val="18"/>
                <w:szCs w:val="18"/>
              </w:rPr>
              <w:t>热泵系统</w:t>
            </w:r>
          </w:p>
        </w:tc>
        <w:tc>
          <w:tcPr>
            <w:tcW w:w="3524" w:type="dxa"/>
            <w:gridSpan w:val="5"/>
            <w:vAlign w:val="center"/>
          </w:tcPr>
          <w:p>
            <w:pPr>
              <w:pStyle w:val="86"/>
              <w:spacing w:before="151"/>
              <w:jc w:val="center"/>
              <w:rPr>
                <w:sz w:val="18"/>
                <w:szCs w:val="18"/>
              </w:rPr>
            </w:pPr>
            <w:r>
              <w:rPr>
                <w:sz w:val="18"/>
                <w:szCs w:val="18"/>
              </w:rPr>
              <w:t>水源热泵系统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51"/>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7" w:hRule="atLeast"/>
          <w:jc w:val="center"/>
        </w:trPr>
        <w:tc>
          <w:tcPr>
            <w:tcW w:w="2399" w:type="dxa"/>
            <w:gridSpan w:val="3"/>
            <w:vMerge w:val="continue"/>
            <w:vAlign w:val="center"/>
          </w:tcPr>
          <w:p>
            <w:pPr>
              <w:ind w:firstLine="360"/>
              <w:jc w:val="center"/>
              <w:rPr>
                <w:sz w:val="18"/>
                <w:szCs w:val="18"/>
              </w:rPr>
            </w:pPr>
          </w:p>
        </w:tc>
        <w:tc>
          <w:tcPr>
            <w:tcW w:w="3524" w:type="dxa"/>
            <w:gridSpan w:val="5"/>
            <w:vAlign w:val="center"/>
          </w:tcPr>
          <w:p>
            <w:pPr>
              <w:pStyle w:val="86"/>
              <w:spacing w:before="150"/>
              <w:jc w:val="center"/>
              <w:rPr>
                <w:sz w:val="18"/>
                <w:szCs w:val="18"/>
              </w:rPr>
            </w:pPr>
            <w:r>
              <w:rPr>
                <w:sz w:val="18"/>
                <w:szCs w:val="18"/>
              </w:rPr>
              <w:t>地热源热泵系统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40"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50"/>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6" w:hRule="atLeast"/>
          <w:jc w:val="center"/>
        </w:trPr>
        <w:tc>
          <w:tcPr>
            <w:tcW w:w="2399" w:type="dxa"/>
            <w:gridSpan w:val="3"/>
            <w:vMerge w:val="continue"/>
            <w:vAlign w:val="center"/>
          </w:tcPr>
          <w:p>
            <w:pPr>
              <w:ind w:firstLine="360"/>
              <w:jc w:val="center"/>
              <w:rPr>
                <w:sz w:val="18"/>
                <w:szCs w:val="18"/>
              </w:rPr>
            </w:pPr>
          </w:p>
        </w:tc>
        <w:tc>
          <w:tcPr>
            <w:tcW w:w="3524" w:type="dxa"/>
            <w:gridSpan w:val="5"/>
            <w:vAlign w:val="center"/>
          </w:tcPr>
          <w:p>
            <w:pPr>
              <w:pStyle w:val="86"/>
              <w:spacing w:before="149"/>
              <w:jc w:val="center"/>
              <w:rPr>
                <w:sz w:val="18"/>
                <w:szCs w:val="18"/>
              </w:rPr>
            </w:pPr>
            <w:r>
              <w:rPr>
                <w:sz w:val="18"/>
                <w:szCs w:val="18"/>
              </w:rPr>
              <w:t>空气源热泵热水系统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49"/>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67" w:hRule="atLeast"/>
          <w:jc w:val="center"/>
        </w:trPr>
        <w:tc>
          <w:tcPr>
            <w:tcW w:w="5923" w:type="dxa"/>
            <w:gridSpan w:val="8"/>
            <w:vAlign w:val="center"/>
          </w:tcPr>
          <w:p>
            <w:pPr>
              <w:pStyle w:val="86"/>
              <w:spacing w:before="150"/>
              <w:jc w:val="center"/>
              <w:rPr>
                <w:sz w:val="18"/>
                <w:szCs w:val="18"/>
              </w:rPr>
            </w:pPr>
            <w:r>
              <w:rPr>
                <w:sz w:val="18"/>
                <w:szCs w:val="18"/>
              </w:rPr>
              <w:t>其他可再生能源应用系统</w:t>
            </w:r>
          </w:p>
        </w:tc>
        <w:tc>
          <w:tcPr>
            <w:tcW w:w="1742" w:type="dxa"/>
            <w:gridSpan w:val="4"/>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1752" w:type="dxa"/>
            <w:gridSpan w:val="4"/>
            <w:vAlign w:val="center"/>
          </w:tcPr>
          <w:p>
            <w:pPr>
              <w:pStyle w:val="86"/>
              <w:spacing w:before="150"/>
              <w:jc w:val="center"/>
              <w:rPr>
                <w:sz w:val="18"/>
                <w:szCs w:val="18"/>
              </w:rPr>
            </w:pPr>
            <w:r>
              <w:rPr>
                <w:sz w:val="18"/>
                <w:szCs w:val="18"/>
              </w:rPr>
              <w:t>其方式及规模</w:t>
            </w:r>
          </w:p>
        </w:tc>
        <w:tc>
          <w:tcPr>
            <w:tcW w:w="1063" w:type="dxa"/>
            <w:gridSpan w:val="3"/>
            <w:vAlign w:val="center"/>
          </w:tcPr>
          <w:p>
            <w:pPr>
              <w:pStyle w:val="86"/>
              <w:ind w:firstLine="360"/>
              <w:jc w:val="center"/>
              <w:rPr>
                <w:rFonts w:ascii="Times New Roman"/>
                <w:sz w:val="18"/>
                <w:szCs w:val="18"/>
              </w:rPr>
            </w:pPr>
          </w:p>
        </w:tc>
      </w:tr>
    </w:tbl>
    <w:p>
      <w:pPr>
        <w:spacing w:before="109" w:beforeLines="35" w:after="109" w:afterLines="35" w:line="360" w:lineRule="exact"/>
        <w:ind w:left="218" w:leftChars="104" w:firstLine="42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结论：通过围护结构热工性能的权衡判断，本项目的全年能耗未超过参照建筑物的全年能耗，满足浙江省《公共建筑节能设计标准》DB</w:t>
      </w:r>
      <w:r>
        <w:rPr>
          <w:rFonts w:cs="宋体" w:asciiTheme="minorEastAsia" w:hAnsiTheme="minorEastAsia" w:eastAsiaTheme="minorEastAsia"/>
          <w:kern w:val="0"/>
          <w:szCs w:val="21"/>
        </w:rPr>
        <w:t xml:space="preserve"> </w:t>
      </w:r>
      <w:r>
        <w:rPr>
          <w:rFonts w:hint="eastAsia" w:cs="宋体" w:asciiTheme="minorEastAsia" w:hAnsiTheme="minorEastAsia" w:eastAsiaTheme="minorEastAsia"/>
          <w:kern w:val="0"/>
          <w:szCs w:val="21"/>
        </w:rPr>
        <w:t>33/1036-2021以及浙江省《绿色建筑设计标准》</w:t>
      </w:r>
      <w:r>
        <w:rPr>
          <w:rFonts w:cs="宋体" w:asciiTheme="minorEastAsia" w:hAnsiTheme="minorEastAsia" w:eastAsiaTheme="minorEastAsia"/>
          <w:kern w:val="0"/>
          <w:szCs w:val="21"/>
        </w:rPr>
        <w:t>DB 33/1092-2021</w:t>
      </w:r>
      <w:r>
        <w:rPr>
          <w:rFonts w:hint="eastAsia" w:cs="宋体" w:asciiTheme="minorEastAsia" w:hAnsiTheme="minorEastAsia" w:eastAsiaTheme="minorEastAsia"/>
          <w:kern w:val="0"/>
          <w:szCs w:val="21"/>
        </w:rPr>
        <w:t>对节能建筑的</w:t>
      </w:r>
      <w:r>
        <w:rPr>
          <w:rFonts w:cs="宋体" w:asciiTheme="minorEastAsia" w:hAnsiTheme="minorEastAsia" w:eastAsiaTheme="minorEastAsia"/>
          <w:kern w:val="0"/>
          <w:szCs w:val="21"/>
        </w:rPr>
        <w:t>规定</w:t>
      </w:r>
      <w:r>
        <w:rPr>
          <w:rFonts w:hint="eastAsia" w:cs="宋体" w:asciiTheme="minorEastAsia" w:hAnsiTheme="minorEastAsia" w:eastAsiaTheme="minorEastAsia"/>
          <w:kern w:val="0"/>
          <w:szCs w:val="21"/>
        </w:rPr>
        <w:t>。</w:t>
      </w:r>
    </w:p>
    <w:p>
      <w:pPr>
        <w:spacing w:before="109" w:beforeLines="35" w:after="109" w:afterLines="35" w:line="360" w:lineRule="exact"/>
        <w:ind w:left="218" w:leftChars="104" w:firstLine="420"/>
        <w:rPr>
          <w:rFonts w:cs="宋体" w:asciiTheme="minorEastAsia" w:hAnsiTheme="minorEastAsia" w:eastAsiaTheme="minorEastAsia"/>
          <w:kern w:val="0"/>
          <w:szCs w:val="21"/>
        </w:rPr>
      </w:pPr>
    </w:p>
    <w:p>
      <w:pPr>
        <w:pStyle w:val="87"/>
        <w:rPr>
          <w:rFonts w:asciiTheme="minorEastAsia" w:hAnsiTheme="minorEastAsia" w:eastAsiaTheme="minorEastAsia"/>
        </w:rPr>
      </w:pPr>
      <w:r>
        <w:rPr>
          <w:rFonts w:hint="eastAsia" w:asciiTheme="minorEastAsia" w:hAnsiTheme="minorEastAsia" w:eastAsiaTheme="minorEastAsia"/>
        </w:rPr>
        <w:t>项目选用保温形式、建筑节能材料及热工参数的参考依据：</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7"/>
        <w:rPr>
          <w:rFonts w:asciiTheme="minorEastAsia" w:hAnsiTheme="minorEastAsia" w:eastAsiaTheme="minorEastAsia"/>
        </w:rPr>
      </w:pPr>
      <w:r>
        <w:rPr>
          <w:rFonts w:hint="eastAsia" w:asciiTheme="minorEastAsia" w:hAnsiTheme="minorEastAsia" w:eastAsiaTheme="minorEastAsia"/>
        </w:rPr>
        <w:t>项目门窗、透光幕墙热工参数的参考依据：</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7"/>
        <w:rPr>
          <w:rFonts w:asciiTheme="minorEastAsia" w:hAnsiTheme="minorEastAsia" w:eastAsiaTheme="minorEastAsia"/>
        </w:rPr>
      </w:pPr>
      <w:r>
        <w:rPr>
          <w:rFonts w:hint="eastAsia" w:asciiTheme="minorEastAsia" w:hAnsiTheme="minorEastAsia" w:eastAsiaTheme="minorEastAsia"/>
        </w:rPr>
        <w:t>项目主要围护结构保温构造做法（分层描述、或节点详图、或图集索引等）：</w:t>
      </w:r>
    </w:p>
    <w:p>
      <w:pPr>
        <w:pStyle w:val="88"/>
        <w:numPr>
          <w:ilvl w:val="1"/>
          <w:numId w:val="35"/>
        </w:numPr>
        <w:rPr>
          <w:rFonts w:asciiTheme="minorEastAsia" w:hAnsiTheme="minorEastAsia" w:eastAsiaTheme="minorEastAsia"/>
          <w:lang w:val="en-GB"/>
        </w:rPr>
      </w:pPr>
      <w:r>
        <w:rPr>
          <w:rFonts w:hint="eastAsia" w:asciiTheme="minorEastAsia" w:hAnsiTheme="minorEastAsia" w:eastAsiaTheme="minorEastAsia"/>
          <w:lang w:val="en-GB"/>
        </w:rPr>
        <w:t>屋面做法：</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8"/>
        <w:rPr>
          <w:rFonts w:asciiTheme="minorEastAsia" w:hAnsiTheme="minorEastAsia" w:eastAsiaTheme="minorEastAsia"/>
          <w:lang w:val="en-GB"/>
        </w:rPr>
      </w:pPr>
      <w:r>
        <w:rPr>
          <w:rFonts w:hint="eastAsia" w:asciiTheme="minorEastAsia" w:hAnsiTheme="minorEastAsia" w:eastAsiaTheme="minorEastAsia"/>
          <w:lang w:val="en-GB"/>
        </w:rPr>
        <w:t>外墙做法：</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8"/>
        <w:rPr>
          <w:rFonts w:asciiTheme="minorEastAsia" w:hAnsiTheme="minorEastAsia" w:eastAsiaTheme="minorEastAsia"/>
          <w:lang w:val="en-GB"/>
        </w:rPr>
      </w:pPr>
      <w:r>
        <w:rPr>
          <w:rFonts w:hint="eastAsia" w:asciiTheme="minorEastAsia" w:hAnsiTheme="minorEastAsia" w:eastAsiaTheme="minorEastAsia"/>
          <w:lang w:val="en-GB"/>
        </w:rPr>
        <w:t>架空楼板做法：</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8"/>
        <w:rPr>
          <w:rFonts w:asciiTheme="minorEastAsia" w:hAnsiTheme="minorEastAsia" w:eastAsiaTheme="minorEastAsia"/>
          <w:lang w:val="en-GB"/>
        </w:rPr>
      </w:pPr>
      <w:r>
        <w:rPr>
          <w:rFonts w:hint="eastAsia" w:asciiTheme="minorEastAsia" w:hAnsiTheme="minorEastAsia" w:eastAsiaTheme="minorEastAsia"/>
          <w:lang w:val="en-GB"/>
        </w:rPr>
        <w:t>外窗选型：</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8"/>
        <w:rPr>
          <w:rFonts w:asciiTheme="minorEastAsia" w:hAnsiTheme="minorEastAsia" w:eastAsiaTheme="minorEastAsia"/>
          <w:lang w:val="en-GB"/>
        </w:rPr>
      </w:pPr>
      <w:r>
        <w:rPr>
          <w:rFonts w:hint="eastAsia" w:asciiTheme="minorEastAsia" w:hAnsiTheme="minorEastAsia" w:eastAsiaTheme="minorEastAsia"/>
          <w:lang w:val="en-GB"/>
        </w:rPr>
        <w:t>其他做法：</w:t>
      </w:r>
    </w:p>
    <w:p>
      <w:pPr>
        <w:spacing w:line="360" w:lineRule="exact"/>
        <w:ind w:firstLine="420"/>
        <w:rPr>
          <w:rFonts w:asciiTheme="minorEastAsia" w:hAnsiTheme="minorEastAsia" w:eastAsiaTheme="minorEastAsia"/>
          <w:szCs w:val="21"/>
        </w:rPr>
      </w:pPr>
    </w:p>
    <w:p>
      <w:pPr>
        <w:spacing w:line="360" w:lineRule="exact"/>
        <w:ind w:firstLine="420"/>
        <w:rPr>
          <w:rFonts w:asciiTheme="minorEastAsia" w:hAnsiTheme="minorEastAsia" w:eastAsiaTheme="minorEastAsia"/>
          <w:szCs w:val="21"/>
        </w:rPr>
      </w:pPr>
    </w:p>
    <w:p>
      <w:pPr>
        <w:pStyle w:val="87"/>
        <w:rPr>
          <w:rFonts w:asciiTheme="minorEastAsia" w:hAnsiTheme="minorEastAsia" w:eastAsiaTheme="minorEastAsia"/>
        </w:rPr>
      </w:pPr>
      <w:r>
        <w:rPr>
          <w:rFonts w:hint="eastAsia" w:asciiTheme="minorEastAsia" w:hAnsiTheme="minorEastAsia" w:eastAsiaTheme="minorEastAsia"/>
        </w:rPr>
        <w:t>其它需要说明的内容：</w:t>
      </w:r>
    </w:p>
    <w:p>
      <w:pPr>
        <w:ind w:firstLine="420"/>
        <w:rPr>
          <w:rFonts w:asciiTheme="minorEastAsia" w:hAnsiTheme="minorEastAsia" w:eastAsiaTheme="minorEastAsia"/>
        </w:rPr>
      </w:pPr>
    </w:p>
    <w:p>
      <w:pPr>
        <w:ind w:firstLine="420"/>
        <w:rPr>
          <w:rFonts w:asciiTheme="minorEastAsia" w:hAnsiTheme="minorEastAsia" w:eastAsiaTheme="minorEastAsia"/>
        </w:rPr>
      </w:pPr>
    </w:p>
    <w:p>
      <w:pPr>
        <w:widowControl/>
        <w:spacing w:line="360" w:lineRule="auto"/>
        <w:ind w:firstLine="482"/>
        <w:jc w:val="left"/>
        <w:outlineLvl w:val="0"/>
        <w:rPr>
          <w:rFonts w:asciiTheme="minorEastAsia" w:hAnsiTheme="minorEastAsia" w:eastAsiaTheme="minorEastAsia"/>
          <w:b/>
          <w:bCs/>
          <w:kern w:val="0"/>
          <w:sz w:val="24"/>
        </w:rPr>
        <w:sectPr>
          <w:headerReference r:id="rId12" w:type="default"/>
          <w:pgSz w:w="23814" w:h="16840" w:orient="landscape"/>
          <w:pgMar w:top="1134" w:right="1134" w:bottom="1134" w:left="1134" w:header="851" w:footer="810" w:gutter="0"/>
          <w:cols w:space="630" w:num="2"/>
          <w:docGrid w:type="lines" w:linePitch="312" w:charSpace="0"/>
        </w:sectPr>
      </w:pPr>
    </w:p>
    <w:p>
      <w:pPr>
        <w:pStyle w:val="63"/>
        <w:ind w:firstLine="0"/>
        <w:rPr>
          <w:rFonts w:asciiTheme="minorEastAsia" w:hAnsiTheme="minorEastAsia" w:eastAsiaTheme="minorEastAsia"/>
          <w:b/>
        </w:rPr>
      </w:pPr>
      <w:bookmarkStart w:id="6" w:name="_Toc109325289"/>
      <w:bookmarkStart w:id="7" w:name="_Toc109325925"/>
      <w:r>
        <w:rPr>
          <w:rFonts w:hint="eastAsia" w:asciiTheme="minorEastAsia" w:hAnsiTheme="minorEastAsia" w:eastAsiaTheme="minorEastAsia"/>
          <w:b/>
        </w:rPr>
        <w:t>一、结构主要</w:t>
      </w:r>
      <w:r>
        <w:rPr>
          <w:rFonts w:asciiTheme="minorEastAsia" w:hAnsiTheme="minorEastAsia" w:eastAsiaTheme="minorEastAsia"/>
          <w:b/>
        </w:rPr>
        <w:t>设计</w:t>
      </w:r>
      <w:r>
        <w:rPr>
          <w:rFonts w:hint="eastAsia" w:asciiTheme="minorEastAsia" w:hAnsiTheme="minorEastAsia" w:eastAsiaTheme="minorEastAsia"/>
          <w:b/>
        </w:rPr>
        <w:t>依据</w:t>
      </w:r>
      <w:bookmarkEnd w:id="6"/>
      <w:bookmarkEnd w:id="7"/>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《浙江省绿色建筑条例》；</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《公共建筑节能设计标准》GB 50189-2015；</w:t>
      </w:r>
    </w:p>
    <w:p>
      <w:pPr>
        <w:widowControl/>
        <w:numPr>
          <w:ilvl w:val="0"/>
          <w:numId w:val="36"/>
        </w:numPr>
        <w:spacing w:line="400" w:lineRule="exact"/>
        <w:ind w:left="284" w:firstLine="0"/>
        <w:rPr>
          <w:rFonts w:asciiTheme="minorEastAsia" w:hAnsiTheme="minorEastAsia" w:eastAsiaTheme="minorEastAsia"/>
          <w:szCs w:val="21"/>
        </w:rPr>
      </w:pPr>
      <w:r>
        <w:rPr>
          <w:rFonts w:asciiTheme="minorEastAsia" w:hAnsiTheme="minorEastAsia" w:eastAsiaTheme="minorEastAsia"/>
          <w:szCs w:val="21"/>
        </w:rPr>
        <w:t>《绿色建筑评价标准》GB</w:t>
      </w:r>
      <w:r>
        <w:rPr>
          <w:rFonts w:hint="eastAsia" w:asciiTheme="minorEastAsia" w:hAnsiTheme="minorEastAsia" w:eastAsiaTheme="minorEastAsia"/>
          <w:szCs w:val="21"/>
        </w:rPr>
        <w:t xml:space="preserve">/T </w:t>
      </w:r>
      <w:r>
        <w:rPr>
          <w:rFonts w:asciiTheme="minorEastAsia" w:hAnsiTheme="minorEastAsia" w:eastAsiaTheme="minorEastAsia"/>
          <w:szCs w:val="21"/>
        </w:rPr>
        <w:t>50378-</w:t>
      </w:r>
      <w:r>
        <w:rPr>
          <w:rFonts w:hint="eastAsia" w:asciiTheme="minorEastAsia" w:hAnsiTheme="minorEastAsia" w:eastAsiaTheme="minorEastAsia"/>
          <w:szCs w:val="21"/>
        </w:rPr>
        <w:t>2019；</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《民用建筑绿色设计规范》JGJ/T</w:t>
      </w:r>
      <w:r>
        <w:rPr>
          <w:rFonts w:asciiTheme="minorEastAsia" w:hAnsiTheme="minorEastAsia" w:eastAsiaTheme="minorEastAsia"/>
          <w:szCs w:val="21"/>
        </w:rPr>
        <w:t xml:space="preserve"> </w:t>
      </w:r>
      <w:r>
        <w:rPr>
          <w:rFonts w:hint="eastAsia" w:asciiTheme="minorEastAsia" w:hAnsiTheme="minorEastAsia" w:eastAsiaTheme="minorEastAsia"/>
          <w:szCs w:val="21"/>
        </w:rPr>
        <w:t>229-2010；</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《装配式建筑评价标准》GB/T 51129-2017；</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浙江省《装配式建筑评价标准》DB</w:t>
      </w:r>
      <w:r>
        <w:rPr>
          <w:rFonts w:asciiTheme="minorEastAsia" w:hAnsiTheme="minorEastAsia" w:eastAsiaTheme="minorEastAsia"/>
          <w:szCs w:val="21"/>
        </w:rPr>
        <w:t xml:space="preserve"> </w:t>
      </w:r>
      <w:r>
        <w:rPr>
          <w:rFonts w:hint="eastAsia" w:asciiTheme="minorEastAsia" w:hAnsiTheme="minorEastAsia" w:eastAsiaTheme="minorEastAsia"/>
          <w:szCs w:val="21"/>
        </w:rPr>
        <w:t>33/T1165-2019；</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浙江省《绿色建筑设计标准》</w:t>
      </w:r>
      <w:r>
        <w:rPr>
          <w:rFonts w:asciiTheme="minorEastAsia" w:hAnsiTheme="minorEastAsia" w:eastAsiaTheme="minorEastAsia"/>
          <w:szCs w:val="21"/>
        </w:rPr>
        <w:t>DB 33/1092</w:t>
      </w:r>
      <w:r>
        <w:rPr>
          <w:rFonts w:hint="eastAsia" w:asciiTheme="minorEastAsia" w:hAnsiTheme="minorEastAsia" w:eastAsiaTheme="minorEastAsia"/>
          <w:szCs w:val="21"/>
        </w:rPr>
        <w:t>-</w:t>
      </w:r>
      <w:r>
        <w:rPr>
          <w:rFonts w:asciiTheme="minorEastAsia" w:hAnsiTheme="minorEastAsia" w:eastAsiaTheme="minorEastAsia"/>
          <w:szCs w:val="21"/>
        </w:rPr>
        <w:t>20</w:t>
      </w:r>
      <w:r>
        <w:rPr>
          <w:rFonts w:hint="eastAsia" w:asciiTheme="minorEastAsia" w:hAnsiTheme="minorEastAsia" w:eastAsiaTheme="minorEastAsia"/>
          <w:szCs w:val="21"/>
        </w:rPr>
        <w:t>21；</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住房和城乡建设部、工业和信息化部《关于加快应用高强钢筋的指导意见》（建标</w:t>
      </w:r>
      <w:r>
        <w:rPr>
          <w:rFonts w:hint="eastAsia" w:cs="宋体" w:asciiTheme="minorEastAsia" w:hAnsiTheme="minorEastAsia" w:eastAsiaTheme="minorEastAsia"/>
          <w:kern w:val="0"/>
          <w:szCs w:val="21"/>
        </w:rPr>
        <w:t>〔201</w:t>
      </w:r>
      <w:r>
        <w:rPr>
          <w:rFonts w:cs="宋体" w:asciiTheme="minorEastAsia" w:hAnsiTheme="minorEastAsia" w:eastAsiaTheme="minorEastAsia"/>
          <w:kern w:val="0"/>
          <w:szCs w:val="21"/>
        </w:rPr>
        <w:t>2</w:t>
      </w:r>
      <w:r>
        <w:rPr>
          <w:rFonts w:hint="eastAsia" w:cs="宋体" w:asciiTheme="minorEastAsia" w:hAnsiTheme="minorEastAsia" w:eastAsiaTheme="minorEastAsia"/>
          <w:kern w:val="0"/>
          <w:szCs w:val="21"/>
        </w:rPr>
        <w:t>〕</w:t>
      </w:r>
      <w:r>
        <w:rPr>
          <w:rFonts w:hint="eastAsia" w:asciiTheme="minorEastAsia" w:hAnsiTheme="minorEastAsia" w:eastAsiaTheme="minorEastAsia"/>
          <w:szCs w:val="21"/>
        </w:rPr>
        <w:t>1号）；</w:t>
      </w:r>
    </w:p>
    <w:p>
      <w:pPr>
        <w:widowControl/>
        <w:numPr>
          <w:ilvl w:val="0"/>
          <w:numId w:val="36"/>
        </w:numPr>
        <w:spacing w:line="400" w:lineRule="exact"/>
        <w:ind w:left="284" w:firstLine="0"/>
        <w:rPr>
          <w:rFonts w:asciiTheme="minorEastAsia" w:hAnsiTheme="minorEastAsia" w:eastAsiaTheme="minorEastAsia"/>
          <w:szCs w:val="21"/>
        </w:rPr>
      </w:pPr>
      <w:r>
        <w:rPr>
          <w:rFonts w:hint="eastAsia" w:asciiTheme="minorEastAsia" w:hAnsiTheme="minorEastAsia" w:eastAsiaTheme="minorEastAsia"/>
          <w:szCs w:val="21"/>
        </w:rPr>
        <w:t>《浙江省建设领域推广应用技术公告》和《浙江省建设领域禁止和限制使用技术公告》 （浙建发</w:t>
      </w:r>
      <w:r>
        <w:rPr>
          <w:rFonts w:hint="eastAsia" w:cs="宋体" w:asciiTheme="minorEastAsia" w:hAnsiTheme="minorEastAsia" w:eastAsiaTheme="minorEastAsia"/>
          <w:kern w:val="0"/>
          <w:szCs w:val="21"/>
        </w:rPr>
        <w:t>〔2014〕</w:t>
      </w:r>
      <w:r>
        <w:rPr>
          <w:rFonts w:hint="eastAsia" w:asciiTheme="minorEastAsia" w:hAnsiTheme="minorEastAsia" w:eastAsiaTheme="minorEastAsia"/>
          <w:szCs w:val="21"/>
        </w:rPr>
        <w:t xml:space="preserve">284号）； </w:t>
      </w:r>
    </w:p>
    <w:p>
      <w:pPr>
        <w:numPr>
          <w:ilvl w:val="0"/>
          <w:numId w:val="36"/>
        </w:numPr>
        <w:spacing w:line="400" w:lineRule="exact"/>
        <w:ind w:left="284" w:firstLine="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项目环境影响评价报告：</w:t>
      </w:r>
      <w:r>
        <w:rPr>
          <w:rFonts w:hint="eastAsia" w:hAnsi="宋体" w:cs="宋体"/>
          <w:kern w:val="0"/>
          <w:szCs w:val="21"/>
        </w:rPr>
        <w:t>_</w:t>
      </w:r>
      <w:r>
        <w:rPr>
          <w:rFonts w:hAnsi="宋体" w:cs="宋体"/>
          <w:kern w:val="0"/>
          <w:szCs w:val="21"/>
        </w:rPr>
        <w:t>_________________</w:t>
      </w:r>
      <w:r>
        <w:rPr>
          <w:rFonts w:hint="eastAsia" w:cs="宋体" w:asciiTheme="minorEastAsia" w:hAnsiTheme="minorEastAsia" w:eastAsiaTheme="minorEastAsia"/>
          <w:kern w:val="0"/>
          <w:szCs w:val="21"/>
        </w:rPr>
        <w:t>；</w:t>
      </w:r>
    </w:p>
    <w:p>
      <w:pPr>
        <w:numPr>
          <w:ilvl w:val="0"/>
          <w:numId w:val="36"/>
        </w:numPr>
        <w:spacing w:line="400" w:lineRule="exact"/>
        <w:ind w:left="284" w:firstLine="0"/>
        <w:rPr>
          <w:rFonts w:cs="宋体" w:asciiTheme="minorEastAsia" w:hAnsiTheme="minorEastAsia" w:eastAsiaTheme="minorEastAsia"/>
          <w:kern w:val="0"/>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36"/>
        </w:numPr>
        <w:spacing w:line="400" w:lineRule="exact"/>
        <w:ind w:left="284" w:firstLine="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建设单位提供的文件资料要求；</w:t>
      </w:r>
    </w:p>
    <w:p>
      <w:pPr>
        <w:widowControl/>
        <w:numPr>
          <w:ilvl w:val="0"/>
          <w:numId w:val="36"/>
        </w:numPr>
        <w:spacing w:line="400" w:lineRule="exact"/>
        <w:ind w:left="284" w:firstLine="0"/>
        <w:rPr>
          <w:rFonts w:asciiTheme="minorEastAsia" w:hAnsiTheme="minorEastAsia" w:eastAsiaTheme="minorEastAsia"/>
          <w:szCs w:val="21"/>
        </w:rPr>
      </w:pPr>
      <w:r>
        <w:rPr>
          <w:rFonts w:cs="宋体" w:asciiTheme="minorEastAsia" w:hAnsiTheme="minorEastAsia" w:eastAsiaTheme="minorEastAsia"/>
          <w:kern w:val="0"/>
          <w:szCs w:val="21"/>
        </w:rPr>
        <w:t>现行国家、</w:t>
      </w:r>
      <w:r>
        <w:rPr>
          <w:rFonts w:hint="eastAsia" w:cs="宋体" w:asciiTheme="minorEastAsia" w:hAnsiTheme="minorEastAsia" w:eastAsiaTheme="minorEastAsia"/>
          <w:kern w:val="0"/>
          <w:szCs w:val="21"/>
        </w:rPr>
        <w:t>行业、地方</w:t>
      </w:r>
      <w:r>
        <w:rPr>
          <w:rFonts w:cs="宋体" w:asciiTheme="minorEastAsia" w:hAnsiTheme="minorEastAsia" w:eastAsiaTheme="minorEastAsia"/>
          <w:kern w:val="0"/>
          <w:szCs w:val="21"/>
        </w:rPr>
        <w:t>相关</w:t>
      </w:r>
      <w:r>
        <w:rPr>
          <w:rFonts w:hint="eastAsia" w:cs="宋体" w:asciiTheme="minorEastAsia" w:hAnsiTheme="minorEastAsia" w:eastAsiaTheme="minorEastAsia"/>
          <w:kern w:val="0"/>
          <w:szCs w:val="21"/>
        </w:rPr>
        <w:t>绿色建筑与</w:t>
      </w:r>
      <w:r>
        <w:rPr>
          <w:rFonts w:cs="宋体" w:asciiTheme="minorEastAsia" w:hAnsiTheme="minorEastAsia" w:eastAsiaTheme="minorEastAsia"/>
          <w:kern w:val="0"/>
          <w:szCs w:val="21"/>
        </w:rPr>
        <w:t>节能</w:t>
      </w:r>
      <w:r>
        <w:rPr>
          <w:rFonts w:hint="eastAsia" w:cs="宋体" w:asciiTheme="minorEastAsia" w:hAnsiTheme="minorEastAsia" w:eastAsiaTheme="minorEastAsia"/>
          <w:kern w:val="0"/>
          <w:szCs w:val="21"/>
        </w:rPr>
        <w:t>的</w:t>
      </w:r>
      <w:r>
        <w:rPr>
          <w:rFonts w:cs="宋体" w:asciiTheme="minorEastAsia" w:hAnsiTheme="minorEastAsia" w:eastAsiaTheme="minorEastAsia"/>
          <w:kern w:val="0"/>
          <w:szCs w:val="21"/>
        </w:rPr>
        <w:t>法律、法规</w:t>
      </w:r>
      <w:r>
        <w:rPr>
          <w:rFonts w:hint="eastAsia" w:cs="宋体" w:asciiTheme="minorEastAsia" w:hAnsiTheme="minorEastAsia" w:eastAsiaTheme="minorEastAsia"/>
          <w:kern w:val="0"/>
          <w:szCs w:val="21"/>
        </w:rPr>
        <w:t>和规范性文件。</w:t>
      </w:r>
    </w:p>
    <w:p>
      <w:pPr>
        <w:tabs>
          <w:tab w:val="left" w:pos="4835"/>
        </w:tabs>
        <w:snapToGrid w:val="0"/>
        <w:spacing w:line="360" w:lineRule="auto"/>
        <w:ind w:firstLine="360"/>
        <w:jc w:val="left"/>
        <w:rPr>
          <w:rFonts w:asciiTheme="minorEastAsia" w:hAnsiTheme="minorEastAsia" w:eastAsiaTheme="minorEastAsia"/>
          <w:sz w:val="18"/>
          <w:szCs w:val="18"/>
        </w:rPr>
      </w:pPr>
    </w:p>
    <w:p>
      <w:pPr>
        <w:pStyle w:val="63"/>
        <w:ind w:firstLine="0"/>
        <w:rPr>
          <w:rFonts w:asciiTheme="minorEastAsia" w:hAnsiTheme="minorEastAsia" w:eastAsiaTheme="minorEastAsia"/>
          <w:b/>
        </w:rPr>
      </w:pPr>
      <w:bookmarkStart w:id="8" w:name="_Toc109325290"/>
      <w:bookmarkStart w:id="9" w:name="_Toc109325926"/>
      <w:r>
        <w:rPr>
          <w:rFonts w:hint="eastAsia" w:asciiTheme="minorEastAsia" w:hAnsiTheme="minorEastAsia" w:eastAsiaTheme="minorEastAsia"/>
          <w:b/>
        </w:rPr>
        <w:t>二、结构设计技术措施：</w:t>
      </w:r>
      <w:bookmarkEnd w:id="8"/>
      <w:bookmarkEnd w:id="9"/>
    </w:p>
    <w:p>
      <w:pPr>
        <w:spacing w:line="360" w:lineRule="auto"/>
        <w:ind w:firstLine="482"/>
        <w:rPr>
          <w:rFonts w:asciiTheme="minorEastAsia" w:hAnsiTheme="minorEastAsia" w:eastAsiaTheme="minorEastAsia"/>
          <w:b/>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 一星级；</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lang w:val="en-GB"/>
        </w:rPr>
        <w:t>结构设计技术措施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37"/>
        </w:numPr>
        <w:rPr>
          <w:rFonts w:asciiTheme="minorEastAsia" w:hAnsiTheme="minorEastAsia" w:eastAsiaTheme="minorEastAsia"/>
        </w:rPr>
      </w:pPr>
      <w:r>
        <w:rPr>
          <w:rFonts w:hint="eastAsia" w:asciiTheme="minorEastAsia" w:hAnsiTheme="minorEastAsia" w:eastAsiaTheme="minorEastAsia"/>
        </w:rPr>
        <w:t>未</w:t>
      </w:r>
      <w:r>
        <w:rPr>
          <w:rFonts w:asciiTheme="minorEastAsia" w:hAnsiTheme="minorEastAsia" w:eastAsiaTheme="minorEastAsia"/>
        </w:rPr>
        <w:t>采用国家和</w:t>
      </w:r>
      <w:r>
        <w:rPr>
          <w:rFonts w:hint="eastAsia" w:asciiTheme="minorEastAsia" w:hAnsiTheme="minorEastAsia" w:eastAsiaTheme="minorEastAsia"/>
        </w:rPr>
        <w:t>地方明令</w:t>
      </w:r>
      <w:r>
        <w:rPr>
          <w:rFonts w:asciiTheme="minorEastAsia" w:hAnsiTheme="minorEastAsia" w:eastAsiaTheme="minorEastAsia"/>
        </w:rPr>
        <w:t>禁止使用或淘汰的材料</w:t>
      </w:r>
      <w:r>
        <w:rPr>
          <w:rFonts w:hint="eastAsia" w:asciiTheme="minorEastAsia" w:hAnsiTheme="minorEastAsia" w:eastAsiaTheme="minorEastAsia"/>
        </w:rPr>
        <w:t>和产</w:t>
      </w:r>
      <w:r>
        <w:rPr>
          <w:rFonts w:asciiTheme="minorEastAsia" w:hAnsiTheme="minorEastAsia" w:eastAsiaTheme="minorEastAsia"/>
        </w:rPr>
        <w:t>品</w:t>
      </w:r>
      <w:r>
        <w:rPr>
          <w:rFonts w:hint="eastAsia" w:asciiTheme="minorEastAsia" w:hAnsiTheme="minorEastAsia" w:eastAsiaTheme="minorEastAsia"/>
        </w:rPr>
        <w:t xml:space="preserve">。 </w:t>
      </w:r>
    </w:p>
    <w:p>
      <w:pPr>
        <w:pStyle w:val="90"/>
        <w:numPr>
          <w:ilvl w:val="0"/>
          <w:numId w:val="37"/>
        </w:numPr>
        <w:rPr>
          <w:rFonts w:asciiTheme="minorEastAsia" w:hAnsiTheme="minorEastAsia" w:eastAsiaTheme="minorEastAsia"/>
        </w:rPr>
      </w:pPr>
      <w:r>
        <w:rPr>
          <w:rFonts w:hint="eastAsia" w:asciiTheme="minorEastAsia" w:hAnsiTheme="minorEastAsia" w:eastAsiaTheme="minorEastAsia"/>
        </w:rPr>
        <w:t>混凝土结构中梁、柱、剪力墙等构件的受力普通钢筋采用不低于400MPa级的热扎带肋钢筋。</w:t>
      </w:r>
    </w:p>
    <w:p>
      <w:pPr>
        <w:pStyle w:val="90"/>
        <w:numPr>
          <w:ilvl w:val="0"/>
          <w:numId w:val="37"/>
        </w:numPr>
        <w:rPr>
          <w:rFonts w:asciiTheme="minorEastAsia" w:hAnsiTheme="minorEastAsia" w:eastAsiaTheme="minorEastAsia"/>
        </w:rPr>
      </w:pPr>
      <w:r>
        <w:rPr>
          <w:rFonts w:asciiTheme="minorEastAsia" w:hAnsiTheme="minorEastAsia" w:eastAsiaTheme="minorEastAsia"/>
        </w:rPr>
        <w:t>选择建设场地时，满足现行国家标准《建筑抗震设计规范》GB 50011的相关要求。</w:t>
      </w:r>
    </w:p>
    <w:p>
      <w:pPr>
        <w:pStyle w:val="90"/>
        <w:numPr>
          <w:ilvl w:val="0"/>
          <w:numId w:val="37"/>
        </w:numPr>
        <w:rPr>
          <w:rFonts w:asciiTheme="minorEastAsia" w:hAnsiTheme="minorEastAsia" w:eastAsiaTheme="minorEastAsia"/>
        </w:rPr>
      </w:pPr>
      <w:r>
        <w:rPr>
          <w:rFonts w:hint="eastAsia" w:asciiTheme="minorEastAsia" w:hAnsiTheme="minorEastAsia" w:eastAsiaTheme="minorEastAsia"/>
        </w:rPr>
        <w:t>建筑结构满足承载力、变形和建筑使用功能的要求，结构构件的耐久性满足相应设计使用年限的要求。</w:t>
      </w:r>
    </w:p>
    <w:p>
      <w:pPr>
        <w:pStyle w:val="90"/>
        <w:numPr>
          <w:ilvl w:val="0"/>
          <w:numId w:val="37"/>
        </w:numPr>
        <w:rPr>
          <w:rFonts w:asciiTheme="minorEastAsia" w:hAnsiTheme="minorEastAsia" w:eastAsiaTheme="minorEastAsia"/>
        </w:rPr>
      </w:pPr>
      <w:r>
        <w:rPr>
          <w:rFonts w:hint="eastAsia" w:asciiTheme="minorEastAsia" w:hAnsiTheme="minorEastAsia" w:eastAsiaTheme="minorEastAsia"/>
        </w:rPr>
        <w:t>非结构构件与建筑结构牢固连接， 并能适应主体结构变形。</w:t>
      </w:r>
    </w:p>
    <w:p>
      <w:pPr>
        <w:pStyle w:val="90"/>
        <w:numPr>
          <w:ilvl w:val="0"/>
          <w:numId w:val="37"/>
        </w:numPr>
        <w:rPr>
          <w:rFonts w:asciiTheme="minorEastAsia" w:hAnsiTheme="minorEastAsia" w:eastAsiaTheme="minorEastAsia"/>
        </w:rPr>
      </w:pPr>
      <w:r>
        <w:rPr>
          <w:rFonts w:asciiTheme="minorEastAsia" w:hAnsiTheme="minorEastAsia" w:eastAsiaTheme="minorEastAsia"/>
        </w:rPr>
        <w:t>结构方案满足抗震概念设计的要求，未采用严重不规则的结构方案，对于特别不规则的结构合理确定抗震性能目标。</w:t>
      </w:r>
    </w:p>
    <w:p>
      <w:pPr>
        <w:pStyle w:val="90"/>
        <w:numPr>
          <w:ilvl w:val="0"/>
          <w:numId w:val="37"/>
        </w:numPr>
        <w:rPr>
          <w:rFonts w:asciiTheme="minorEastAsia" w:hAnsiTheme="minorEastAsia" w:eastAsiaTheme="minorEastAsia"/>
        </w:rPr>
      </w:pPr>
      <w:r>
        <w:rPr>
          <w:rFonts w:hint="eastAsia" w:asciiTheme="minorEastAsia" w:hAnsiTheme="minorEastAsia" w:eastAsiaTheme="minorEastAsia"/>
        </w:rPr>
        <w:t>500km以内生产的建筑材料重量占建筑材料总重量的比例大于60％。</w:t>
      </w:r>
    </w:p>
    <w:p>
      <w:pPr>
        <w:pStyle w:val="90"/>
        <w:numPr>
          <w:ilvl w:val="0"/>
          <w:numId w:val="37"/>
        </w:numPr>
        <w:rPr>
          <w:rFonts w:asciiTheme="minorEastAsia" w:hAnsiTheme="minorEastAsia" w:eastAsiaTheme="minorEastAsia"/>
        </w:rPr>
      </w:pPr>
      <w:r>
        <w:rPr>
          <w:rFonts w:hint="eastAsia" w:asciiTheme="minorEastAsia" w:hAnsiTheme="minorEastAsia" w:eastAsiaTheme="minorEastAsia"/>
        </w:rPr>
        <w:t>现浇混凝土采用预拌混凝土，建筑砂浆采用预拌砂浆。</w:t>
      </w:r>
    </w:p>
    <w:p>
      <w:pPr>
        <w:pStyle w:val="90"/>
        <w:rPr>
          <w:rFonts w:asciiTheme="minorEastAsia" w:hAnsiTheme="minorEastAsia" w:eastAsiaTheme="minorEastAsia"/>
        </w:rPr>
      </w:pP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38"/>
        </w:numPr>
        <w:rPr>
          <w:rFonts w:asciiTheme="minorEastAsia" w:hAnsiTheme="minorEastAsia" w:eastAsiaTheme="minorEastAsia"/>
          <w:lang w:val="en-GB"/>
        </w:rPr>
      </w:pPr>
      <w:r>
        <w:rPr>
          <w:rFonts w:hint="eastAsia" w:asciiTheme="minorEastAsia" w:hAnsiTheme="minorEastAsia" w:eastAsiaTheme="minorEastAsia"/>
          <w:lang w:val="en-GB"/>
        </w:rPr>
        <w:t>对结构体系、基础形式、结构布置及构件截面、结构材料与构件进行优化设计：</w:t>
      </w:r>
    </w:p>
    <w:p>
      <w:pPr>
        <w:pStyle w:val="88"/>
        <w:numPr>
          <w:ilvl w:val="1"/>
          <w:numId w:val="39"/>
        </w:numPr>
        <w:rPr>
          <w:rFonts w:asciiTheme="minorEastAsia" w:hAnsiTheme="minorEastAsia" w:eastAsiaTheme="minorEastAsia"/>
          <w:lang w:val="en-GB"/>
        </w:rPr>
      </w:pPr>
      <w:r>
        <w:rPr>
          <w:rFonts w:hint="eastAsia" w:asciiTheme="minorEastAsia" w:hAnsiTheme="minorEastAsia" w:eastAsiaTheme="minorEastAsia"/>
          <w:lang w:val="en-GB"/>
        </w:rPr>
        <w:t xml:space="preserve">对结构体系进行优化设计：           </w:t>
      </w:r>
      <w:r>
        <w:rPr>
          <w:rFonts w:hint="eastAsia" w:asciiTheme="minorEastAsia" w:hAnsiTheme="minorEastAsia" w:eastAsiaTheme="minorEastAsia"/>
        </w:rPr>
        <w:t>□是；□否。</w:t>
      </w:r>
    </w:p>
    <w:p>
      <w:pPr>
        <w:pStyle w:val="88"/>
        <w:rPr>
          <w:rFonts w:asciiTheme="minorEastAsia" w:hAnsiTheme="minorEastAsia" w:eastAsiaTheme="minorEastAsia"/>
        </w:rPr>
      </w:pPr>
      <w:r>
        <w:rPr>
          <w:rFonts w:hint="eastAsia" w:asciiTheme="minorEastAsia" w:hAnsiTheme="minorEastAsia" w:eastAsiaTheme="minorEastAsia"/>
          <w:lang w:val="en-GB"/>
        </w:rPr>
        <w:t xml:space="preserve">对基础形式进行优化设计：           </w:t>
      </w:r>
      <w:r>
        <w:rPr>
          <w:rFonts w:hint="eastAsia" w:asciiTheme="minorEastAsia" w:hAnsiTheme="minorEastAsia" w:eastAsiaTheme="minorEastAsia"/>
        </w:rPr>
        <w:t>□是；□否。</w:t>
      </w:r>
    </w:p>
    <w:p>
      <w:pPr>
        <w:pStyle w:val="88"/>
        <w:rPr>
          <w:rFonts w:asciiTheme="minorEastAsia" w:hAnsiTheme="minorEastAsia" w:eastAsiaTheme="minorEastAsia"/>
          <w:lang w:val="en-GB"/>
        </w:rPr>
      </w:pPr>
      <w:r>
        <w:rPr>
          <w:rFonts w:hint="eastAsia" w:asciiTheme="minorEastAsia" w:hAnsiTheme="minorEastAsia" w:eastAsiaTheme="minorEastAsia"/>
          <w:lang w:val="en-GB"/>
        </w:rPr>
        <w:t xml:space="preserve">对结构布置及构件截面进行优化设计： </w:t>
      </w:r>
      <w:r>
        <w:rPr>
          <w:rFonts w:hint="eastAsia" w:asciiTheme="minorEastAsia" w:hAnsiTheme="minorEastAsia" w:eastAsiaTheme="minorEastAsia"/>
        </w:rPr>
        <w:t>□是；□否。</w:t>
      </w:r>
    </w:p>
    <w:p>
      <w:pPr>
        <w:pStyle w:val="88"/>
        <w:rPr>
          <w:rFonts w:asciiTheme="minorEastAsia" w:hAnsiTheme="minorEastAsia" w:eastAsiaTheme="minorEastAsia"/>
          <w:lang w:val="en-GB"/>
        </w:rPr>
      </w:pPr>
      <w:r>
        <w:rPr>
          <w:rFonts w:hint="eastAsia" w:asciiTheme="minorEastAsia" w:hAnsiTheme="minorEastAsia" w:eastAsiaTheme="minorEastAsia"/>
          <w:lang w:val="en-GB"/>
        </w:rPr>
        <w:t xml:space="preserve">对结构材料与构件进行优化设计：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 xml:space="preserve">采用基于性能的抗震设计并合理提高建筑的抗震性能: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 xml:space="preserve">建筑结构与建筑设备管线分离布置: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 xml:space="preserve">按100年进行耐久性设计：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对于混凝土构件，提高钢筋保护层厚度或采用高耐久混凝土：</w:t>
      </w:r>
      <w:r>
        <w:rPr>
          <w:rFonts w:hint="eastAsia" w:asciiTheme="minorEastAsia" w:hAnsiTheme="minorEastAsia" w:eastAsiaTheme="minorEastAsia"/>
        </w:rPr>
        <w:t>□是；□否；□未涉及。</w:t>
      </w:r>
    </w:p>
    <w:p>
      <w:pPr>
        <w:pStyle w:val="87"/>
        <w:rPr>
          <w:rFonts w:asciiTheme="minorEastAsia" w:hAnsiTheme="minorEastAsia" w:eastAsiaTheme="minorEastAsia"/>
          <w:lang w:val="en-GB"/>
        </w:rPr>
      </w:pPr>
      <w:r>
        <w:rPr>
          <w:rFonts w:asciiTheme="minorEastAsia" w:hAnsiTheme="minorEastAsia" w:eastAsiaTheme="minorEastAsia"/>
          <w:lang w:val="en-GB"/>
        </w:rPr>
        <w:t>对于钢</w:t>
      </w:r>
      <w:r>
        <w:rPr>
          <w:rFonts w:hint="eastAsia" w:asciiTheme="minorEastAsia" w:hAnsiTheme="minorEastAsia" w:eastAsiaTheme="minorEastAsia"/>
          <w:lang w:val="en-GB"/>
        </w:rPr>
        <w:t>构件，</w:t>
      </w:r>
      <w:r>
        <w:rPr>
          <w:rFonts w:asciiTheme="minorEastAsia" w:hAnsiTheme="minorEastAsia" w:eastAsiaTheme="minorEastAsia"/>
          <w:lang w:val="en-GB"/>
        </w:rPr>
        <w:t>采用耐候结构钢或耐候</w:t>
      </w:r>
      <w:r>
        <w:rPr>
          <w:rFonts w:hint="eastAsia" w:asciiTheme="minorEastAsia" w:hAnsiTheme="minorEastAsia" w:eastAsiaTheme="minorEastAsia"/>
          <w:lang w:val="en-GB"/>
        </w:rPr>
        <w:t>型</w:t>
      </w:r>
      <w:r>
        <w:rPr>
          <w:rFonts w:asciiTheme="minorEastAsia" w:hAnsiTheme="minorEastAsia" w:eastAsiaTheme="minorEastAsia"/>
          <w:lang w:val="en-GB"/>
        </w:rPr>
        <w:t>防腐涂料</w:t>
      </w:r>
      <w:r>
        <w:rPr>
          <w:rFonts w:hint="eastAsia" w:asciiTheme="minorEastAsia" w:hAnsiTheme="minorEastAsia" w:eastAsiaTheme="minorEastAsia"/>
          <w:lang w:val="en-GB"/>
        </w:rPr>
        <w:t xml:space="preserve">：          </w:t>
      </w:r>
      <w:r>
        <w:rPr>
          <w:rFonts w:hint="eastAsia" w:asciiTheme="minorEastAsia" w:hAnsiTheme="minorEastAsia" w:eastAsiaTheme="minorEastAsia"/>
        </w:rPr>
        <w:t>□是；□否；□未涉及。</w:t>
      </w:r>
    </w:p>
    <w:p>
      <w:pPr>
        <w:pStyle w:val="87"/>
        <w:rPr>
          <w:rFonts w:asciiTheme="minorEastAsia" w:hAnsiTheme="minorEastAsia" w:eastAsiaTheme="minorEastAsia"/>
          <w:lang w:val="en-GB"/>
        </w:rPr>
      </w:pPr>
      <w:r>
        <w:rPr>
          <w:rFonts w:hint="eastAsia" w:asciiTheme="minorEastAsia" w:hAnsiTheme="minorEastAsia" w:eastAsiaTheme="minorEastAsia"/>
          <w:lang w:val="en-GB"/>
        </w:rPr>
        <w:t xml:space="preserve">对于木构件，采用防腐木材、耐久木材或耐久木制品：      </w:t>
      </w:r>
      <w:r>
        <w:rPr>
          <w:rFonts w:hint="eastAsia" w:asciiTheme="minorEastAsia" w:hAnsiTheme="minorEastAsia" w:eastAsiaTheme="minorEastAsia"/>
        </w:rPr>
        <w:t>□是；□否；□未涉及。</w:t>
      </w:r>
    </w:p>
    <w:p>
      <w:pPr>
        <w:pStyle w:val="87"/>
        <w:rPr>
          <w:rFonts w:asciiTheme="minorEastAsia" w:hAnsiTheme="minorEastAsia" w:eastAsiaTheme="minorEastAsia"/>
          <w:lang w:val="en-GB"/>
        </w:rPr>
      </w:pPr>
      <w:r>
        <w:rPr>
          <w:rFonts w:hint="eastAsia" w:asciiTheme="minorEastAsia" w:hAnsiTheme="minorEastAsia" w:eastAsiaTheme="minorEastAsia"/>
          <w:lang w:val="en-GB"/>
        </w:rPr>
        <w:t>合理选用建筑结构材料与构件，并明确：</w:t>
      </w:r>
    </w:p>
    <w:p>
      <w:pPr>
        <w:pStyle w:val="88"/>
        <w:numPr>
          <w:ilvl w:val="1"/>
          <w:numId w:val="40"/>
        </w:numPr>
        <w:rPr>
          <w:rFonts w:asciiTheme="minorEastAsia" w:hAnsiTheme="minorEastAsia" w:eastAsiaTheme="minorEastAsia"/>
          <w:lang w:val="en-GB"/>
        </w:rPr>
      </w:pPr>
      <w:r>
        <w:rPr>
          <w:rFonts w:hint="eastAsia" w:asciiTheme="minorEastAsia" w:hAnsiTheme="minorEastAsia" w:eastAsiaTheme="minorEastAsia"/>
          <w:lang w:val="en-GB"/>
        </w:rPr>
        <w:t>钢筋混凝土结构或混合结构中混凝土部分，400MPa级及以上受力普通钢筋占受力普通钢筋总量</w:t>
      </w:r>
    </w:p>
    <w:p>
      <w:pPr>
        <w:pStyle w:val="88"/>
        <w:numPr>
          <w:ilvl w:val="0"/>
          <w:numId w:val="0"/>
        </w:numPr>
        <w:ind w:left="992"/>
        <w:rPr>
          <w:rFonts w:asciiTheme="minorEastAsia" w:hAnsiTheme="minorEastAsia" w:eastAsiaTheme="minorEastAsia"/>
          <w:lang w:val="en-GB"/>
        </w:rPr>
      </w:pPr>
      <w:r>
        <w:rPr>
          <w:rFonts w:hint="eastAsia" w:asciiTheme="minorEastAsia" w:hAnsiTheme="minorEastAsia" w:eastAsiaTheme="minorEastAsia"/>
          <w:lang w:val="en-GB"/>
        </w:rPr>
        <w:t>的比例为：</w:t>
      </w:r>
      <w:r>
        <w:rPr>
          <w:rFonts w:hint="eastAsia" w:asciiTheme="minorEastAsia" w:hAnsiTheme="minorEastAsia" w:eastAsiaTheme="minorEastAsia"/>
          <w:u w:val="single"/>
          <w:lang w:val="en-GB"/>
        </w:rPr>
        <w:t xml:space="preserve">             </w:t>
      </w:r>
    </w:p>
    <w:p>
      <w:pPr>
        <w:pStyle w:val="88"/>
        <w:rPr>
          <w:rFonts w:asciiTheme="minorEastAsia" w:hAnsiTheme="minorEastAsia" w:eastAsiaTheme="minorEastAsia"/>
          <w:lang w:val="en-GB"/>
        </w:rPr>
      </w:pPr>
      <w:r>
        <w:rPr>
          <w:rFonts w:hint="eastAsia" w:asciiTheme="minorEastAsia" w:hAnsiTheme="minorEastAsia" w:eastAsiaTheme="minorEastAsia"/>
          <w:lang w:val="en-GB"/>
        </w:rPr>
        <w:t>100米以上高层钢筋混凝土结构中竖向承重结构采用强度等级不小于C50混凝土用量占竖向承重结构中混凝土总量的比例为：</w:t>
      </w:r>
      <w:r>
        <w:rPr>
          <w:rFonts w:hint="eastAsia" w:asciiTheme="minorEastAsia" w:hAnsiTheme="minorEastAsia" w:eastAsiaTheme="minorEastAsia"/>
          <w:u w:val="single"/>
          <w:lang w:val="en-GB"/>
        </w:rPr>
        <w:t xml:space="preserve">             </w:t>
      </w:r>
    </w:p>
    <w:p>
      <w:pPr>
        <w:pStyle w:val="88"/>
        <w:rPr>
          <w:rFonts w:asciiTheme="minorEastAsia" w:hAnsiTheme="minorEastAsia" w:eastAsiaTheme="minorEastAsia"/>
          <w:lang w:val="en-GB"/>
        </w:rPr>
      </w:pPr>
      <w:r>
        <w:rPr>
          <w:rFonts w:hint="eastAsia" w:asciiTheme="minorEastAsia" w:hAnsiTheme="minorEastAsia" w:eastAsiaTheme="minorEastAsia"/>
          <w:lang w:val="en-GB"/>
        </w:rPr>
        <w:t>钢结构或高层混合结构中钢结构部分，Q355及以上高强钢材用量占钢材总量的比例为：</w:t>
      </w:r>
      <w:r>
        <w:rPr>
          <w:rFonts w:hint="eastAsia" w:asciiTheme="minorEastAsia" w:hAnsiTheme="minorEastAsia" w:eastAsiaTheme="minorEastAsia"/>
          <w:u w:val="single"/>
          <w:lang w:val="en-GB"/>
        </w:rPr>
        <w:t xml:space="preserve">            </w:t>
      </w:r>
    </w:p>
    <w:p>
      <w:pPr>
        <w:pStyle w:val="88"/>
        <w:rPr>
          <w:rFonts w:asciiTheme="minorEastAsia" w:hAnsiTheme="minorEastAsia" w:eastAsiaTheme="minorEastAsia"/>
          <w:u w:val="single"/>
          <w:lang w:val="en-GB"/>
        </w:rPr>
      </w:pPr>
      <w:r>
        <w:rPr>
          <w:rFonts w:hint="eastAsia" w:asciiTheme="minorEastAsia" w:hAnsiTheme="minorEastAsia" w:eastAsiaTheme="minorEastAsia"/>
          <w:lang w:val="en-GB"/>
        </w:rPr>
        <w:t>钢结构螺栓连接等非现场焊接节点占现场全部连接、焊接节点的数量比例为：</w:t>
      </w:r>
      <w:r>
        <w:rPr>
          <w:rFonts w:asciiTheme="minorEastAsia" w:hAnsiTheme="minorEastAsia" w:eastAsiaTheme="minorEastAsia"/>
          <w:lang w:val="en-GB"/>
        </w:rPr>
        <w:softHyphen/>
      </w:r>
      <w:r>
        <w:rPr>
          <w:rFonts w:hint="eastAsia" w:asciiTheme="minorEastAsia" w:hAnsiTheme="minorEastAsia" w:eastAsiaTheme="minorEastAsia"/>
          <w:lang w:val="en-GB"/>
        </w:rPr>
        <w:softHyphen/>
      </w:r>
      <w:r>
        <w:rPr>
          <w:rFonts w:hint="eastAsia" w:asciiTheme="minorEastAsia" w:hAnsiTheme="minorEastAsia" w:eastAsiaTheme="minorEastAsia"/>
          <w:u w:val="single"/>
          <w:lang w:val="en-GB"/>
        </w:rPr>
        <w:t xml:space="preserve">             </w:t>
      </w:r>
    </w:p>
    <w:p>
      <w:pPr>
        <w:pStyle w:val="88"/>
        <w:rPr>
          <w:rFonts w:asciiTheme="minorEastAsia" w:hAnsiTheme="minorEastAsia" w:eastAsiaTheme="minorEastAsia"/>
          <w:lang w:val="en-GB"/>
        </w:rPr>
      </w:pPr>
      <w:r>
        <w:rPr>
          <w:rFonts w:hint="eastAsia" w:asciiTheme="minorEastAsia" w:hAnsiTheme="minorEastAsia" w:eastAsiaTheme="minorEastAsia"/>
          <w:lang w:val="en-GB"/>
        </w:rPr>
        <w:t>钢结构施工时是否采用免支撑的楼屋面板：</w:t>
      </w:r>
      <w:r>
        <w:rPr>
          <w:rFonts w:hint="eastAsia" w:asciiTheme="minorEastAsia" w:hAnsiTheme="minorEastAsia" w:eastAsiaTheme="minorEastAsia"/>
        </w:rPr>
        <w:t>□是；□否。</w:t>
      </w:r>
    </w:p>
    <w:p>
      <w:pPr>
        <w:pStyle w:val="87"/>
        <w:rPr>
          <w:rFonts w:asciiTheme="minorEastAsia" w:hAnsiTheme="minorEastAsia" w:eastAsiaTheme="minorEastAsia"/>
          <w:u w:val="single"/>
          <w:lang w:val="en-GB"/>
        </w:rPr>
      </w:pPr>
      <w:r>
        <w:rPr>
          <w:rFonts w:hint="eastAsia" w:asciiTheme="minorEastAsia" w:hAnsiTheme="minorEastAsia" w:eastAsiaTheme="minorEastAsia"/>
          <w:lang w:val="en-GB"/>
        </w:rPr>
        <w:t xml:space="preserve">采用可再利用材料和可再循环材料：      </w:t>
      </w:r>
      <w:r>
        <w:rPr>
          <w:rFonts w:hint="eastAsia" w:asciiTheme="minorEastAsia" w:hAnsiTheme="minorEastAsia" w:eastAsiaTheme="minorEastAsia"/>
        </w:rPr>
        <w:t>□是；□否</w:t>
      </w:r>
      <w:r>
        <w:rPr>
          <w:rFonts w:hint="eastAsia" w:asciiTheme="minorEastAsia" w:hAnsiTheme="minorEastAsia" w:eastAsiaTheme="minorEastAsia"/>
          <w:lang w:val="en-GB"/>
        </w:rPr>
        <w:t xml:space="preserve">；若采用，其用量比例为： </w:t>
      </w:r>
      <w:r>
        <w:rPr>
          <w:rFonts w:hint="eastAsia" w:asciiTheme="minorEastAsia" w:hAnsiTheme="minorEastAsia" w:eastAsiaTheme="minorEastAsia"/>
          <w:u w:val="single"/>
          <w:lang w:val="en-GB"/>
        </w:rPr>
        <w:t xml:space="preserve">             </w:t>
      </w:r>
    </w:p>
    <w:p>
      <w:pPr>
        <w:pStyle w:val="87"/>
        <w:rPr>
          <w:rFonts w:asciiTheme="minorEastAsia" w:hAnsiTheme="minorEastAsia" w:eastAsiaTheme="minorEastAsia"/>
          <w:lang w:val="en-GB"/>
        </w:rPr>
      </w:pPr>
      <w:r>
        <w:rPr>
          <w:rFonts w:hint="eastAsia" w:asciiTheme="minorEastAsia" w:hAnsiTheme="minorEastAsia" w:eastAsiaTheme="minorEastAsia"/>
          <w:lang w:val="en-GB"/>
        </w:rPr>
        <w:t>采用以各种废弃物为原料生产的建筑材料：</w:t>
      </w:r>
      <w:r>
        <w:rPr>
          <w:rFonts w:hint="eastAsia" w:asciiTheme="minorEastAsia" w:hAnsiTheme="minorEastAsia" w:eastAsiaTheme="minorEastAsia"/>
        </w:rPr>
        <w:t>□是；□否</w:t>
      </w:r>
      <w:r>
        <w:rPr>
          <w:rFonts w:hint="eastAsia" w:asciiTheme="minorEastAsia" w:hAnsiTheme="minorEastAsia" w:eastAsiaTheme="minorEastAsia"/>
          <w:lang w:val="en-GB"/>
        </w:rPr>
        <w:t>；若采用，则明确：</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采用了</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种利废材料，用量比例分别为</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w:t>
      </w:r>
      <w:r>
        <w:rPr>
          <w:rFonts w:hint="eastAsia" w:asciiTheme="minorEastAsia" w:hAnsiTheme="minorEastAsia" w:eastAsiaTheme="minorEastAsia"/>
          <w:u w:val="single"/>
          <w:lang w:val="en-GB"/>
        </w:rPr>
        <w:t xml:space="preserve">       </w:t>
      </w:r>
    </w:p>
    <w:p>
      <w:pPr>
        <w:pStyle w:val="87"/>
        <w:rPr>
          <w:rFonts w:asciiTheme="minorEastAsia" w:hAnsiTheme="minorEastAsia" w:eastAsiaTheme="minorEastAsia"/>
          <w:lang w:val="en-GB"/>
        </w:rPr>
      </w:pPr>
      <w:r>
        <w:rPr>
          <w:rFonts w:hint="eastAsia" w:asciiTheme="minorEastAsia" w:hAnsiTheme="minorEastAsia" w:eastAsiaTheme="minorEastAsia"/>
          <w:lang w:val="en-GB"/>
        </w:rPr>
        <w:t>采用绿色建材：</w:t>
      </w:r>
      <w:r>
        <w:rPr>
          <w:rFonts w:hint="eastAsia" w:asciiTheme="minorEastAsia" w:hAnsiTheme="minorEastAsia" w:eastAsiaTheme="minorEastAsia"/>
        </w:rPr>
        <w:t>□是；□否</w:t>
      </w:r>
      <w:r>
        <w:rPr>
          <w:rFonts w:hint="eastAsia" w:asciiTheme="minorEastAsia" w:hAnsiTheme="minorEastAsia" w:eastAsiaTheme="minorEastAsia"/>
          <w:lang w:val="en-GB"/>
        </w:rPr>
        <w:t>；若采用，则明确：</w:t>
      </w:r>
    </w:p>
    <w:p>
      <w:pPr>
        <w:pStyle w:val="88"/>
        <w:numPr>
          <w:ilvl w:val="1"/>
          <w:numId w:val="41"/>
        </w:numPr>
        <w:rPr>
          <w:rFonts w:asciiTheme="minorEastAsia" w:hAnsiTheme="minorEastAsia" w:eastAsiaTheme="minorEastAsia"/>
          <w:u w:val="single"/>
          <w:lang w:val="en-GB"/>
        </w:rPr>
      </w:pPr>
      <w:r>
        <w:rPr>
          <w:rFonts w:hint="eastAsia" w:asciiTheme="minorEastAsia" w:hAnsiTheme="minorEastAsia" w:eastAsiaTheme="minorEastAsia"/>
          <w:lang w:val="en-GB"/>
        </w:rPr>
        <w:t>主体结构应用比例为：</w:t>
      </w:r>
      <w:r>
        <w:rPr>
          <w:rFonts w:asciiTheme="minorEastAsia" w:hAnsiTheme="minorEastAsia" w:eastAsiaTheme="minorEastAsia"/>
          <w:lang w:val="en-GB"/>
        </w:rPr>
        <w:softHyphen/>
      </w:r>
      <w:r>
        <w:rPr>
          <w:rFonts w:hint="eastAsia" w:asciiTheme="minorEastAsia" w:hAnsiTheme="minorEastAsia" w:eastAsiaTheme="minorEastAsia"/>
          <w:lang w:val="en-GB"/>
        </w:rPr>
        <w:softHyphen/>
      </w:r>
      <w:r>
        <w:rPr>
          <w:rFonts w:hint="eastAsia" w:asciiTheme="minorEastAsia" w:hAnsiTheme="minorEastAsia" w:eastAsiaTheme="minorEastAsia"/>
          <w:u w:val="single"/>
          <w:lang w:val="en-GB"/>
        </w:rPr>
        <w:t xml:space="preserve">             </w:t>
      </w:r>
    </w:p>
    <w:p>
      <w:pPr>
        <w:pStyle w:val="88"/>
        <w:rPr>
          <w:rFonts w:asciiTheme="minorEastAsia" w:hAnsiTheme="minorEastAsia" w:eastAsiaTheme="minorEastAsia"/>
          <w:lang w:val="en-GB"/>
        </w:rPr>
      </w:pPr>
      <w:r>
        <w:rPr>
          <w:rFonts w:hint="eastAsia" w:asciiTheme="minorEastAsia" w:hAnsiTheme="minorEastAsia" w:eastAsiaTheme="minorEastAsia"/>
          <w:lang w:val="en-GB"/>
        </w:rPr>
        <w:t xml:space="preserve">围护墙和内隔墙应用比例为： </w:t>
      </w:r>
      <w:r>
        <w:rPr>
          <w:rFonts w:asciiTheme="minorEastAsia" w:hAnsiTheme="minorEastAsia" w:eastAsiaTheme="minorEastAsia"/>
          <w:lang w:val="en-GB"/>
        </w:rPr>
        <w:softHyphen/>
      </w:r>
      <w:r>
        <w:rPr>
          <w:rFonts w:hint="eastAsia" w:asciiTheme="minorEastAsia" w:hAnsiTheme="minorEastAsia" w:eastAsiaTheme="minorEastAsia"/>
          <w:lang w:val="en-GB"/>
        </w:rPr>
        <w:softHyphen/>
      </w:r>
      <w:r>
        <w:rPr>
          <w:rFonts w:hint="eastAsia" w:asciiTheme="minorEastAsia" w:hAnsiTheme="minorEastAsia" w:eastAsiaTheme="minorEastAsia"/>
          <w:u w:val="single"/>
          <w:lang w:val="en-GB"/>
        </w:rPr>
        <w:t xml:space="preserve">             </w:t>
      </w:r>
    </w:p>
    <w:p>
      <w:pPr>
        <w:pStyle w:val="87"/>
        <w:rPr>
          <w:rFonts w:asciiTheme="minorEastAsia" w:hAnsiTheme="minorEastAsia" w:eastAsiaTheme="minorEastAsia"/>
          <w:lang w:val="en-GB"/>
        </w:rPr>
      </w:pPr>
      <w:r>
        <w:rPr>
          <w:rFonts w:hint="eastAsia" w:asciiTheme="minorEastAsia" w:hAnsiTheme="minorEastAsia" w:eastAsiaTheme="minorEastAsia"/>
        </w:rPr>
        <w:t>采用符合工业化建造要求的结构体系与建筑构件：□是；□否</w:t>
      </w:r>
      <w:r>
        <w:rPr>
          <w:rFonts w:hint="eastAsia" w:asciiTheme="minorEastAsia" w:hAnsiTheme="minorEastAsia" w:eastAsiaTheme="minorEastAsia"/>
          <w:lang w:val="en-GB"/>
        </w:rPr>
        <w:t>；若采用，则明确：</w:t>
      </w:r>
    </w:p>
    <w:p>
      <w:pPr>
        <w:pStyle w:val="88"/>
        <w:numPr>
          <w:ilvl w:val="1"/>
          <w:numId w:val="42"/>
        </w:numPr>
        <w:rPr>
          <w:rFonts w:asciiTheme="minorEastAsia" w:hAnsiTheme="minorEastAsia" w:eastAsiaTheme="minorEastAsia"/>
          <w:lang w:val="en-GB"/>
        </w:rPr>
      </w:pPr>
      <w:r>
        <w:rPr>
          <w:rFonts w:hint="eastAsia" w:asciiTheme="minorEastAsia" w:hAnsiTheme="minorEastAsia" w:eastAsiaTheme="minorEastAsia"/>
          <w:lang w:val="en-GB"/>
        </w:rPr>
        <w:t xml:space="preserve">主体结构采用钢结构、木结构：  </w:t>
      </w:r>
      <w:r>
        <w:rPr>
          <w:rFonts w:hint="eastAsia" w:asciiTheme="minorEastAsia" w:hAnsiTheme="minorEastAsia" w:eastAsiaTheme="minorEastAsia"/>
        </w:rPr>
        <w:t>□是；□否。</w:t>
      </w:r>
    </w:p>
    <w:p>
      <w:pPr>
        <w:pStyle w:val="88"/>
        <w:rPr>
          <w:rFonts w:asciiTheme="minorEastAsia" w:hAnsiTheme="minorEastAsia" w:eastAsiaTheme="minorEastAsia"/>
          <w:lang w:val="en-GB"/>
        </w:rPr>
      </w:pPr>
      <w:r>
        <w:rPr>
          <w:rFonts w:hint="eastAsia" w:asciiTheme="minorEastAsia" w:hAnsiTheme="minorEastAsia" w:eastAsiaTheme="minorEastAsia"/>
          <w:lang w:val="en-GB"/>
        </w:rPr>
        <w:t>主体结构采用装配式混凝土结构：</w:t>
      </w:r>
      <w:r>
        <w:rPr>
          <w:rFonts w:hint="eastAsia" w:asciiTheme="minorEastAsia" w:hAnsiTheme="minorEastAsia" w:eastAsiaTheme="minorEastAsia"/>
        </w:rPr>
        <w:t>□是；□否。</w:t>
      </w:r>
    </w:p>
    <w:p>
      <w:pPr>
        <w:pStyle w:val="88"/>
        <w:numPr>
          <w:ilvl w:val="0"/>
          <w:numId w:val="0"/>
        </w:numPr>
        <w:ind w:left="992"/>
        <w:rPr>
          <w:rFonts w:asciiTheme="minorEastAsia" w:hAnsiTheme="minorEastAsia" w:eastAsiaTheme="minorEastAsia"/>
          <w:lang w:val="en-GB"/>
        </w:rPr>
      </w:pPr>
      <w:r>
        <w:rPr>
          <w:rFonts w:hint="eastAsia" w:asciiTheme="minorEastAsia" w:hAnsiTheme="minorEastAsia" w:eastAsiaTheme="minorEastAsia"/>
          <w:lang w:val="en-GB"/>
        </w:rPr>
        <w:t>预制构件类型为：□柱 □承重墙  □延性墙板  □梁  □楼板  □楼梯  □空调板  □阳台  □其它</w:t>
      </w:r>
    </w:p>
    <w:p>
      <w:pPr>
        <w:pStyle w:val="88"/>
        <w:numPr>
          <w:ilvl w:val="0"/>
          <w:numId w:val="0"/>
        </w:numPr>
        <w:ind w:left="992"/>
        <w:rPr>
          <w:rFonts w:asciiTheme="minorEastAsia" w:hAnsiTheme="minorEastAsia" w:eastAsiaTheme="minorEastAsia"/>
          <w:lang w:val="en-GB"/>
        </w:rPr>
      </w:pPr>
      <w:r>
        <w:rPr>
          <w:rFonts w:asciiTheme="minorEastAsia" w:hAnsiTheme="minorEastAsia" w:eastAsiaTheme="minorEastAsia"/>
          <w:lang w:val="en-GB"/>
        </w:rPr>
        <w:t>主体结构指标实际评价分值为</w:t>
      </w:r>
      <w:r>
        <w:rPr>
          <w:rFonts w:hint="eastAsia" w:asciiTheme="minorEastAsia" w:hAnsiTheme="minorEastAsia" w:eastAsiaTheme="minorEastAsia"/>
          <w:lang w:val="en-GB"/>
        </w:rPr>
        <w:t>：</w:t>
      </w:r>
      <w:r>
        <w:rPr>
          <w:rFonts w:hint="eastAsia" w:asciiTheme="minorEastAsia" w:hAnsiTheme="minorEastAsia" w:eastAsiaTheme="minorEastAsia"/>
          <w:u w:val="single"/>
          <w:lang w:val="en-GB"/>
        </w:rPr>
        <w:t xml:space="preserve">             </w:t>
      </w:r>
    </w:p>
    <w:p>
      <w:pPr>
        <w:pStyle w:val="87"/>
        <w:rPr>
          <w:rFonts w:asciiTheme="minorEastAsia" w:hAnsiTheme="minorEastAsia" w:eastAsiaTheme="minorEastAsia"/>
          <w:lang w:val="en-GB"/>
        </w:rPr>
      </w:pPr>
      <w:r>
        <w:rPr>
          <w:rFonts w:hint="eastAsia" w:asciiTheme="minorEastAsia" w:hAnsiTheme="minorEastAsia" w:eastAsiaTheme="minorEastAsia"/>
          <w:lang w:val="en-GB"/>
        </w:rPr>
        <w:t>采取了与主体结构设计使用年限和使用环境相适应的结构耐久性设计措施：</w:t>
      </w:r>
      <w:r>
        <w:rPr>
          <w:rFonts w:asciiTheme="minorEastAsia" w:hAnsiTheme="minorEastAsia" w:eastAsiaTheme="minorEastAsia"/>
          <w:lang w:val="en-GB"/>
        </w:rPr>
        <w:t xml:space="preserve">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其它需要说明的内容：</w:t>
      </w:r>
    </w:p>
    <w:p>
      <w:pPr>
        <w:widowControl/>
        <w:spacing w:line="360" w:lineRule="auto"/>
        <w:ind w:firstLine="482"/>
        <w:jc w:val="left"/>
        <w:outlineLvl w:val="0"/>
        <w:rPr>
          <w:rFonts w:asciiTheme="minorEastAsia" w:hAnsiTheme="minorEastAsia" w:eastAsiaTheme="minorEastAsia"/>
          <w:b/>
          <w:bCs/>
          <w:kern w:val="0"/>
          <w:sz w:val="24"/>
        </w:rPr>
        <w:sectPr>
          <w:headerReference r:id="rId13" w:type="default"/>
          <w:pgSz w:w="23814" w:h="16840" w:orient="landscape"/>
          <w:pgMar w:top="1134" w:right="1134" w:bottom="1134" w:left="1134" w:header="851" w:footer="992" w:gutter="0"/>
          <w:cols w:space="630" w:num="2"/>
          <w:docGrid w:type="lines" w:linePitch="312" w:charSpace="0"/>
        </w:sectPr>
      </w:pPr>
    </w:p>
    <w:p>
      <w:pPr>
        <w:pStyle w:val="63"/>
        <w:ind w:firstLine="0"/>
        <w:rPr>
          <w:rFonts w:asciiTheme="minorEastAsia" w:hAnsiTheme="minorEastAsia" w:eastAsiaTheme="minorEastAsia"/>
          <w:b/>
        </w:rPr>
      </w:pPr>
      <w:bookmarkStart w:id="10" w:name="_Toc109325927"/>
      <w:bookmarkStart w:id="11" w:name="_Toc109325291"/>
      <w:r>
        <w:rPr>
          <w:rFonts w:hint="eastAsia" w:asciiTheme="minorEastAsia" w:hAnsiTheme="minorEastAsia" w:eastAsiaTheme="minorEastAsia"/>
          <w:b/>
        </w:rPr>
        <w:t>一、给排水主要</w:t>
      </w:r>
      <w:r>
        <w:rPr>
          <w:rFonts w:asciiTheme="minorEastAsia" w:hAnsiTheme="minorEastAsia" w:eastAsiaTheme="minorEastAsia"/>
          <w:b/>
        </w:rPr>
        <w:t>设计依据</w:t>
      </w:r>
      <w:bookmarkEnd w:id="10"/>
      <w:bookmarkEnd w:id="11"/>
      <w:r>
        <w:rPr>
          <w:rFonts w:hint="eastAsia" w:asciiTheme="minorEastAsia" w:hAnsiTheme="minorEastAsia" w:eastAsiaTheme="minorEastAsia"/>
          <w:b/>
        </w:rPr>
        <w:t xml:space="preserve"> </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《浙江省绿色建筑条例》；</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p>
    <w:p>
      <w:pPr>
        <w:widowControl/>
        <w:numPr>
          <w:ilvl w:val="0"/>
          <w:numId w:val="43"/>
        </w:numPr>
        <w:spacing w:line="40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《公共建筑节能设计标准》GB 50189-</w:t>
      </w:r>
      <w:r>
        <w:rPr>
          <w:rFonts w:hint="eastAsia" w:asciiTheme="minorEastAsia" w:hAnsiTheme="minorEastAsia" w:eastAsiaTheme="minorEastAsia"/>
          <w:szCs w:val="21"/>
        </w:rPr>
        <w:t>2</w:t>
      </w:r>
      <w:r>
        <w:rPr>
          <w:rFonts w:asciiTheme="minorEastAsia" w:hAnsiTheme="minorEastAsia" w:eastAsiaTheme="minorEastAsia"/>
          <w:szCs w:val="21"/>
        </w:rPr>
        <w:t>015</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建筑给水排水与节水通用规范</w:t>
      </w:r>
      <w:r>
        <w:rPr>
          <w:rFonts w:asciiTheme="minorEastAsia" w:hAnsiTheme="minorEastAsia" w:eastAsiaTheme="minorEastAsia"/>
          <w:szCs w:val="21"/>
        </w:rPr>
        <w:t>》</w:t>
      </w:r>
      <w:r>
        <w:rPr>
          <w:rFonts w:hint="eastAsia" w:asciiTheme="minorEastAsia" w:hAnsiTheme="minorEastAsia" w:eastAsiaTheme="minorEastAsia"/>
          <w:szCs w:val="21"/>
        </w:rPr>
        <w:t>GB 55020-2021；</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《建筑节能与可再生能源利用通用规范》GB55015-2021；</w:t>
      </w:r>
    </w:p>
    <w:p>
      <w:pPr>
        <w:widowControl/>
        <w:numPr>
          <w:ilvl w:val="0"/>
          <w:numId w:val="43"/>
        </w:numPr>
        <w:spacing w:line="40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建筑给水排水设计标准</w:t>
      </w:r>
      <w:r>
        <w:rPr>
          <w:rFonts w:asciiTheme="minorEastAsia" w:hAnsiTheme="minorEastAsia" w:eastAsiaTheme="minorEastAsia"/>
          <w:szCs w:val="21"/>
        </w:rPr>
        <w:t>》GB 50</w:t>
      </w:r>
      <w:r>
        <w:rPr>
          <w:rFonts w:hint="eastAsia" w:asciiTheme="minorEastAsia" w:hAnsiTheme="minorEastAsia" w:eastAsiaTheme="minorEastAsia"/>
          <w:szCs w:val="21"/>
        </w:rPr>
        <w:t>015</w:t>
      </w:r>
      <w:r>
        <w:rPr>
          <w:rFonts w:asciiTheme="minorEastAsia" w:hAnsiTheme="minorEastAsia" w:eastAsiaTheme="minorEastAsia"/>
          <w:szCs w:val="21"/>
        </w:rPr>
        <w:t>-</w:t>
      </w:r>
      <w:r>
        <w:rPr>
          <w:rFonts w:hint="eastAsia" w:asciiTheme="minorEastAsia" w:hAnsiTheme="minorEastAsia" w:eastAsiaTheme="minorEastAsia"/>
          <w:szCs w:val="21"/>
        </w:rPr>
        <w:t>2</w:t>
      </w:r>
      <w:r>
        <w:rPr>
          <w:rFonts w:asciiTheme="minorEastAsia" w:hAnsiTheme="minorEastAsia" w:eastAsiaTheme="minorEastAsia"/>
          <w:szCs w:val="21"/>
        </w:rPr>
        <w:t>019</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《民用建筑节水设计标准》GB</w:t>
      </w:r>
      <w:r>
        <w:rPr>
          <w:rFonts w:asciiTheme="minorEastAsia" w:hAnsiTheme="minorEastAsia" w:eastAsiaTheme="minorEastAsia"/>
          <w:szCs w:val="21"/>
        </w:rPr>
        <w:t xml:space="preserve"> </w:t>
      </w:r>
      <w:r>
        <w:rPr>
          <w:rFonts w:hint="eastAsia" w:asciiTheme="minorEastAsia" w:hAnsiTheme="minorEastAsia" w:eastAsiaTheme="minorEastAsia"/>
          <w:szCs w:val="21"/>
        </w:rPr>
        <w:t>50555-2</w:t>
      </w:r>
      <w:r>
        <w:rPr>
          <w:rFonts w:asciiTheme="minorEastAsia" w:hAnsiTheme="minorEastAsia" w:eastAsiaTheme="minorEastAsia"/>
          <w:szCs w:val="21"/>
        </w:rPr>
        <w:t>010</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《建筑与小区雨水控制及利用工程技术规范》GB</w:t>
      </w:r>
      <w:r>
        <w:rPr>
          <w:rFonts w:asciiTheme="minorEastAsia" w:hAnsiTheme="minorEastAsia" w:eastAsiaTheme="minorEastAsia"/>
          <w:szCs w:val="21"/>
        </w:rPr>
        <w:t xml:space="preserve"> </w:t>
      </w:r>
      <w:r>
        <w:rPr>
          <w:rFonts w:hint="eastAsia" w:asciiTheme="minorEastAsia" w:hAnsiTheme="minorEastAsia" w:eastAsiaTheme="minorEastAsia"/>
          <w:szCs w:val="21"/>
        </w:rPr>
        <w:t>50400</w:t>
      </w:r>
      <w:r>
        <w:rPr>
          <w:rFonts w:asciiTheme="minorEastAsia" w:hAnsiTheme="minorEastAsia" w:eastAsiaTheme="minorEastAsia"/>
          <w:szCs w:val="21"/>
        </w:rPr>
        <w:t>-2016</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《绿色建筑评价标准》GB/T</w:t>
      </w:r>
      <w:r>
        <w:rPr>
          <w:rFonts w:asciiTheme="minorEastAsia" w:hAnsiTheme="minorEastAsia" w:eastAsiaTheme="minorEastAsia"/>
          <w:szCs w:val="21"/>
        </w:rPr>
        <w:t xml:space="preserve"> </w:t>
      </w:r>
      <w:r>
        <w:rPr>
          <w:rFonts w:hint="eastAsia" w:asciiTheme="minorEastAsia" w:hAnsiTheme="minorEastAsia" w:eastAsiaTheme="minorEastAsia"/>
          <w:szCs w:val="21"/>
        </w:rPr>
        <w:t>50378-2</w:t>
      </w:r>
      <w:r>
        <w:rPr>
          <w:rFonts w:asciiTheme="minorEastAsia" w:hAnsiTheme="minorEastAsia" w:eastAsiaTheme="minorEastAsia"/>
          <w:szCs w:val="21"/>
        </w:rPr>
        <w:t>019</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浙江省《绿色建筑设计标准》DB</w:t>
      </w:r>
      <w:r>
        <w:rPr>
          <w:rFonts w:asciiTheme="minorEastAsia" w:hAnsiTheme="minorEastAsia" w:eastAsiaTheme="minorEastAsia"/>
          <w:szCs w:val="21"/>
        </w:rPr>
        <w:t xml:space="preserve"> </w:t>
      </w:r>
      <w:r>
        <w:rPr>
          <w:rFonts w:hint="eastAsia" w:asciiTheme="minorEastAsia" w:hAnsiTheme="minorEastAsia" w:eastAsiaTheme="minorEastAsia"/>
          <w:szCs w:val="21"/>
        </w:rPr>
        <w:t>33/1092-</w:t>
      </w:r>
      <w:r>
        <w:rPr>
          <w:rFonts w:asciiTheme="minorEastAsia" w:hAnsiTheme="minorEastAsia" w:eastAsiaTheme="minorEastAsia"/>
          <w:szCs w:val="21"/>
        </w:rPr>
        <w:t>20</w:t>
      </w:r>
      <w:r>
        <w:rPr>
          <w:rFonts w:hint="eastAsia" w:asciiTheme="minorEastAsia" w:hAnsiTheme="minorEastAsia" w:eastAsiaTheme="minorEastAsia"/>
          <w:szCs w:val="21"/>
        </w:rPr>
        <w:t>21；</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《公共建筑节能设计标准》DB33_1036-2021；</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浙江省《民用建筑可再生能源应用核算标准》DB</w:t>
      </w:r>
      <w:r>
        <w:rPr>
          <w:rFonts w:asciiTheme="minorEastAsia" w:hAnsiTheme="minorEastAsia" w:eastAsiaTheme="minorEastAsia"/>
          <w:szCs w:val="21"/>
        </w:rPr>
        <w:t xml:space="preserve"> </w:t>
      </w:r>
      <w:r>
        <w:rPr>
          <w:rFonts w:hint="eastAsia" w:asciiTheme="minorEastAsia" w:hAnsiTheme="minorEastAsia" w:eastAsiaTheme="minorEastAsia"/>
          <w:szCs w:val="21"/>
        </w:rPr>
        <w:t>33/1105-202</w:t>
      </w:r>
      <w:r>
        <w:rPr>
          <w:rFonts w:asciiTheme="minorEastAsia" w:hAnsiTheme="minorEastAsia" w:eastAsiaTheme="minorEastAsia"/>
          <w:szCs w:val="21"/>
        </w:rPr>
        <w:t>2</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《民用建筑雨水控制与利用设计规程》</w:t>
      </w:r>
      <w:r>
        <w:rPr>
          <w:rFonts w:asciiTheme="minorEastAsia" w:hAnsiTheme="minorEastAsia" w:eastAsiaTheme="minorEastAsia"/>
          <w:szCs w:val="21"/>
        </w:rPr>
        <w:t>DB 33/</w:t>
      </w:r>
      <w:r>
        <w:rPr>
          <w:rFonts w:hint="eastAsia" w:asciiTheme="minorEastAsia" w:hAnsiTheme="minorEastAsia" w:eastAsiaTheme="minorEastAsia"/>
          <w:szCs w:val="21"/>
        </w:rPr>
        <w:t>T</w:t>
      </w:r>
      <w:r>
        <w:rPr>
          <w:rFonts w:asciiTheme="minorEastAsia" w:hAnsiTheme="minorEastAsia" w:eastAsiaTheme="minorEastAsia"/>
          <w:szCs w:val="21"/>
        </w:rPr>
        <w:t>1167-2019</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《全国民用建筑工程设计技术措施</w:t>
      </w:r>
      <w:r>
        <w:rPr>
          <w:rFonts w:asciiTheme="minorEastAsia" w:hAnsiTheme="minorEastAsia" w:eastAsiaTheme="minorEastAsia"/>
          <w:szCs w:val="21"/>
        </w:rPr>
        <w:t>—</w:t>
      </w:r>
      <w:r>
        <w:rPr>
          <w:rFonts w:hint="eastAsia" w:asciiTheme="minorEastAsia" w:hAnsiTheme="minorEastAsia" w:eastAsiaTheme="minorEastAsia"/>
          <w:szCs w:val="21"/>
        </w:rPr>
        <w:t>节能专篇（给水排水）》(</w:t>
      </w:r>
      <w:r>
        <w:rPr>
          <w:rFonts w:asciiTheme="minorEastAsia" w:hAnsiTheme="minorEastAsia" w:eastAsiaTheme="minorEastAsia"/>
          <w:szCs w:val="21"/>
        </w:rPr>
        <w:t>2007</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《节水型生活用水器具》 CJ</w:t>
      </w:r>
      <w:r>
        <w:rPr>
          <w:rFonts w:hint="eastAsia" w:asciiTheme="minorEastAsia" w:hAnsiTheme="minorEastAsia" w:eastAsiaTheme="minorEastAsia"/>
          <w:szCs w:val="21"/>
        </w:rPr>
        <w:t>/T</w:t>
      </w:r>
      <w:r>
        <w:rPr>
          <w:rFonts w:asciiTheme="minorEastAsia" w:hAnsiTheme="minorEastAsia" w:eastAsiaTheme="minorEastAsia"/>
          <w:szCs w:val="21"/>
        </w:rPr>
        <w:t xml:space="preserve"> 164-2014</w:t>
      </w:r>
      <w:r>
        <w:rPr>
          <w:rFonts w:hint="eastAsia" w:asciiTheme="minorEastAsia" w:hAnsiTheme="minorEastAsia" w:eastAsiaTheme="minorEastAsia"/>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《清水离心泵能效限定值及节能评价值》GB 19762-2007；</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《浙江省建设领域推广应用技术公告》和《浙江省建设领域禁止和限制使用技术公告》 （浙建发</w:t>
      </w:r>
      <w:r>
        <w:rPr>
          <w:rFonts w:hint="eastAsia" w:cs="宋体" w:asciiTheme="minorEastAsia" w:hAnsiTheme="minorEastAsia" w:eastAsiaTheme="minorEastAsia"/>
          <w:kern w:val="0"/>
          <w:szCs w:val="21"/>
        </w:rPr>
        <w:t>〔2014〕</w:t>
      </w:r>
      <w:r>
        <w:rPr>
          <w:rFonts w:hint="eastAsia" w:asciiTheme="minorEastAsia" w:hAnsiTheme="minorEastAsia" w:eastAsiaTheme="minorEastAsia"/>
          <w:szCs w:val="21"/>
        </w:rPr>
        <w:t>284号）；</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项目环境影响评价报告</w:t>
      </w:r>
      <w:r>
        <w:rPr>
          <w:rFonts w:hint="eastAsia" w:cs="宋体" w:asciiTheme="minorEastAsia" w:hAnsiTheme="minorEastAsia" w:eastAsiaTheme="minorEastAsia"/>
          <w:kern w:val="0"/>
          <w:szCs w:val="21"/>
        </w:rPr>
        <w:t>：</w:t>
      </w:r>
      <w:r>
        <w:rPr>
          <w:rFonts w:hint="eastAsia" w:hAnsi="宋体" w:cs="宋体"/>
          <w:kern w:val="0"/>
          <w:szCs w:val="21"/>
        </w:rPr>
        <w:t>_</w:t>
      </w:r>
      <w:r>
        <w:rPr>
          <w:rFonts w:hAnsi="宋体" w:cs="宋体"/>
          <w:kern w:val="0"/>
          <w:szCs w:val="21"/>
        </w:rPr>
        <w:t>_________________</w:t>
      </w:r>
      <w:r>
        <w:rPr>
          <w:rFonts w:hint="eastAsia" w:cs="宋体" w:asciiTheme="minorEastAsia" w:hAnsiTheme="minorEastAsia" w:eastAsiaTheme="minorEastAsia"/>
          <w:kern w:val="0"/>
          <w:szCs w:val="21"/>
        </w:rPr>
        <w:t>；</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widowControl/>
        <w:numPr>
          <w:ilvl w:val="0"/>
          <w:numId w:val="43"/>
        </w:numPr>
        <w:spacing w:line="4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建设单位提供的文件资料要求；</w:t>
      </w:r>
    </w:p>
    <w:p>
      <w:pPr>
        <w:widowControl/>
        <w:numPr>
          <w:ilvl w:val="0"/>
          <w:numId w:val="43"/>
        </w:numPr>
        <w:spacing w:line="400" w:lineRule="exact"/>
        <w:ind w:firstLine="420" w:firstLineChars="200"/>
        <w:rPr>
          <w:rFonts w:asciiTheme="minorEastAsia" w:hAnsiTheme="minorEastAsia" w:eastAsiaTheme="minorEastAsia"/>
          <w:szCs w:val="21"/>
        </w:rPr>
      </w:pPr>
      <w:r>
        <w:rPr>
          <w:rFonts w:asciiTheme="minorEastAsia" w:hAnsiTheme="minorEastAsia" w:eastAsiaTheme="minorEastAsia"/>
          <w:szCs w:val="21"/>
        </w:rPr>
        <w:t>现行国家、</w:t>
      </w:r>
      <w:r>
        <w:rPr>
          <w:rFonts w:hint="eastAsia" w:asciiTheme="minorEastAsia" w:hAnsiTheme="minorEastAsia" w:eastAsiaTheme="minorEastAsia"/>
          <w:szCs w:val="21"/>
        </w:rPr>
        <w:t>行业、地方</w:t>
      </w:r>
      <w:r>
        <w:rPr>
          <w:rFonts w:asciiTheme="minorEastAsia" w:hAnsiTheme="minorEastAsia" w:eastAsiaTheme="minorEastAsia"/>
          <w:szCs w:val="21"/>
        </w:rPr>
        <w:t>相关</w:t>
      </w:r>
      <w:r>
        <w:rPr>
          <w:rFonts w:hint="eastAsia" w:asciiTheme="minorEastAsia" w:hAnsiTheme="minorEastAsia" w:eastAsiaTheme="minorEastAsia"/>
          <w:szCs w:val="21"/>
        </w:rPr>
        <w:t>绿色建筑与</w:t>
      </w:r>
      <w:r>
        <w:rPr>
          <w:rFonts w:asciiTheme="minorEastAsia" w:hAnsiTheme="minorEastAsia" w:eastAsiaTheme="minorEastAsia"/>
          <w:szCs w:val="21"/>
        </w:rPr>
        <w:t>节能</w:t>
      </w:r>
      <w:r>
        <w:rPr>
          <w:rFonts w:hint="eastAsia" w:asciiTheme="minorEastAsia" w:hAnsiTheme="minorEastAsia" w:eastAsiaTheme="minorEastAsia"/>
          <w:szCs w:val="21"/>
        </w:rPr>
        <w:t>的</w:t>
      </w:r>
      <w:r>
        <w:rPr>
          <w:rFonts w:asciiTheme="minorEastAsia" w:hAnsiTheme="minorEastAsia" w:eastAsiaTheme="minorEastAsia"/>
          <w:szCs w:val="21"/>
        </w:rPr>
        <w:t>法律、法规</w:t>
      </w:r>
      <w:r>
        <w:rPr>
          <w:rFonts w:hint="eastAsia" w:asciiTheme="minorEastAsia" w:hAnsiTheme="minorEastAsia" w:eastAsiaTheme="minorEastAsia"/>
          <w:szCs w:val="21"/>
        </w:rPr>
        <w:t>和规范性文件。</w:t>
      </w:r>
    </w:p>
    <w:p>
      <w:pPr>
        <w:spacing w:line="360" w:lineRule="auto"/>
        <w:ind w:left="284" w:firstLine="420"/>
        <w:rPr>
          <w:rFonts w:asciiTheme="minorEastAsia" w:hAnsiTheme="minorEastAsia" w:eastAsiaTheme="minorEastAsia"/>
        </w:rPr>
      </w:pPr>
    </w:p>
    <w:p>
      <w:pPr>
        <w:pStyle w:val="63"/>
        <w:ind w:firstLine="0"/>
        <w:rPr>
          <w:rFonts w:asciiTheme="minorEastAsia" w:hAnsiTheme="minorEastAsia" w:eastAsiaTheme="minorEastAsia"/>
          <w:b/>
        </w:rPr>
      </w:pPr>
      <w:bookmarkStart w:id="12" w:name="_Toc109325292"/>
      <w:bookmarkStart w:id="13" w:name="_Toc109325928"/>
      <w:r>
        <w:rPr>
          <w:rFonts w:hint="eastAsia" w:asciiTheme="minorEastAsia" w:hAnsiTheme="minorEastAsia" w:eastAsiaTheme="minorEastAsia"/>
          <w:b/>
        </w:rPr>
        <w:t>二、给排水</w:t>
      </w:r>
      <w:r>
        <w:rPr>
          <w:rFonts w:asciiTheme="minorEastAsia" w:hAnsiTheme="minorEastAsia" w:eastAsiaTheme="minorEastAsia"/>
          <w:b/>
        </w:rPr>
        <w:t>设计技术措施</w:t>
      </w:r>
      <w:r>
        <w:rPr>
          <w:rFonts w:hint="eastAsia" w:asciiTheme="minorEastAsia" w:hAnsiTheme="minorEastAsia" w:eastAsiaTheme="minorEastAsia"/>
          <w:b/>
        </w:rPr>
        <w:t>:</w:t>
      </w:r>
      <w:bookmarkEnd w:id="12"/>
      <w:bookmarkEnd w:id="13"/>
    </w:p>
    <w:p>
      <w:pPr>
        <w:spacing w:line="360" w:lineRule="auto"/>
        <w:ind w:left="284" w:firstLine="482"/>
        <w:rPr>
          <w:rFonts w:asciiTheme="minorEastAsia" w:hAnsiTheme="minorEastAsia" w:eastAsiaTheme="minorEastAsia"/>
          <w:b/>
          <w:bCs/>
          <w:kern w:val="0"/>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 一星级；</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rPr>
        <w:t>给排水</w:t>
      </w:r>
      <w:r>
        <w:rPr>
          <w:rFonts w:hint="eastAsia" w:asciiTheme="minorEastAsia" w:hAnsiTheme="minorEastAsia" w:eastAsiaTheme="minorEastAsia"/>
          <w:b/>
          <w:sz w:val="24"/>
          <w:lang w:val="en-GB"/>
        </w:rPr>
        <w:t>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44"/>
        </w:numPr>
        <w:rPr>
          <w:rFonts w:asciiTheme="minorEastAsia" w:hAnsiTheme="minorEastAsia" w:eastAsiaTheme="minorEastAsia"/>
        </w:rPr>
      </w:pPr>
      <w:r>
        <w:rPr>
          <w:rFonts w:hint="eastAsia" w:asciiTheme="minorEastAsia" w:hAnsiTheme="minorEastAsia" w:eastAsiaTheme="minorEastAsia"/>
        </w:rPr>
        <w:t>本工程施工图落实方案及初步设计，按规范要求的内容制定水资源利用方案，统筹利用各种水资源。给水排水系统的设置符合下列规定：</w:t>
      </w:r>
    </w:p>
    <w:p>
      <w:pPr>
        <w:pStyle w:val="90"/>
        <w:ind w:left="851" w:hanging="420"/>
        <w:rPr>
          <w:rFonts w:asciiTheme="minorEastAsia" w:hAnsiTheme="minorEastAsia" w:eastAsiaTheme="minorEastAsia"/>
        </w:rPr>
      </w:pPr>
      <w:r>
        <w:rPr>
          <w:rFonts w:hint="eastAsia" w:asciiTheme="minorEastAsia" w:hAnsiTheme="minorEastAsia" w:eastAsiaTheme="minorEastAsia"/>
        </w:rPr>
        <w:t>1.1 生活饮用水水质满足现行国家标准《生活饮用水卫生标准》</w:t>
      </w:r>
      <w:r>
        <w:rPr>
          <w:rFonts w:asciiTheme="minorEastAsia" w:hAnsiTheme="minorEastAsia" w:eastAsiaTheme="minorEastAsia"/>
        </w:rPr>
        <w:t xml:space="preserve">GB 5749-2006 </w:t>
      </w:r>
      <w:r>
        <w:rPr>
          <w:rFonts w:hint="eastAsia" w:asciiTheme="minorEastAsia" w:hAnsiTheme="minorEastAsia" w:eastAsiaTheme="minorEastAsia"/>
        </w:rPr>
        <w:t>的要求；生活用水水池、水箱等储水设施设置消毒设施，应制定水池、水箱等储水设施定期清洗消毒计划，且生活饮用水储水设施每半年清洗消毒不应少于1次；</w:t>
      </w:r>
    </w:p>
    <w:p>
      <w:pPr>
        <w:pStyle w:val="90"/>
        <w:ind w:left="851" w:hanging="420"/>
        <w:rPr>
          <w:rFonts w:asciiTheme="minorEastAsia" w:hAnsiTheme="minorEastAsia" w:eastAsiaTheme="minorEastAsia"/>
        </w:rPr>
      </w:pPr>
      <w:r>
        <w:rPr>
          <w:rFonts w:hint="eastAsia" w:asciiTheme="minorEastAsia" w:hAnsiTheme="minorEastAsia" w:eastAsiaTheme="minorEastAsia"/>
        </w:rPr>
        <w:t>1.2 按使用用途、付费或管理单元，分别设置用水计量装置；</w:t>
      </w:r>
    </w:p>
    <w:p>
      <w:pPr>
        <w:pStyle w:val="90"/>
        <w:ind w:left="851" w:hanging="420"/>
        <w:rPr>
          <w:rFonts w:asciiTheme="minorEastAsia" w:hAnsiTheme="minorEastAsia" w:eastAsiaTheme="minorEastAsia"/>
        </w:rPr>
      </w:pPr>
      <w:r>
        <w:rPr>
          <w:rFonts w:asciiTheme="minorEastAsia" w:hAnsiTheme="minorEastAsia" w:eastAsiaTheme="minorEastAsia"/>
        </w:rPr>
        <w:t xml:space="preserve">1.3 </w:t>
      </w:r>
      <w:r>
        <w:rPr>
          <w:rFonts w:hint="eastAsia" w:asciiTheme="minorEastAsia" w:hAnsiTheme="minorEastAsia" w:eastAsiaTheme="minorEastAsia"/>
        </w:rPr>
        <w:t>给水系统充分利用室外给水管网压力直接供水，用水点处水压大于</w:t>
      </w:r>
      <w:r>
        <w:rPr>
          <w:rFonts w:asciiTheme="minorEastAsia" w:hAnsiTheme="minorEastAsia" w:eastAsiaTheme="minorEastAsia"/>
        </w:rPr>
        <w:t xml:space="preserve">0.2MPa </w:t>
      </w:r>
      <w:r>
        <w:rPr>
          <w:rFonts w:hint="eastAsia" w:asciiTheme="minorEastAsia" w:hAnsiTheme="minorEastAsia" w:eastAsiaTheme="minorEastAsia"/>
        </w:rPr>
        <w:t>的配水支管应设置减压设施，并满足给水配件最低工作压力的要求；</w:t>
      </w:r>
    </w:p>
    <w:p>
      <w:pPr>
        <w:pStyle w:val="90"/>
        <w:ind w:left="851" w:hanging="420"/>
        <w:rPr>
          <w:rFonts w:asciiTheme="minorEastAsia" w:hAnsiTheme="minorEastAsia" w:eastAsiaTheme="minorEastAsia"/>
        </w:rPr>
      </w:pPr>
      <w:r>
        <w:rPr>
          <w:rFonts w:asciiTheme="minorEastAsia" w:hAnsiTheme="minorEastAsia" w:eastAsiaTheme="minorEastAsia"/>
        </w:rPr>
        <w:t xml:space="preserve">1.4 </w:t>
      </w:r>
      <w:r>
        <w:rPr>
          <w:rFonts w:hint="eastAsia" w:asciiTheme="minorEastAsia" w:hAnsiTheme="minorEastAsia" w:eastAsiaTheme="minorEastAsia"/>
        </w:rPr>
        <w:t>用水器具和设备满足节水节能型产品的要求，公共场所的洗手盆水嘴采用非接触式或延时自闭式水嘴；</w:t>
      </w:r>
    </w:p>
    <w:p>
      <w:pPr>
        <w:pStyle w:val="90"/>
        <w:ind w:left="851" w:hanging="420"/>
        <w:rPr>
          <w:rFonts w:asciiTheme="minorEastAsia" w:hAnsiTheme="minorEastAsia" w:eastAsiaTheme="minorEastAsia"/>
        </w:rPr>
      </w:pPr>
      <w:r>
        <w:rPr>
          <w:rFonts w:asciiTheme="minorEastAsia" w:hAnsiTheme="minorEastAsia" w:eastAsiaTheme="minorEastAsia"/>
        </w:rPr>
        <w:t xml:space="preserve">1.5 </w:t>
      </w:r>
      <w:r>
        <w:rPr>
          <w:rFonts w:hint="eastAsia" w:asciiTheme="minorEastAsia" w:hAnsiTheme="minorEastAsia" w:eastAsiaTheme="minorEastAsia"/>
        </w:rPr>
        <w:t>使用构造内自带水封的便器，且其水封深度不应小于</w:t>
      </w:r>
      <w:r>
        <w:rPr>
          <w:rFonts w:asciiTheme="minorEastAsia" w:hAnsiTheme="minorEastAsia" w:eastAsiaTheme="minorEastAsia"/>
        </w:rPr>
        <w:t>50mm</w:t>
      </w:r>
      <w:r>
        <w:rPr>
          <w:rFonts w:hint="eastAsia" w:asciiTheme="minorEastAsia" w:hAnsiTheme="minorEastAsia" w:eastAsiaTheme="minorEastAsia"/>
        </w:rPr>
        <w:t>；</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6</w:t>
      </w:r>
      <w:r>
        <w:rPr>
          <w:rFonts w:asciiTheme="minorEastAsia" w:hAnsiTheme="minorEastAsia" w:eastAsiaTheme="minorEastAsia"/>
        </w:rPr>
        <w:t xml:space="preserve"> </w:t>
      </w:r>
      <w:r>
        <w:rPr>
          <w:rFonts w:hint="eastAsia" w:asciiTheme="minorEastAsia" w:hAnsiTheme="minorEastAsia" w:eastAsiaTheme="minorEastAsia"/>
        </w:rPr>
        <w:t>给水系统使用耐腐蚀、耐久性能好的管材、管件和阀门等；</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7</w:t>
      </w:r>
      <w:r>
        <w:rPr>
          <w:rFonts w:asciiTheme="minorEastAsia" w:hAnsiTheme="minorEastAsia" w:eastAsiaTheme="minorEastAsia"/>
        </w:rPr>
        <w:t xml:space="preserve"> </w:t>
      </w:r>
      <w:r>
        <w:rPr>
          <w:rFonts w:hint="eastAsia" w:asciiTheme="minorEastAsia" w:hAnsiTheme="minorEastAsia" w:eastAsiaTheme="minorEastAsia"/>
        </w:rPr>
        <w:t>给水水池（箱）设置水位控制和溢流报警装置；</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8</w:t>
      </w:r>
      <w:r>
        <w:rPr>
          <w:rFonts w:asciiTheme="minorEastAsia" w:hAnsiTheme="minorEastAsia" w:eastAsiaTheme="minorEastAsia"/>
        </w:rPr>
        <w:t xml:space="preserve"> </w:t>
      </w:r>
      <w:r>
        <w:rPr>
          <w:rFonts w:hint="eastAsia" w:asciiTheme="minorEastAsia" w:hAnsiTheme="minorEastAsia" w:eastAsiaTheme="minorEastAsia"/>
        </w:rPr>
        <w:t>集中空调冷却水、游泳池水、洗车场洗车用水循环使用；</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9</w:t>
      </w:r>
      <w:r>
        <w:rPr>
          <w:rFonts w:asciiTheme="minorEastAsia" w:hAnsiTheme="minorEastAsia" w:eastAsiaTheme="minorEastAsia"/>
        </w:rPr>
        <w:t xml:space="preserve"> </w:t>
      </w:r>
      <w:r>
        <w:rPr>
          <w:rFonts w:hint="eastAsia" w:asciiTheme="minorEastAsia" w:hAnsiTheme="minorEastAsia" w:eastAsiaTheme="minorEastAsia"/>
        </w:rPr>
        <w:t>绿化浇洒采用高效节水灌溉方式；</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10</w:t>
      </w:r>
      <w:r>
        <w:rPr>
          <w:rFonts w:asciiTheme="minorEastAsia" w:hAnsiTheme="minorEastAsia" w:eastAsiaTheme="minorEastAsia"/>
        </w:rPr>
        <w:t xml:space="preserve"> </w:t>
      </w:r>
      <w:r>
        <w:rPr>
          <w:rFonts w:hint="eastAsia" w:asciiTheme="minorEastAsia" w:hAnsiTheme="minorEastAsia" w:eastAsiaTheme="minorEastAsia"/>
        </w:rPr>
        <w:t>非亲水性的室外景观水体用水水源不采用市政自来水和地下室。</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11</w:t>
      </w:r>
      <w:r>
        <w:rPr>
          <w:rFonts w:asciiTheme="minorEastAsia" w:hAnsiTheme="minorEastAsia" w:eastAsiaTheme="minorEastAsia"/>
        </w:rPr>
        <w:t xml:space="preserve"> </w:t>
      </w:r>
      <w:r>
        <w:rPr>
          <w:rFonts w:hint="eastAsia" w:asciiTheme="minorEastAsia" w:hAnsiTheme="minorEastAsia" w:eastAsiaTheme="minorEastAsia"/>
        </w:rPr>
        <w:t>非传统水源利用设施与建筑物同时规划设计、同时施工、同时使用；非传统水源管道和设备设置明确、清晰的永久性标识。</w:t>
      </w:r>
    </w:p>
    <w:p>
      <w:pPr>
        <w:pStyle w:val="90"/>
        <w:numPr>
          <w:ilvl w:val="0"/>
          <w:numId w:val="44"/>
        </w:numPr>
        <w:rPr>
          <w:rFonts w:asciiTheme="minorEastAsia" w:hAnsiTheme="minorEastAsia" w:eastAsiaTheme="minorEastAsia"/>
        </w:rPr>
      </w:pPr>
      <w:r>
        <w:rPr>
          <w:rFonts w:hint="eastAsia" w:asciiTheme="minorEastAsia" w:hAnsiTheme="minorEastAsia" w:eastAsiaTheme="minorEastAsia"/>
        </w:rPr>
        <w:t>本项目为国家机关办公建筑、政府投资或者以政府投资为主以及总建筑面积一万平方米以上的其他公共建筑，按照国家和省有关标准利用可再生能源。</w:t>
      </w:r>
    </w:p>
    <w:p>
      <w:pPr>
        <w:pStyle w:val="90"/>
        <w:numPr>
          <w:ilvl w:val="0"/>
          <w:numId w:val="44"/>
        </w:numPr>
        <w:rPr>
          <w:rFonts w:asciiTheme="minorEastAsia" w:hAnsiTheme="minorEastAsia" w:eastAsiaTheme="minorEastAsia"/>
        </w:rPr>
      </w:pPr>
      <w:r>
        <w:rPr>
          <w:rFonts w:hint="eastAsia" w:asciiTheme="minorEastAsia" w:hAnsiTheme="minorEastAsia" w:eastAsiaTheme="minorEastAsia"/>
        </w:rPr>
        <w:t>本项目为建设用地面积二万平方米以上的新建民用建筑，按照国家和浙江省有关标准同步建设雨水收集利用系统。</w:t>
      </w:r>
    </w:p>
    <w:p>
      <w:pPr>
        <w:pStyle w:val="90"/>
        <w:ind w:left="1050"/>
        <w:rPr>
          <w:rFonts w:asciiTheme="minorEastAsia" w:hAnsiTheme="minorEastAsia" w:eastAsiaTheme="minorEastAsia"/>
        </w:rPr>
      </w:pP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45"/>
        </w:numPr>
        <w:jc w:val="both"/>
        <w:rPr>
          <w:rFonts w:asciiTheme="minorEastAsia" w:hAnsiTheme="minorEastAsia" w:eastAsiaTheme="minorEastAsia"/>
        </w:rPr>
      </w:pPr>
      <w:r>
        <w:rPr>
          <w:rFonts w:hint="eastAsia" w:asciiTheme="minorEastAsia" w:hAnsiTheme="minorEastAsia" w:eastAsiaTheme="minorEastAsia"/>
        </w:rPr>
        <w:t>热水系统及可再生能源利用：</w:t>
      </w:r>
    </w:p>
    <w:p>
      <w:pPr>
        <w:pStyle w:val="88"/>
        <w:numPr>
          <w:ilvl w:val="1"/>
          <w:numId w:val="46"/>
        </w:numPr>
        <w:rPr>
          <w:rFonts w:asciiTheme="minorEastAsia" w:hAnsiTheme="minorEastAsia" w:eastAsiaTheme="minorEastAsia"/>
        </w:rPr>
      </w:pPr>
      <w:r>
        <w:rPr>
          <w:rFonts w:hint="eastAsia" w:asciiTheme="minorEastAsia" w:hAnsiTheme="minorEastAsia" w:eastAsiaTheme="minorEastAsia"/>
        </w:rPr>
        <w:t>本工程是否设置集中热水系统：□是，□否。集中热水系统是否使用可再生能源：□是，□否。</w:t>
      </w:r>
    </w:p>
    <w:p>
      <w:pPr>
        <w:pStyle w:val="88"/>
        <w:numPr>
          <w:ilvl w:val="1"/>
          <w:numId w:val="46"/>
        </w:numPr>
        <w:rPr>
          <w:rFonts w:asciiTheme="minorEastAsia" w:hAnsiTheme="minorEastAsia" w:eastAsiaTheme="minorEastAsia"/>
        </w:rPr>
      </w:pPr>
      <w:r>
        <w:rPr>
          <w:rFonts w:hint="eastAsia" w:asciiTheme="minorEastAsia" w:hAnsiTheme="minorEastAsia" w:eastAsiaTheme="minorEastAsia"/>
        </w:rPr>
        <w:t>使用可再生能源形式：</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设有太阳能热水系统：□是，□否。太阳能集热系统换热形式：□直接换热，□间接换热。太阳能集热器设置面积：_______m</w:t>
      </w:r>
      <w:r>
        <w:rPr>
          <w:rFonts w:hint="eastAsia" w:asciiTheme="minorEastAsia" w:hAnsiTheme="minorEastAsia" w:eastAsiaTheme="minorEastAsia"/>
          <w:vertAlign w:val="superscript"/>
        </w:rPr>
        <w:t>2</w:t>
      </w:r>
      <w:r>
        <w:rPr>
          <w:rFonts w:hint="eastAsia" w:asciiTheme="minorEastAsia" w:hAnsiTheme="minorEastAsia" w:eastAsiaTheme="minorEastAsia"/>
        </w:rPr>
        <w:t>。</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设有空气源热泵热水系统：□是，□否。空气源热泵热水机组总装机容量：_______</w:t>
      </w:r>
      <w:r>
        <w:rPr>
          <w:rFonts w:hint="eastAsia" w:asciiTheme="minorEastAsia" w:hAnsiTheme="minorEastAsia" w:eastAsiaTheme="minorEastAsia"/>
          <w:szCs w:val="18"/>
        </w:rPr>
        <w:t>KW。</w:t>
      </w:r>
      <w:r>
        <w:rPr>
          <w:rFonts w:hint="eastAsia" w:asciiTheme="minorEastAsia" w:hAnsiTheme="minorEastAsia" w:eastAsiaTheme="minorEastAsia"/>
        </w:rPr>
        <w:t>空气源热泵热水机组能效等级：□一级，□二级，□三级。</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其他</w:t>
      </w:r>
      <w:r>
        <w:rPr>
          <w:rFonts w:asciiTheme="minorEastAsia" w:hAnsiTheme="minorEastAsia" w:eastAsiaTheme="minorEastAsia"/>
        </w:rPr>
        <w:t>可再生能源利用</w:t>
      </w:r>
      <w:r>
        <w:rPr>
          <w:rFonts w:hint="eastAsia" w:asciiTheme="minorEastAsia" w:hAnsiTheme="minorEastAsia" w:eastAsiaTheme="minorEastAsia"/>
        </w:rPr>
        <w:t>：_______。</w:t>
      </w:r>
    </w:p>
    <w:p>
      <w:pPr>
        <w:pStyle w:val="88"/>
        <w:rPr>
          <w:rFonts w:asciiTheme="minorEastAsia" w:hAnsiTheme="minorEastAsia" w:eastAsiaTheme="minorEastAsia"/>
          <w:szCs w:val="18"/>
        </w:rPr>
      </w:pPr>
      <w:r>
        <w:rPr>
          <w:rFonts w:hint="eastAsia" w:asciiTheme="minorEastAsia" w:hAnsiTheme="minorEastAsia" w:eastAsiaTheme="minorEastAsia"/>
          <w:szCs w:val="18"/>
        </w:rPr>
        <w:t>可再生能源利用量（年节能量折合标煤）</w:t>
      </w:r>
      <w:r>
        <w:rPr>
          <w:rFonts w:hint="eastAsia" w:asciiTheme="minorEastAsia" w:hAnsiTheme="minorEastAsia" w:eastAsiaTheme="minorEastAsia"/>
        </w:rPr>
        <w:t>_______</w:t>
      </w:r>
      <w:r>
        <w:rPr>
          <w:rFonts w:asciiTheme="minorEastAsia" w:hAnsiTheme="minorEastAsia" w:eastAsiaTheme="minorEastAsia"/>
          <w:szCs w:val="18"/>
        </w:rPr>
        <w:t>tce/a</w:t>
      </w:r>
      <w:r>
        <w:rPr>
          <w:rFonts w:hint="eastAsia" w:asciiTheme="minorEastAsia" w:hAnsiTheme="minorEastAsia" w:eastAsiaTheme="minorEastAsia"/>
          <w:szCs w:val="18"/>
        </w:rPr>
        <w:t>；</w:t>
      </w:r>
    </w:p>
    <w:p>
      <w:pPr>
        <w:pStyle w:val="88"/>
        <w:spacing w:line="276" w:lineRule="auto"/>
        <w:rPr>
          <w:rFonts w:asciiTheme="minorEastAsia" w:hAnsiTheme="minorEastAsia" w:eastAsiaTheme="minorEastAsia"/>
        </w:rPr>
      </w:pPr>
      <w:r>
        <w:rPr>
          <w:rFonts w:hint="eastAsia" w:asciiTheme="minorEastAsia" w:hAnsiTheme="minorEastAsia" w:eastAsiaTheme="minorEastAsia"/>
        </w:rPr>
        <w:t>热水系统可再生能源应用量应满足浙江省《民用建筑可再能源应用核算标准》DB33/1105-2021要求：□是，□否。</w:t>
      </w:r>
    </w:p>
    <w:p>
      <w:pPr>
        <w:pStyle w:val="88"/>
        <w:numPr>
          <w:ilvl w:val="1"/>
          <w:numId w:val="46"/>
        </w:numPr>
        <w:rPr>
          <w:rFonts w:asciiTheme="minorEastAsia" w:hAnsiTheme="minorEastAsia" w:eastAsiaTheme="minorEastAsia"/>
        </w:rPr>
      </w:pPr>
      <w:r>
        <w:rPr>
          <w:rFonts w:hint="eastAsia" w:asciiTheme="minorEastAsia" w:hAnsiTheme="minorEastAsia" w:eastAsiaTheme="minorEastAsia"/>
        </w:rPr>
        <w:t>热水系统最大日用水量_______</w:t>
      </w:r>
      <w:r>
        <w:rPr>
          <w:rFonts w:hint="eastAsia" w:asciiTheme="minorEastAsia" w:hAnsiTheme="minorEastAsia" w:eastAsiaTheme="minorEastAsia"/>
          <w:szCs w:val="18"/>
        </w:rPr>
        <w:t>m</w:t>
      </w:r>
      <w:r>
        <w:rPr>
          <w:rFonts w:hint="eastAsia" w:asciiTheme="minorEastAsia" w:hAnsiTheme="minorEastAsia" w:eastAsiaTheme="minorEastAsia"/>
          <w:szCs w:val="18"/>
          <w:vertAlign w:val="superscript"/>
        </w:rPr>
        <w:t>3</w:t>
      </w:r>
      <w:r>
        <w:rPr>
          <w:rFonts w:asciiTheme="minorEastAsia" w:hAnsiTheme="minorEastAsia" w:eastAsiaTheme="minorEastAsia"/>
          <w:szCs w:val="18"/>
        </w:rPr>
        <w:t>/</w:t>
      </w:r>
      <w:r>
        <w:rPr>
          <w:rFonts w:hint="eastAsia" w:asciiTheme="minorEastAsia" w:hAnsiTheme="minorEastAsia" w:eastAsiaTheme="minorEastAsia"/>
          <w:szCs w:val="18"/>
        </w:rPr>
        <w:t>d，</w:t>
      </w:r>
      <w:r>
        <w:rPr>
          <w:rFonts w:hint="eastAsia" w:asciiTheme="minorEastAsia" w:hAnsiTheme="minorEastAsia" w:eastAsiaTheme="minorEastAsia"/>
        </w:rPr>
        <w:t>平均日用水量_______</w:t>
      </w:r>
      <w:r>
        <w:rPr>
          <w:rFonts w:hint="eastAsia" w:asciiTheme="minorEastAsia" w:hAnsiTheme="minorEastAsia" w:eastAsiaTheme="minorEastAsia"/>
          <w:szCs w:val="18"/>
        </w:rPr>
        <w:t>m</w:t>
      </w:r>
      <w:r>
        <w:rPr>
          <w:rFonts w:hint="eastAsia" w:asciiTheme="minorEastAsia" w:hAnsiTheme="minorEastAsia" w:eastAsiaTheme="minorEastAsia"/>
          <w:szCs w:val="18"/>
          <w:vertAlign w:val="superscript"/>
        </w:rPr>
        <w:t>3</w:t>
      </w:r>
      <w:r>
        <w:rPr>
          <w:rFonts w:asciiTheme="minorEastAsia" w:hAnsiTheme="minorEastAsia" w:eastAsiaTheme="minorEastAsia"/>
          <w:szCs w:val="18"/>
        </w:rPr>
        <w:t>/</w:t>
      </w:r>
      <w:r>
        <w:rPr>
          <w:rFonts w:hint="eastAsia" w:asciiTheme="minorEastAsia" w:hAnsiTheme="minorEastAsia" w:eastAsiaTheme="minorEastAsia"/>
          <w:szCs w:val="18"/>
        </w:rPr>
        <w:t>d，由可再生能源提供的生活热水比例</w:t>
      </w:r>
      <w:r>
        <w:rPr>
          <w:rFonts w:hint="eastAsia" w:asciiTheme="minorEastAsia" w:hAnsiTheme="minorEastAsia" w:eastAsiaTheme="minorEastAsia"/>
        </w:rPr>
        <w:t>_______</w:t>
      </w:r>
      <w:r>
        <w:rPr>
          <w:rFonts w:hint="eastAsia" w:asciiTheme="minorEastAsia" w:hAnsiTheme="minorEastAsia" w:eastAsiaTheme="minorEastAsia"/>
          <w:szCs w:val="18"/>
        </w:rPr>
        <w:t>。</w:t>
      </w:r>
    </w:p>
    <w:p>
      <w:pPr>
        <w:pStyle w:val="88"/>
        <w:numPr>
          <w:ilvl w:val="1"/>
          <w:numId w:val="46"/>
        </w:numPr>
        <w:rPr>
          <w:rFonts w:asciiTheme="minorEastAsia" w:hAnsiTheme="minorEastAsia" w:eastAsiaTheme="minorEastAsia"/>
        </w:rPr>
      </w:pPr>
      <w:r>
        <w:rPr>
          <w:rFonts w:hint="eastAsia" w:asciiTheme="minorEastAsia" w:hAnsiTheme="minorEastAsia" w:eastAsiaTheme="minorEastAsia"/>
        </w:rPr>
        <w:t>热水系统循环措施：</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热源部分采用机械循环：□是，□否；热水系统供回水部分采用机械循环：□是，□否；热水配水点出水温度达到46°C的出水时间是否不大于10s: □是，□否。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热源部分采用自然循环：□是，□否；热水系统供回水部分采用自然循环：□是，□否；热水配水点出水温度达到46°C的出水时间是否不大于10s: □是，□否。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其他循环：</w:t>
      </w:r>
      <w:r>
        <w:rPr>
          <w:rFonts w:hint="eastAsia"/>
          <w:u w:val="single"/>
        </w:rPr>
        <w:t xml:space="preserve">        </w:t>
      </w:r>
      <w:r>
        <w:rPr>
          <w:rFonts w:hint="eastAsia"/>
        </w:rPr>
        <w:t>。</w:t>
      </w:r>
    </w:p>
    <w:p>
      <w:pPr>
        <w:pStyle w:val="88"/>
        <w:numPr>
          <w:ilvl w:val="1"/>
          <w:numId w:val="46"/>
        </w:numPr>
        <w:rPr>
          <w:rFonts w:asciiTheme="minorEastAsia" w:hAnsiTheme="minorEastAsia" w:eastAsiaTheme="minorEastAsia"/>
        </w:rPr>
      </w:pPr>
      <w:r>
        <w:rPr>
          <w:rFonts w:hint="eastAsia" w:asciiTheme="minorEastAsia" w:hAnsiTheme="minorEastAsia" w:eastAsiaTheme="minorEastAsia"/>
        </w:rPr>
        <w:t>热水用水点处冷、热水供水压力平衡措施：</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冷热水同源：□是，□否。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采用配水支管设可调式减压阀：□是，□否。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用水点处设带调整压差功能的混合装置：□是，□否。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其它措施：</w:t>
      </w:r>
      <w:r>
        <w:rPr>
          <w:rFonts w:hint="eastAsia"/>
          <w:u w:val="single"/>
        </w:rPr>
        <w:t xml:space="preserve">        </w:t>
      </w:r>
      <w:r>
        <w:rPr>
          <w:rFonts w:hint="eastAsia"/>
        </w:rPr>
        <w:t>。</w:t>
      </w:r>
    </w:p>
    <w:p>
      <w:pPr>
        <w:pStyle w:val="89"/>
        <w:numPr>
          <w:ilvl w:val="0"/>
          <w:numId w:val="0"/>
        </w:numPr>
        <w:ind w:left="420"/>
        <w:rPr>
          <w:rFonts w:asciiTheme="minorEastAsia" w:hAnsiTheme="minorEastAsia" w:eastAsiaTheme="minorEastAsia"/>
        </w:rPr>
      </w:pPr>
    </w:p>
    <w:p>
      <w:pPr>
        <w:pStyle w:val="88"/>
        <w:numPr>
          <w:ilvl w:val="1"/>
          <w:numId w:val="46"/>
        </w:numPr>
        <w:rPr>
          <w:rFonts w:asciiTheme="minorEastAsia" w:hAnsiTheme="minorEastAsia" w:eastAsiaTheme="minorEastAsia"/>
        </w:rPr>
      </w:pPr>
      <w:r>
        <w:rPr>
          <w:rFonts w:hint="eastAsia" w:asciiTheme="minorEastAsia" w:hAnsiTheme="minorEastAsia" w:eastAsiaTheme="minorEastAsia"/>
        </w:rPr>
        <w:t>热水系统保温措施：</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仅采用保温材料保温：□是，□否。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采用可控式电伴热保温：□是，□否。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其它保温措施：</w:t>
      </w:r>
      <w:r>
        <w:rPr>
          <w:rFonts w:hint="eastAsia"/>
          <w:u w:val="single"/>
        </w:rPr>
        <w:t xml:space="preserve">        </w:t>
      </w:r>
      <w:r>
        <w:rPr>
          <w:rFonts w:hint="eastAsia"/>
        </w:rPr>
        <w:t>。</w:t>
      </w:r>
    </w:p>
    <w:p>
      <w:pPr>
        <w:ind w:firstLine="420"/>
        <w:rPr>
          <w:rFonts w:asciiTheme="minorEastAsia" w:hAnsiTheme="minorEastAsia" w:eastAsiaTheme="minorEastAsia"/>
        </w:rPr>
      </w:pPr>
    </w:p>
    <w:p>
      <w:pPr>
        <w:ind w:firstLine="420"/>
        <w:rPr>
          <w:rFonts w:asciiTheme="minorEastAsia" w:hAnsiTheme="minorEastAsia" w:eastAsiaTheme="minorEastAsia"/>
        </w:rPr>
      </w:pPr>
    </w:p>
    <w:p>
      <w:pPr>
        <w:pStyle w:val="87"/>
        <w:rPr>
          <w:rFonts w:asciiTheme="minorEastAsia" w:hAnsiTheme="minorEastAsia" w:eastAsiaTheme="minorEastAsia"/>
        </w:rPr>
      </w:pPr>
      <w:r>
        <w:rPr>
          <w:rFonts w:hint="eastAsia" w:asciiTheme="minorEastAsia" w:hAnsiTheme="minorEastAsia" w:eastAsiaTheme="minorEastAsia"/>
        </w:rPr>
        <w:t>安全耐久健康舒适：</w:t>
      </w:r>
    </w:p>
    <w:p>
      <w:pPr>
        <w:pStyle w:val="88"/>
        <w:numPr>
          <w:ilvl w:val="1"/>
          <w:numId w:val="29"/>
        </w:numPr>
        <w:rPr>
          <w:rFonts w:asciiTheme="minorEastAsia" w:hAnsiTheme="minorEastAsia" w:eastAsiaTheme="minorEastAsia"/>
        </w:rPr>
      </w:pPr>
      <w:r>
        <w:rPr>
          <w:rFonts w:hint="eastAsia" w:asciiTheme="minorEastAsia" w:hAnsiTheme="minorEastAsia" w:eastAsiaTheme="minorEastAsia"/>
        </w:rPr>
        <w:t>直饮水、集中生活热水、游泳池水、采暖空调系统用水、景观水体等的水质满足国家现行有关标准的要求：□是，□否。</w:t>
      </w:r>
    </w:p>
    <w:p>
      <w:pPr>
        <w:pStyle w:val="88"/>
        <w:rPr>
          <w:rFonts w:asciiTheme="minorEastAsia" w:hAnsiTheme="minorEastAsia" w:eastAsiaTheme="minorEastAsia"/>
        </w:rPr>
      </w:pPr>
      <w:r>
        <w:rPr>
          <w:rFonts w:hint="eastAsia" w:asciiTheme="minorEastAsia" w:hAnsiTheme="minorEastAsia" w:eastAsiaTheme="minorEastAsia"/>
        </w:rPr>
        <w:t>采用二次加压供水时，生活饮用水水池、水箱等储水设施采取下列措施满足卫生要求：</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采用符合国家现行有关标准要求的成品水箱：□是，□否。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采取保证储水不变质的措施：□是，□否。</w:t>
      </w:r>
    </w:p>
    <w:p>
      <w:pPr>
        <w:pStyle w:val="88"/>
        <w:rPr>
          <w:rFonts w:asciiTheme="minorEastAsia" w:hAnsiTheme="minorEastAsia" w:eastAsiaTheme="minorEastAsia"/>
        </w:rPr>
      </w:pPr>
      <w:r>
        <w:rPr>
          <w:rFonts w:hint="eastAsia" w:asciiTheme="minorEastAsia" w:hAnsiTheme="minorEastAsia" w:eastAsiaTheme="minorEastAsia"/>
        </w:rPr>
        <w:t>使用符合现行国家标准或采用符合通过鉴定的企业标准并符合相关管理部门规定耐腐蚀、抗老化、耐久性能好的管材、管线、管件：□是，□否。</w:t>
      </w:r>
    </w:p>
    <w:p>
      <w:pPr>
        <w:pStyle w:val="88"/>
        <w:rPr>
          <w:rFonts w:asciiTheme="minorEastAsia" w:hAnsiTheme="minorEastAsia" w:eastAsiaTheme="minorEastAsia"/>
        </w:rPr>
      </w:pPr>
      <w:r>
        <w:rPr>
          <w:rFonts w:hint="eastAsia" w:asciiTheme="minorEastAsia" w:hAnsiTheme="minorEastAsia" w:eastAsiaTheme="minorEastAsia"/>
        </w:rPr>
        <w:t>活动配件选用长寿命产品，并考虑部品组合的同寿命性；不同使用寿命的部品组合时，采用便于分别拆换、更新和升级的构造：□是，□否。</w:t>
      </w:r>
    </w:p>
    <w:p>
      <w:pPr>
        <w:pStyle w:val="88"/>
        <w:rPr>
          <w:rFonts w:asciiTheme="minorEastAsia" w:hAnsiTheme="minorEastAsia" w:eastAsiaTheme="minorEastAsia"/>
        </w:rPr>
      </w:pPr>
      <w:r>
        <w:rPr>
          <w:rFonts w:hint="eastAsia" w:asciiTheme="minorEastAsia" w:hAnsiTheme="minorEastAsia" w:eastAsiaTheme="minorEastAsia"/>
        </w:rPr>
        <w:t>所有给水排水管道、设备、设施设置明确、清晰的永久性标识：□是，□否。</w:t>
      </w:r>
    </w:p>
    <w:p>
      <w:pPr>
        <w:pStyle w:val="87"/>
        <w:rPr>
          <w:rFonts w:asciiTheme="minorEastAsia" w:hAnsiTheme="minorEastAsia" w:eastAsiaTheme="minorEastAsia"/>
        </w:rPr>
      </w:pPr>
      <w:r>
        <w:rPr>
          <w:rFonts w:hint="eastAsia" w:asciiTheme="minorEastAsia" w:hAnsiTheme="minorEastAsia" w:eastAsiaTheme="minorEastAsia"/>
        </w:rPr>
        <w:t>给水系统：</w:t>
      </w:r>
    </w:p>
    <w:p>
      <w:pPr>
        <w:pStyle w:val="88"/>
        <w:numPr>
          <w:ilvl w:val="1"/>
          <w:numId w:val="29"/>
        </w:numPr>
        <w:rPr>
          <w:rFonts w:asciiTheme="minorEastAsia" w:hAnsiTheme="minorEastAsia" w:eastAsiaTheme="minorEastAsia"/>
        </w:rPr>
      </w:pPr>
      <w:r>
        <w:rPr>
          <w:rFonts w:hint="eastAsia" w:asciiTheme="minorEastAsia" w:hAnsiTheme="minorEastAsia" w:eastAsiaTheme="minorEastAsia"/>
        </w:rPr>
        <w:t>当生活给水系统分区供水时，各分区的最大静水压力_______MPa，给水系统竖向分区是否符合现行规范《建筑给水排水设计标准》GB</w:t>
      </w:r>
      <w:r>
        <w:rPr>
          <w:rFonts w:asciiTheme="minorEastAsia" w:hAnsiTheme="minorEastAsia" w:eastAsiaTheme="minorEastAsia"/>
        </w:rPr>
        <w:t xml:space="preserve"> 50015-2019</w:t>
      </w:r>
      <w:r>
        <w:rPr>
          <w:rFonts w:hint="eastAsia" w:asciiTheme="minorEastAsia" w:hAnsiTheme="minorEastAsia" w:eastAsiaTheme="minorEastAsia"/>
        </w:rPr>
        <w:t>要求 ：□是，□否。</w:t>
      </w:r>
    </w:p>
    <w:p>
      <w:pPr>
        <w:pStyle w:val="88"/>
        <w:rPr>
          <w:rFonts w:asciiTheme="minorEastAsia" w:hAnsiTheme="minorEastAsia" w:eastAsiaTheme="minorEastAsia"/>
        </w:rPr>
      </w:pPr>
      <w:r>
        <w:rPr>
          <w:rFonts w:hint="eastAsia" w:asciiTheme="minorEastAsia" w:hAnsiTheme="minorEastAsia" w:eastAsiaTheme="minorEastAsia"/>
        </w:rPr>
        <w:t>市政供水管网到达本项目的供水压力</w:t>
      </w:r>
      <w:r>
        <w:rPr>
          <w:rFonts w:hint="eastAsia" w:asciiTheme="minorEastAsia" w:hAnsiTheme="minorEastAsia" w:eastAsiaTheme="minorEastAsia"/>
          <w:u w:val="single"/>
        </w:rPr>
        <w:t xml:space="preserve">    </w:t>
      </w:r>
      <w:r>
        <w:rPr>
          <w:rFonts w:hint="eastAsia" w:asciiTheme="minorEastAsia" w:hAnsiTheme="minorEastAsia" w:eastAsiaTheme="minorEastAsia"/>
        </w:rPr>
        <w:t>MPa，地面</w:t>
      </w:r>
      <w:r>
        <w:rPr>
          <w:rFonts w:hint="eastAsia" w:asciiTheme="minorEastAsia" w:hAnsiTheme="minorEastAsia" w:eastAsiaTheme="minorEastAsia"/>
          <w:u w:val="single"/>
        </w:rPr>
        <w:t xml:space="preserve">    </w:t>
      </w:r>
      <w:r>
        <w:rPr>
          <w:rFonts w:hint="eastAsia" w:asciiTheme="minorEastAsia" w:hAnsiTheme="minorEastAsia" w:eastAsiaTheme="minorEastAsia"/>
        </w:rPr>
        <w:t>层及以下各层给水由市政供水管网压力直接供水。</w:t>
      </w:r>
    </w:p>
    <w:p>
      <w:pPr>
        <w:pStyle w:val="88"/>
        <w:rPr>
          <w:rFonts w:asciiTheme="minorEastAsia" w:hAnsiTheme="minorEastAsia" w:eastAsiaTheme="minorEastAsia"/>
        </w:rPr>
      </w:pPr>
      <w:r>
        <w:rPr>
          <w:rFonts w:hint="eastAsia" w:asciiTheme="minorEastAsia" w:hAnsiTheme="minorEastAsia" w:eastAsiaTheme="minorEastAsia"/>
        </w:rPr>
        <w:t>本工程是否设有生活给水加压泵房：□是，□否；生活给水加压泵房设在_______，泵房服务半径_______米。</w:t>
      </w:r>
    </w:p>
    <w:p>
      <w:pPr>
        <w:pStyle w:val="88"/>
        <w:rPr>
          <w:rFonts w:asciiTheme="minorEastAsia" w:hAnsiTheme="minorEastAsia" w:eastAsiaTheme="minorEastAsia"/>
        </w:rPr>
      </w:pPr>
      <w:r>
        <w:rPr>
          <w:rFonts w:hint="eastAsia" w:asciiTheme="minorEastAsia" w:hAnsiTheme="minorEastAsia" w:eastAsiaTheme="minorEastAsia"/>
        </w:rPr>
        <w:t>给水泵能效达到：□泵目标能效限定值，□泵节能评价值。</w:t>
      </w:r>
    </w:p>
    <w:p>
      <w:pPr>
        <w:pStyle w:val="87"/>
        <w:rPr>
          <w:rFonts w:asciiTheme="minorEastAsia" w:hAnsiTheme="minorEastAsia" w:eastAsiaTheme="minorEastAsia"/>
        </w:rPr>
      </w:pPr>
      <w:r>
        <w:rPr>
          <w:rFonts w:hint="eastAsia" w:asciiTheme="minorEastAsia" w:hAnsiTheme="minorEastAsia" w:eastAsiaTheme="minorEastAsia"/>
        </w:rPr>
        <w:t>节水与水资源利用</w:t>
      </w:r>
    </w:p>
    <w:p>
      <w:pPr>
        <w:pStyle w:val="88"/>
        <w:numPr>
          <w:ilvl w:val="1"/>
          <w:numId w:val="35"/>
        </w:numPr>
        <w:rPr>
          <w:rFonts w:asciiTheme="minorEastAsia" w:hAnsiTheme="minorEastAsia" w:eastAsiaTheme="minorEastAsia"/>
        </w:rPr>
      </w:pPr>
      <w:r>
        <w:rPr>
          <w:rFonts w:hint="eastAsia" w:asciiTheme="minorEastAsia" w:hAnsiTheme="minorEastAsia" w:eastAsiaTheme="minorEastAsia"/>
        </w:rPr>
        <w:t>给水系统计量水表设置：</w:t>
      </w:r>
    </w:p>
    <w:p>
      <w:pPr>
        <w:pStyle w:val="89"/>
        <w:spacing w:line="400" w:lineRule="exact"/>
        <w:ind w:leftChars="0" w:firstLineChars="0"/>
        <w:rPr>
          <w:rFonts w:asciiTheme="minorEastAsia" w:hAnsiTheme="minorEastAsia" w:eastAsiaTheme="minorEastAsia"/>
        </w:rPr>
      </w:pPr>
      <w:r>
        <w:rPr>
          <w:rFonts w:asciiTheme="minorEastAsia" w:hAnsiTheme="minorEastAsia" w:eastAsiaTheme="minorEastAsia"/>
        </w:rPr>
        <w:t>按使用用途</w:t>
      </w:r>
      <w:r>
        <w:rPr>
          <w:rFonts w:hint="eastAsia" w:asciiTheme="minorEastAsia" w:hAnsiTheme="minorEastAsia" w:eastAsiaTheme="minorEastAsia"/>
        </w:rPr>
        <w:t>、付费或管理单元，</w:t>
      </w:r>
      <w:r>
        <w:rPr>
          <w:rFonts w:asciiTheme="minorEastAsia" w:hAnsiTheme="minorEastAsia" w:eastAsiaTheme="minorEastAsia"/>
        </w:rPr>
        <w:t>设置</w:t>
      </w:r>
      <w:r>
        <w:rPr>
          <w:rFonts w:hint="eastAsia" w:asciiTheme="minorEastAsia" w:hAnsiTheme="minorEastAsia" w:eastAsiaTheme="minorEastAsia"/>
        </w:rPr>
        <w:t>用水量远传计量系统，能分类、分级记录、统计分析各种用水情况: □是，□否。</w:t>
      </w:r>
    </w:p>
    <w:p>
      <w:pPr>
        <w:pStyle w:val="89"/>
        <w:spacing w:line="400" w:lineRule="exact"/>
        <w:ind w:leftChars="0" w:firstLineChars="0"/>
        <w:rPr>
          <w:rFonts w:asciiTheme="minorEastAsia" w:hAnsiTheme="minorEastAsia" w:eastAsiaTheme="minorEastAsia"/>
        </w:rPr>
      </w:pPr>
      <w:r>
        <w:rPr>
          <w:rFonts w:asciiTheme="minorEastAsia" w:hAnsiTheme="minorEastAsia" w:eastAsiaTheme="minorEastAsia"/>
        </w:rPr>
        <w:t>根据水量平衡测试</w:t>
      </w:r>
      <w:r>
        <w:rPr>
          <w:rFonts w:hint="eastAsia" w:asciiTheme="minorEastAsia" w:hAnsiTheme="minorEastAsia" w:eastAsiaTheme="minorEastAsia"/>
        </w:rPr>
        <w:t>及</w:t>
      </w:r>
      <w:r>
        <w:rPr>
          <w:rFonts w:asciiTheme="minorEastAsia" w:hAnsiTheme="minorEastAsia" w:eastAsiaTheme="minorEastAsia"/>
        </w:rPr>
        <w:t>管网漏损检测要求安装分级计量系统</w:t>
      </w:r>
      <w:r>
        <w:rPr>
          <w:rFonts w:hint="eastAsia" w:asciiTheme="minorEastAsia" w:hAnsiTheme="minorEastAsia" w:eastAsiaTheme="minorEastAsia"/>
        </w:rPr>
        <w:t>: □是，□否。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设置水质在线监测系统，监测生活饮用水、管道直饮水、游泳池水、非传统水源、空调冷却水的水质指标，记录并保存水质监测结果，且能随时供用户查询: □是，□否。</w:t>
      </w:r>
    </w:p>
    <w:p>
      <w:pPr>
        <w:pStyle w:val="88"/>
        <w:rPr>
          <w:rFonts w:asciiTheme="minorEastAsia" w:hAnsiTheme="minorEastAsia" w:eastAsiaTheme="minorEastAsia"/>
        </w:rPr>
      </w:pPr>
      <w:r>
        <w:rPr>
          <w:rFonts w:hint="eastAsia" w:asciiTheme="minorEastAsia" w:hAnsiTheme="minorEastAsia" w:eastAsiaTheme="minorEastAsia"/>
        </w:rPr>
        <w:t xml:space="preserve">采用符合现行标准《节水型生活用水器具》CJ/T 164和《节水型产品通用技术条件》GB/T 18870要求的节水型卫生器具： </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全部卫生器具的用水效率等级达到3</w:t>
      </w:r>
      <w:r>
        <w:rPr>
          <w:rFonts w:asciiTheme="minorEastAsia" w:hAnsiTheme="minorEastAsia" w:eastAsiaTheme="minorEastAsia"/>
        </w:rPr>
        <w:t xml:space="preserve"> </w:t>
      </w:r>
      <w:r>
        <w:rPr>
          <w:rFonts w:hint="eastAsia" w:asciiTheme="minorEastAsia" w:hAnsiTheme="minorEastAsia" w:eastAsiaTheme="minorEastAsia"/>
        </w:rPr>
        <w:t>级：□是，□否。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全部卫生器具的用水效率等级达到</w:t>
      </w:r>
      <w:r>
        <w:rPr>
          <w:rFonts w:asciiTheme="minorEastAsia" w:hAnsiTheme="minorEastAsia" w:eastAsiaTheme="minorEastAsia"/>
        </w:rPr>
        <w:t xml:space="preserve">2 </w:t>
      </w:r>
      <w:r>
        <w:rPr>
          <w:rFonts w:hint="eastAsia" w:asciiTheme="minorEastAsia" w:hAnsiTheme="minorEastAsia" w:eastAsiaTheme="minorEastAsia"/>
        </w:rPr>
        <w:t>级：□是，□否。</w:t>
      </w:r>
    </w:p>
    <w:p>
      <w:pPr>
        <w:pStyle w:val="89"/>
        <w:spacing w:line="400" w:lineRule="exact"/>
        <w:ind w:leftChars="0" w:firstLineChars="0"/>
        <w:rPr>
          <w:rFonts w:asciiTheme="minorEastAsia" w:hAnsiTheme="minorEastAsia" w:eastAsiaTheme="minorEastAsia"/>
        </w:rPr>
      </w:pPr>
      <w:r>
        <w:rPr>
          <w:rFonts w:asciiTheme="minorEastAsia" w:hAnsiTheme="minorEastAsia" w:eastAsiaTheme="minorEastAsia"/>
        </w:rPr>
        <w:t>50％</w:t>
      </w:r>
      <w:r>
        <w:rPr>
          <w:rFonts w:hint="eastAsia" w:asciiTheme="minorEastAsia" w:hAnsiTheme="minorEastAsia" w:eastAsiaTheme="minorEastAsia"/>
        </w:rPr>
        <w:t>以上卫生器具的用水效率等级达到</w:t>
      </w:r>
      <w:r>
        <w:rPr>
          <w:rFonts w:asciiTheme="minorEastAsia" w:hAnsiTheme="minorEastAsia" w:eastAsiaTheme="minorEastAsia"/>
        </w:rPr>
        <w:t xml:space="preserve">1 </w:t>
      </w:r>
      <w:r>
        <w:rPr>
          <w:rFonts w:hint="eastAsia" w:asciiTheme="minorEastAsia" w:hAnsiTheme="minorEastAsia" w:eastAsiaTheme="minorEastAsia"/>
        </w:rPr>
        <w:t>级且其他达到</w:t>
      </w:r>
      <w:r>
        <w:rPr>
          <w:rFonts w:asciiTheme="minorEastAsia" w:hAnsiTheme="minorEastAsia" w:eastAsiaTheme="minorEastAsia"/>
        </w:rPr>
        <w:t xml:space="preserve">2 </w:t>
      </w:r>
      <w:r>
        <w:rPr>
          <w:rFonts w:hint="eastAsia" w:asciiTheme="minorEastAsia" w:hAnsiTheme="minorEastAsia" w:eastAsiaTheme="minorEastAsia"/>
        </w:rPr>
        <w:t>级：□是，□否。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全部卫生器具的用水效率等级达到</w:t>
      </w:r>
      <w:r>
        <w:rPr>
          <w:rFonts w:asciiTheme="minorEastAsia" w:hAnsiTheme="minorEastAsia" w:eastAsiaTheme="minorEastAsia"/>
        </w:rPr>
        <w:t xml:space="preserve">1 </w:t>
      </w:r>
      <w:r>
        <w:rPr>
          <w:rFonts w:hint="eastAsia" w:asciiTheme="minorEastAsia" w:hAnsiTheme="minorEastAsia" w:eastAsiaTheme="minorEastAsia"/>
        </w:rPr>
        <w:t>级：□是，□否。</w:t>
      </w:r>
    </w:p>
    <w:p>
      <w:pPr>
        <w:pStyle w:val="88"/>
        <w:rPr>
          <w:rFonts w:asciiTheme="minorEastAsia" w:hAnsiTheme="minorEastAsia" w:eastAsiaTheme="minorEastAsia"/>
        </w:rPr>
      </w:pPr>
      <w:r>
        <w:rPr>
          <w:rFonts w:hint="eastAsia" w:asciiTheme="minorEastAsia" w:hAnsiTheme="minorEastAsia" w:eastAsiaTheme="minorEastAsia"/>
        </w:rPr>
        <w:t>绿化灌溉采用下列节水设备或技术：</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采用节水灌溉系统：□是，□否。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在采用节水灌溉系统的基础上，设置土壤湿度感应器、雨天自动关闭装置等节水控制措施：□是；□否。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种植无须永久灌溉植物：□是，□否。</w:t>
      </w:r>
    </w:p>
    <w:p>
      <w:pPr>
        <w:pStyle w:val="88"/>
        <w:rPr>
          <w:rFonts w:asciiTheme="minorEastAsia" w:hAnsiTheme="minorEastAsia" w:eastAsiaTheme="minorEastAsia"/>
        </w:rPr>
      </w:pPr>
      <w:r>
        <w:rPr>
          <w:rFonts w:hint="eastAsia" w:asciiTheme="minorEastAsia" w:hAnsiTheme="minorEastAsia" w:eastAsiaTheme="minorEastAsia"/>
        </w:rPr>
        <w:t>空调设备或系统采用下列节水设备或技术：</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循环冷却水系统采取设置水处理措施、加大集水盘、设置平衡管或平衡水箱等方式，避免冷却水泵停泵时冷却水溢出：□是，□否。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采用无蒸发耗水量的冷却技术：□是，□否。</w:t>
      </w:r>
    </w:p>
    <w:p>
      <w:pPr>
        <w:pStyle w:val="87"/>
        <w:rPr>
          <w:rFonts w:asciiTheme="minorEastAsia" w:hAnsiTheme="minorEastAsia" w:eastAsiaTheme="minorEastAsia"/>
        </w:rPr>
      </w:pPr>
      <w:r>
        <w:rPr>
          <w:rFonts w:hint="eastAsia" w:asciiTheme="minorEastAsia" w:hAnsiTheme="minorEastAsia" w:eastAsiaTheme="minorEastAsia"/>
        </w:rPr>
        <w:t>合理使用非传统水源：</w:t>
      </w:r>
    </w:p>
    <w:p>
      <w:pPr>
        <w:pStyle w:val="88"/>
        <w:numPr>
          <w:ilvl w:val="1"/>
          <w:numId w:val="47"/>
        </w:numPr>
        <w:rPr>
          <w:rFonts w:asciiTheme="minorEastAsia" w:hAnsiTheme="minorEastAsia" w:eastAsiaTheme="minorEastAsia"/>
        </w:rPr>
      </w:pPr>
      <w:r>
        <w:rPr>
          <w:rFonts w:hint="eastAsia" w:asciiTheme="minorEastAsia" w:hAnsiTheme="minorEastAsia" w:eastAsiaTheme="minorEastAsia"/>
        </w:rPr>
        <w:t>本项目建设用地面积是否为二万平方米以上：□是，□否；本项目设置非传统水源利用系统：□是，□否；设置非传统水源的种类为：□雨水，□冷凝水，□本建筑内部再生水，□市政再生水，□其它：</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绿化灌溉、车库及道路冲洗、洗车用水采用非传统水源：□是；□否；用水量占其总用水量的比例不低于</w:t>
      </w:r>
      <w:r>
        <w:rPr>
          <w:rFonts w:hint="eastAsia" w:asciiTheme="minorEastAsia" w:hAnsiTheme="minorEastAsia" w:eastAsiaTheme="minorEastAsia"/>
          <w:u w:val="single"/>
        </w:rPr>
        <w:t xml:space="preserve">     </w:t>
      </w:r>
      <w:r>
        <w:rPr>
          <w:rFonts w:asciiTheme="minorEastAsia" w:hAnsiTheme="minorEastAsia" w:eastAsiaTheme="minorEastAsia"/>
        </w:rPr>
        <w:t>％</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冲厕采用非传统水源：□是，□否；用水量占其总用水量的比例不低于</w:t>
      </w:r>
      <w:r>
        <w:rPr>
          <w:rFonts w:hint="eastAsia" w:asciiTheme="minorEastAsia" w:hAnsiTheme="minorEastAsia" w:eastAsiaTheme="minorEastAsia"/>
          <w:u w:val="single"/>
        </w:rPr>
        <w:t xml:space="preserve">     </w:t>
      </w:r>
      <w:r>
        <w:rPr>
          <w:rFonts w:asciiTheme="minorEastAsia" w:hAnsiTheme="minorEastAsia" w:eastAsiaTheme="minorEastAsia"/>
        </w:rPr>
        <w:t>％</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冷却水补水采用非传统水源：□是，□否；用水量占其总用水量的比例不低于</w:t>
      </w:r>
      <w:r>
        <w:rPr>
          <w:rFonts w:hint="eastAsia" w:asciiTheme="minorEastAsia" w:hAnsiTheme="minorEastAsia" w:eastAsiaTheme="minorEastAsia"/>
          <w:u w:val="single"/>
        </w:rPr>
        <w:t xml:space="preserve">     </w:t>
      </w:r>
      <w:r>
        <w:rPr>
          <w:rFonts w:asciiTheme="minorEastAsia" w:hAnsiTheme="minorEastAsia" w:eastAsiaTheme="minorEastAsia"/>
        </w:rPr>
        <w:t>％</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其它用水采用非传统水源：□是，□否；用水量占其总用水量的比例不低于</w:t>
      </w:r>
      <w:r>
        <w:rPr>
          <w:rFonts w:hint="eastAsia" w:asciiTheme="minorEastAsia" w:hAnsiTheme="minorEastAsia" w:eastAsiaTheme="minorEastAsia"/>
          <w:u w:val="single"/>
        </w:rPr>
        <w:t xml:space="preserve">     </w:t>
      </w:r>
      <w:r>
        <w:rPr>
          <w:rFonts w:asciiTheme="minorEastAsia" w:hAnsiTheme="minorEastAsia" w:eastAsiaTheme="minorEastAsia"/>
        </w:rPr>
        <w:t>％</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使用非传统水源的供水系统采取下列安全措施：</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使用非传统水源对人体健康与周围环境不产生不良影响：□是，□否。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非传统水源管道不与饮用水管道系统、自备水源供水系统连接：□是，□否。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非传统水源管道和设备设置明确、清晰的永久性标识，防止误接、误用、误饮：□是，□否。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采用再生水的绿化供水管网不使用易于产生水雾的喷头：□是，□否。</w:t>
      </w:r>
    </w:p>
    <w:p>
      <w:pPr>
        <w:pStyle w:val="88"/>
        <w:rPr>
          <w:rFonts w:asciiTheme="minorEastAsia" w:hAnsiTheme="minorEastAsia" w:eastAsiaTheme="minorEastAsia"/>
        </w:rPr>
      </w:pPr>
      <w:r>
        <w:rPr>
          <w:rFonts w:hint="eastAsia" w:asciiTheme="minorEastAsia" w:hAnsiTheme="minorEastAsia" w:eastAsiaTheme="minorEastAsia"/>
        </w:rPr>
        <w:t>景观水体设置：本项目设有景观水体：□是，□否；景观水体补充水水源为：_____；景观水体水面面积：_____m²；水体年蒸发量：_____m³</w:t>
      </w:r>
      <w:r>
        <w:rPr>
          <w:rFonts w:hint="eastAsia" w:asciiTheme="minorEastAsia" w:hAnsiTheme="minorEastAsia" w:eastAsiaTheme="minorEastAsia"/>
          <w:vertAlign w:val="superscript"/>
        </w:rPr>
        <w:t xml:space="preserve"> </w:t>
      </w:r>
      <w:r>
        <w:rPr>
          <w:rFonts w:asciiTheme="minorEastAsia" w:hAnsiTheme="minorEastAsia" w:eastAsiaTheme="minorEastAsia"/>
        </w:rPr>
        <w:t>/a</w:t>
      </w:r>
      <w:r>
        <w:rPr>
          <w:rFonts w:hint="eastAsia" w:asciiTheme="minorEastAsia" w:hAnsiTheme="minorEastAsia" w:eastAsiaTheme="minorEastAsia"/>
        </w:rPr>
        <w:t>；雨水补水量占蒸发量比例：_______％ 。</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室外景观水体利用雨水的补水量大于水体蒸发量的</w:t>
      </w:r>
      <w:r>
        <w:rPr>
          <w:rFonts w:asciiTheme="minorEastAsia" w:hAnsiTheme="minorEastAsia" w:eastAsiaTheme="minorEastAsia"/>
        </w:rPr>
        <w:t>60％</w:t>
      </w:r>
      <w:r>
        <w:rPr>
          <w:rFonts w:hint="eastAsia" w:asciiTheme="minorEastAsia" w:hAnsiTheme="minorEastAsia" w:eastAsiaTheme="minorEastAsia"/>
        </w:rPr>
        <w:t>：□是，□否。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景观水水源不采用市政自来水和地下井水：□是，□否。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对进入室外景观水体的雨水，利用生态设施削减径流污染：□是，□否。；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利用水生动、植物保障室外景观水体水质：□是，□否。</w:t>
      </w:r>
    </w:p>
    <w:p>
      <w:pPr>
        <w:pStyle w:val="89"/>
        <w:numPr>
          <w:ilvl w:val="0"/>
          <w:numId w:val="0"/>
        </w:numPr>
        <w:ind w:left="1050"/>
        <w:rPr>
          <w:rFonts w:asciiTheme="minorEastAsia" w:hAnsiTheme="minorEastAsia" w:eastAsiaTheme="minorEastAsia"/>
        </w:rPr>
      </w:pPr>
      <w:r>
        <w:rPr>
          <w:rFonts w:hint="eastAsia" w:asciiTheme="minorEastAsia" w:hAnsiTheme="minorEastAsia" w:eastAsiaTheme="minorEastAsia"/>
        </w:rPr>
        <w:t>简要说明水体水质保障措施：</w:t>
      </w:r>
    </w:p>
    <w:p>
      <w:pPr>
        <w:pStyle w:val="89"/>
        <w:numPr>
          <w:ilvl w:val="0"/>
          <w:numId w:val="0"/>
        </w:numPr>
        <w:ind w:left="1050"/>
        <w:rPr>
          <w:rFonts w:asciiTheme="minorEastAsia" w:hAnsiTheme="minorEastAsia" w:eastAsiaTheme="minorEastAsia"/>
        </w:rPr>
      </w:pPr>
    </w:p>
    <w:p>
      <w:pPr>
        <w:pStyle w:val="89"/>
        <w:numPr>
          <w:ilvl w:val="0"/>
          <w:numId w:val="0"/>
        </w:numPr>
        <w:ind w:left="1050"/>
        <w:rPr>
          <w:rFonts w:asciiTheme="minorEastAsia" w:hAnsiTheme="minorEastAsia" w:eastAsiaTheme="minorEastAsia"/>
        </w:rPr>
      </w:pPr>
    </w:p>
    <w:p>
      <w:pPr>
        <w:pStyle w:val="89"/>
        <w:numPr>
          <w:ilvl w:val="0"/>
          <w:numId w:val="0"/>
        </w:numPr>
        <w:ind w:left="1050"/>
        <w:rPr>
          <w:rFonts w:asciiTheme="minorEastAsia" w:hAnsiTheme="minorEastAsia" w:eastAsiaTheme="minorEastAsia"/>
        </w:rPr>
      </w:pPr>
    </w:p>
    <w:p>
      <w:pPr>
        <w:pStyle w:val="87"/>
        <w:rPr>
          <w:rFonts w:asciiTheme="minorEastAsia" w:hAnsiTheme="minorEastAsia" w:eastAsiaTheme="minorEastAsia"/>
        </w:rPr>
      </w:pPr>
      <w:r>
        <w:rPr>
          <w:rFonts w:hint="eastAsia" w:asciiTheme="minorEastAsia" w:hAnsiTheme="minorEastAsia" w:eastAsiaTheme="minorEastAsia"/>
        </w:rPr>
        <w:t>低影响开发雨水系统：</w:t>
      </w:r>
    </w:p>
    <w:p>
      <w:pPr>
        <w:pStyle w:val="88"/>
        <w:numPr>
          <w:ilvl w:val="1"/>
          <w:numId w:val="48"/>
        </w:numPr>
        <w:rPr>
          <w:rFonts w:asciiTheme="minorEastAsia" w:hAnsiTheme="minorEastAsia" w:eastAsiaTheme="minorEastAsia"/>
        </w:rPr>
      </w:pPr>
      <w:r>
        <w:rPr>
          <w:rFonts w:hint="eastAsia" w:asciiTheme="minorEastAsia" w:hAnsiTheme="minorEastAsia" w:eastAsiaTheme="minorEastAsia"/>
        </w:rPr>
        <w:t>项目建设用地内雨水年径流总量控制率和雨水综合雨量径流系数是否满足当地海绵城市规划控制指标要求：□是，□否。</w:t>
      </w:r>
    </w:p>
    <w:p>
      <w:pPr>
        <w:pStyle w:val="88"/>
        <w:rPr>
          <w:rFonts w:asciiTheme="minorEastAsia" w:hAnsiTheme="minorEastAsia" w:eastAsiaTheme="minorEastAsia"/>
          <w:b/>
        </w:rPr>
      </w:pPr>
      <w:r>
        <w:rPr>
          <w:rFonts w:hint="eastAsia" w:asciiTheme="minorEastAsia" w:hAnsiTheme="minorEastAsia" w:eastAsiaTheme="minorEastAsia"/>
        </w:rPr>
        <w:t>本项目海绵城市规划控制指标为：雨水年径流总量控制率</w:t>
      </w:r>
      <w:r>
        <w:rPr>
          <w:rFonts w:hint="eastAsia" w:asciiTheme="minorEastAsia" w:hAnsiTheme="minorEastAsia" w:eastAsiaTheme="minorEastAsia"/>
          <w:u w:val="single"/>
        </w:rPr>
        <w:t xml:space="preserve">      </w:t>
      </w:r>
      <w:r>
        <w:rPr>
          <w:rFonts w:hint="eastAsia" w:asciiTheme="minorEastAsia" w:hAnsiTheme="minorEastAsia" w:eastAsiaTheme="minorEastAsia"/>
        </w:rPr>
        <w:t>％，雨水综合雨量径流系数</w:t>
      </w:r>
      <w:r>
        <w:rPr>
          <w:rFonts w:hint="eastAsia" w:asciiTheme="minorEastAsia" w:hAnsiTheme="minorEastAsia" w:eastAsiaTheme="minorEastAsia"/>
          <w:u w:val="single"/>
        </w:rPr>
        <w:t xml:space="preserve">     </w:t>
      </w:r>
      <w:r>
        <w:rPr>
          <w:rFonts w:hint="eastAsia" w:asciiTheme="minorEastAsia" w:hAnsiTheme="minorEastAsia" w:eastAsiaTheme="minorEastAsia"/>
        </w:rPr>
        <w:t>；本项目实际达到：雨水年径流总量控制率</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％，年径流总量控制率对应的日降雨量为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mm，雨水综合雨量径流系数</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numPr>
          <w:ilvl w:val="0"/>
          <w:numId w:val="0"/>
        </w:numPr>
        <w:ind w:left="992"/>
        <w:rPr>
          <w:rFonts w:asciiTheme="minorEastAsia" w:hAnsiTheme="minorEastAsia" w:eastAsiaTheme="minorEastAsia"/>
          <w:lang w:val="en-GB"/>
        </w:rPr>
      </w:pPr>
      <w:r>
        <w:rPr>
          <w:rFonts w:hint="eastAsia" w:asciiTheme="minorEastAsia" w:hAnsiTheme="minorEastAsia" w:eastAsiaTheme="minorEastAsia"/>
        </w:rPr>
        <w:t>本工程满足年径流总量控制率要求的控制雨水总量为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m³，其中雨量径流系数控制的雨水量为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m³，应设置的雨水控制与利用设施的总调蓄容量为 </w:t>
      </w:r>
      <w:r>
        <w:rPr>
          <w:rFonts w:hint="eastAsia" w:asciiTheme="minorEastAsia" w:hAnsiTheme="minorEastAsia" w:eastAsiaTheme="minorEastAsia"/>
          <w:u w:val="single"/>
        </w:rPr>
        <w:t xml:space="preserve">       </w:t>
      </w:r>
      <w:r>
        <w:rPr>
          <w:rFonts w:hint="eastAsia" w:asciiTheme="minorEastAsia" w:hAnsiTheme="minorEastAsia" w:eastAsiaTheme="minorEastAsia"/>
        </w:rPr>
        <w:t>m³，利用雨水</w:t>
      </w:r>
      <w:r>
        <w:rPr>
          <w:rFonts w:hint="eastAsia" w:asciiTheme="minorEastAsia" w:hAnsiTheme="minorEastAsia" w:eastAsiaTheme="minorEastAsia"/>
          <w:lang w:val="en-GB"/>
        </w:rPr>
        <w:t>收集设施的调蓄容量为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m³</w:t>
      </w:r>
      <w:r>
        <w:rPr>
          <w:rFonts w:hint="eastAsia" w:asciiTheme="minorEastAsia" w:hAnsiTheme="minorEastAsia" w:eastAsiaTheme="minorEastAsia"/>
          <w:lang w:val="en-GB"/>
        </w:rPr>
        <w:t>，</w:t>
      </w:r>
      <w:r>
        <w:rPr>
          <w:rFonts w:hint="eastAsia" w:asciiTheme="minorEastAsia" w:hAnsiTheme="minorEastAsia" w:eastAsiaTheme="minorEastAsia"/>
        </w:rPr>
        <w:t>其他</w:t>
      </w:r>
      <w:r>
        <w:rPr>
          <w:rFonts w:hint="eastAsia" w:asciiTheme="minorEastAsia" w:hAnsiTheme="minorEastAsia" w:eastAsiaTheme="minorEastAsia"/>
          <w:lang w:val="en-GB"/>
        </w:rPr>
        <w:t>调蓄设施的调蓄容量为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m³。</w:t>
      </w:r>
    </w:p>
    <w:p>
      <w:pPr>
        <w:pStyle w:val="88"/>
        <w:rPr>
          <w:rFonts w:asciiTheme="minorEastAsia" w:hAnsiTheme="minorEastAsia" w:eastAsiaTheme="minorEastAsia"/>
        </w:rPr>
      </w:pPr>
      <w:r>
        <w:rPr>
          <w:rFonts w:hint="eastAsia" w:asciiTheme="minorEastAsia" w:hAnsiTheme="minorEastAsia" w:eastAsiaTheme="minorEastAsia"/>
        </w:rPr>
        <w:t>低影响开发的技术措施： （应与建筑专业一致）</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合理衔接和引导屋面、道路雨水进入地面生态设施，并采取相应的径流污染控制措施：□是，□否；衔接和引导不少于</w:t>
      </w:r>
      <w:r>
        <w:rPr>
          <w:rFonts w:asciiTheme="minorEastAsia" w:hAnsiTheme="minorEastAsia" w:eastAsiaTheme="minorEastAsia"/>
        </w:rPr>
        <w:t xml:space="preserve">80％ </w:t>
      </w:r>
      <w:r>
        <w:rPr>
          <w:rFonts w:hint="eastAsia" w:asciiTheme="minorEastAsia" w:hAnsiTheme="minorEastAsia" w:eastAsiaTheme="minorEastAsia"/>
        </w:rPr>
        <w:t>的屋面雨水进入地面生态设施：□是，□否；衔接和引导不少于</w:t>
      </w:r>
      <w:r>
        <w:rPr>
          <w:rFonts w:asciiTheme="minorEastAsia" w:hAnsiTheme="minorEastAsia" w:eastAsiaTheme="minorEastAsia"/>
        </w:rPr>
        <w:t xml:space="preserve">80％ </w:t>
      </w:r>
      <w:r>
        <w:rPr>
          <w:rFonts w:hint="eastAsia" w:asciiTheme="minorEastAsia" w:hAnsiTheme="minorEastAsia" w:eastAsiaTheme="minorEastAsia"/>
        </w:rPr>
        <w:t>的道路雨水进入地面生态设施：□是，□否。</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 xml:space="preserve">设置屋顶绿化：屋顶绿化面积 </w:t>
      </w:r>
      <w:r>
        <w:rPr>
          <w:rFonts w:hint="eastAsia" w:asciiTheme="minorEastAsia" w:hAnsiTheme="minorEastAsia" w:eastAsiaTheme="minorEastAsia"/>
          <w:u w:val="single"/>
        </w:rPr>
        <w:t xml:space="preserve">       </w:t>
      </w:r>
      <w:r>
        <w:rPr>
          <w:rFonts w:hint="eastAsia" w:asciiTheme="minorEastAsia" w:hAnsiTheme="minorEastAsia" w:eastAsiaTheme="minorEastAsia"/>
        </w:rPr>
        <w:t>m</w:t>
      </w:r>
      <w:r>
        <w:rPr>
          <w:rFonts w:asciiTheme="minorEastAsia" w:hAnsiTheme="minorEastAsia" w:eastAsiaTheme="minorEastAsia"/>
        </w:rPr>
        <w:t>²</w:t>
      </w:r>
      <w:r>
        <w:rPr>
          <w:rFonts w:hint="eastAsia" w:asciiTheme="minorEastAsia" w:hAnsiTheme="minorEastAsia" w:eastAsiaTheme="minorEastAsia"/>
        </w:rPr>
        <w:t xml:space="preserve">；  </w:t>
      </w:r>
    </w:p>
    <w:p>
      <w:pPr>
        <w:pStyle w:val="89"/>
        <w:spacing w:line="400" w:lineRule="exact"/>
        <w:ind w:leftChars="0" w:firstLineChars="0"/>
        <w:rPr>
          <w:rFonts w:asciiTheme="minorEastAsia" w:hAnsiTheme="minorEastAsia" w:eastAsiaTheme="minorEastAsia"/>
        </w:rPr>
      </w:pPr>
      <w:r>
        <w:rPr>
          <w:rFonts w:hint="eastAsia" w:asciiTheme="minorEastAsia" w:hAnsiTheme="minorEastAsia" w:eastAsiaTheme="minorEastAsia"/>
        </w:rPr>
        <w:t xml:space="preserve">设置透水铺装：透水铺装面积 </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m²，硬质铺装地面中透水铺装的比例 </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w:t>
      </w:r>
    </w:p>
    <w:p>
      <w:pPr>
        <w:pStyle w:val="89"/>
        <w:ind w:left="992" w:leftChars="0" w:hanging="567" w:firstLineChars="0"/>
      </w:pPr>
      <w:r>
        <w:rPr>
          <w:rFonts w:hint="eastAsia"/>
        </w:rPr>
        <w:t xml:space="preserve">设置下凹绿地、雨水花园等有调蓄雨水功能的绿地和水体：下凹绿地面积 </w:t>
      </w:r>
      <w:r>
        <w:rPr>
          <w:rFonts w:hint="eastAsia"/>
          <w:u w:val="single"/>
        </w:rPr>
        <w:t xml:space="preserve">        </w:t>
      </w:r>
      <w:r>
        <w:rPr>
          <w:rFonts w:hint="eastAsia"/>
        </w:rPr>
        <w:t>m²，下凹绿地深度</w:t>
      </w:r>
      <w:r>
        <w:rPr>
          <w:rFonts w:hint="eastAsia"/>
          <w:u w:val="single"/>
        </w:rPr>
        <w:t xml:space="preserve">       </w:t>
      </w:r>
      <w:r>
        <w:rPr>
          <w:rFonts w:hint="eastAsia"/>
        </w:rPr>
        <w:t>mm；</w:t>
      </w:r>
      <w:r>
        <w:rPr>
          <w:rFonts w:hint="eastAsia" w:asciiTheme="minorEastAsia" w:hAnsiTheme="minorEastAsia" w:eastAsiaTheme="minorEastAsia"/>
        </w:rPr>
        <w:t>雨水花园面积</w:t>
      </w:r>
      <w:r>
        <w:rPr>
          <w:rFonts w:hint="eastAsia"/>
        </w:rPr>
        <w:t xml:space="preserve"> </w:t>
      </w:r>
      <w:r>
        <w:rPr>
          <w:rFonts w:hint="eastAsia"/>
          <w:u w:val="single"/>
        </w:rPr>
        <w:t xml:space="preserve">        </w:t>
      </w:r>
      <w:r>
        <w:rPr>
          <w:rFonts w:hint="eastAsia" w:asciiTheme="minorEastAsia" w:hAnsiTheme="minorEastAsia" w:eastAsiaTheme="minorEastAsia"/>
        </w:rPr>
        <w:t xml:space="preserve"> m²，雨水花园下凹深度</w:t>
      </w:r>
      <w:r>
        <w:rPr>
          <w:rFonts w:hint="eastAsia"/>
        </w:rPr>
        <w:t xml:space="preserve"> </w:t>
      </w:r>
      <w:r>
        <w:rPr>
          <w:rFonts w:hint="eastAsia"/>
          <w:u w:val="single"/>
        </w:rPr>
        <w:t xml:space="preserve">        </w:t>
      </w:r>
      <w:r>
        <w:rPr>
          <w:rFonts w:hint="eastAsia" w:asciiTheme="minorEastAsia" w:hAnsiTheme="minorEastAsia" w:eastAsiaTheme="minorEastAsia"/>
        </w:rPr>
        <w:t xml:space="preserve"> mm；有调蓄雨水功能的水体</w:t>
      </w:r>
      <w:r>
        <w:rPr>
          <w:rFonts w:hint="eastAsia"/>
        </w:rPr>
        <w:t xml:space="preserve"> </w:t>
      </w:r>
      <w:r>
        <w:rPr>
          <w:rFonts w:hint="eastAsia"/>
          <w:u w:val="single"/>
        </w:rPr>
        <w:t xml:space="preserve">        </w:t>
      </w:r>
      <w:r>
        <w:rPr>
          <w:rFonts w:hint="eastAsia" w:asciiTheme="minorEastAsia" w:hAnsiTheme="minorEastAsia" w:eastAsiaTheme="minorEastAsia"/>
        </w:rPr>
        <w:t xml:space="preserve"> m²，调蓄液位</w:t>
      </w:r>
      <w:r>
        <w:rPr>
          <w:rFonts w:hint="eastAsia"/>
        </w:rPr>
        <w:t xml:space="preserve"> </w:t>
      </w:r>
      <w:r>
        <w:rPr>
          <w:rFonts w:hint="eastAsia"/>
          <w:u w:val="single"/>
        </w:rPr>
        <w:t xml:space="preserve">        </w:t>
      </w:r>
      <w:r>
        <w:rPr>
          <w:rFonts w:hint="eastAsia" w:asciiTheme="minorEastAsia" w:hAnsiTheme="minorEastAsia" w:eastAsiaTheme="minorEastAsia"/>
        </w:rPr>
        <w:t xml:space="preserve"> mm；</w:t>
      </w:r>
      <w:r>
        <w:rPr>
          <w:rFonts w:hint="eastAsia"/>
        </w:rPr>
        <w:t>下凹式绿地、雨水花园等有调蓄雨水功能的绿地和水体的面积之和占绿地面积的比例达到</w:t>
      </w:r>
      <w:r>
        <w:t>40％</w:t>
      </w:r>
      <w:r>
        <w:rPr>
          <w:rFonts w:hint="eastAsia"/>
        </w:rPr>
        <w:t>：□是；□否；下凹式绿地、雨水花园等有调蓄雨水功能的绿地和水体的面积之和占绿地面积的比例达到</w:t>
      </w:r>
      <w:r>
        <w:t>60％</w:t>
      </w:r>
      <w:r>
        <w:rPr>
          <w:rFonts w:hint="eastAsia"/>
        </w:rPr>
        <w:t>：□是；□否。</w:t>
      </w:r>
    </w:p>
    <w:p>
      <w:pPr>
        <w:pStyle w:val="88"/>
        <w:rPr>
          <w:rFonts w:asciiTheme="minorEastAsia" w:hAnsiTheme="minorEastAsia" w:eastAsiaTheme="minorEastAsia"/>
        </w:rPr>
      </w:pPr>
      <w:r>
        <w:rPr>
          <w:rFonts w:hint="eastAsia" w:asciiTheme="minorEastAsia" w:hAnsiTheme="minorEastAsia" w:eastAsiaTheme="minorEastAsia"/>
        </w:rPr>
        <w:t>其他设施：</w:t>
      </w:r>
    </w:p>
    <w:p>
      <w:pPr>
        <w:pStyle w:val="89"/>
        <w:numPr>
          <w:ilvl w:val="0"/>
          <w:numId w:val="0"/>
        </w:numPr>
        <w:ind w:left="1050"/>
        <w:rPr>
          <w:rFonts w:asciiTheme="minorEastAsia" w:hAnsiTheme="minorEastAsia" w:eastAsiaTheme="minorEastAsia"/>
        </w:rPr>
      </w:pPr>
    </w:p>
    <w:p>
      <w:pPr>
        <w:pStyle w:val="89"/>
        <w:numPr>
          <w:ilvl w:val="0"/>
          <w:numId w:val="0"/>
        </w:numPr>
        <w:ind w:left="1050"/>
        <w:rPr>
          <w:rFonts w:asciiTheme="minorEastAsia" w:hAnsiTheme="minorEastAsia" w:eastAsiaTheme="minorEastAsia"/>
        </w:rPr>
      </w:pPr>
    </w:p>
    <w:p>
      <w:pPr>
        <w:pStyle w:val="89"/>
        <w:numPr>
          <w:ilvl w:val="0"/>
          <w:numId w:val="0"/>
        </w:numPr>
        <w:ind w:left="1050"/>
        <w:rPr>
          <w:rFonts w:asciiTheme="minorEastAsia" w:hAnsiTheme="minorEastAsia" w:eastAsiaTheme="minorEastAsia"/>
        </w:rPr>
      </w:pPr>
    </w:p>
    <w:p>
      <w:pPr>
        <w:pStyle w:val="89"/>
        <w:numPr>
          <w:ilvl w:val="0"/>
          <w:numId w:val="0"/>
        </w:numPr>
        <w:ind w:left="1050"/>
        <w:rPr>
          <w:rFonts w:asciiTheme="minorEastAsia" w:hAnsiTheme="minorEastAsia" w:eastAsiaTheme="minorEastAsia"/>
        </w:rPr>
      </w:pPr>
    </w:p>
    <w:p>
      <w:pPr>
        <w:pStyle w:val="89"/>
        <w:numPr>
          <w:ilvl w:val="0"/>
          <w:numId w:val="0"/>
        </w:numPr>
        <w:ind w:left="1050"/>
        <w:rPr>
          <w:rFonts w:asciiTheme="minorEastAsia" w:hAnsiTheme="minorEastAsia" w:eastAsiaTheme="minorEastAsia"/>
        </w:rPr>
      </w:pPr>
    </w:p>
    <w:p>
      <w:pPr>
        <w:pStyle w:val="87"/>
        <w:rPr>
          <w:rFonts w:asciiTheme="minorEastAsia" w:hAnsiTheme="minorEastAsia" w:eastAsiaTheme="minorEastAsia"/>
        </w:rPr>
      </w:pPr>
      <w:r>
        <w:rPr>
          <w:rFonts w:hint="eastAsia" w:asciiTheme="minorEastAsia" w:hAnsiTheme="minorEastAsia" w:eastAsiaTheme="minorEastAsia"/>
        </w:rPr>
        <w:t>分期建设项目可再生能源应用设施设置说明：</w:t>
      </w: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pStyle w:val="87"/>
        <w:rPr>
          <w:rFonts w:asciiTheme="minorEastAsia" w:hAnsiTheme="minorEastAsia" w:eastAsiaTheme="minorEastAsia"/>
        </w:rPr>
      </w:pPr>
      <w:r>
        <w:rPr>
          <w:rFonts w:hint="eastAsia" w:asciiTheme="minorEastAsia" w:hAnsiTheme="minorEastAsia" w:eastAsiaTheme="minorEastAsia"/>
        </w:rPr>
        <w:t>如有采用其他绿色设计措施，请做简要说明：</w:t>
      </w: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spacing w:line="276" w:lineRule="auto"/>
        <w:ind w:firstLine="361"/>
        <w:jc w:val="left"/>
        <w:rPr>
          <w:rFonts w:asciiTheme="minorEastAsia" w:hAnsiTheme="minorEastAsia" w:eastAsiaTheme="minorEastAsia"/>
          <w:b/>
          <w:sz w:val="18"/>
          <w:szCs w:val="18"/>
        </w:rPr>
      </w:pPr>
    </w:p>
    <w:p>
      <w:pPr>
        <w:pStyle w:val="87"/>
        <w:rPr>
          <w:rFonts w:asciiTheme="minorEastAsia" w:hAnsiTheme="minorEastAsia" w:eastAsiaTheme="minorEastAsia"/>
        </w:rPr>
      </w:pPr>
      <w:r>
        <w:rPr>
          <w:rFonts w:hint="eastAsia" w:asciiTheme="minorEastAsia" w:hAnsiTheme="minorEastAsia" w:eastAsiaTheme="minorEastAsia"/>
        </w:rPr>
        <w:t>以上填写结果如有需要解释说明的事项，列出序号和说明内容：</w:t>
      </w:r>
    </w:p>
    <w:p>
      <w:pPr>
        <w:pStyle w:val="87"/>
        <w:numPr>
          <w:ilvl w:val="0"/>
          <w:numId w:val="0"/>
        </w:numPr>
        <w:ind w:left="425"/>
        <w:rPr>
          <w:rFonts w:asciiTheme="minorEastAsia" w:hAnsiTheme="minorEastAsia" w:eastAsiaTheme="minorEastAsia"/>
        </w:rPr>
      </w:pPr>
    </w:p>
    <w:p>
      <w:pPr>
        <w:ind w:firstLine="420"/>
        <w:rPr>
          <w:rFonts w:asciiTheme="minorEastAsia" w:hAnsiTheme="minorEastAsia" w:eastAsiaTheme="minorEastAsia"/>
        </w:rPr>
      </w:pPr>
    </w:p>
    <w:p>
      <w:pPr>
        <w:widowControl/>
        <w:spacing w:line="360" w:lineRule="auto"/>
        <w:ind w:firstLine="482"/>
        <w:jc w:val="left"/>
        <w:outlineLvl w:val="0"/>
        <w:rPr>
          <w:rFonts w:asciiTheme="minorEastAsia" w:hAnsiTheme="minorEastAsia" w:eastAsiaTheme="minorEastAsia"/>
          <w:b/>
          <w:bCs/>
          <w:kern w:val="0"/>
          <w:sz w:val="24"/>
        </w:rPr>
        <w:sectPr>
          <w:headerReference r:id="rId14" w:type="default"/>
          <w:pgSz w:w="23814" w:h="16840" w:orient="landscape"/>
          <w:pgMar w:top="1134" w:right="1134" w:bottom="1134" w:left="1134" w:header="851" w:footer="992" w:gutter="0"/>
          <w:cols w:space="630" w:num="2"/>
          <w:docGrid w:type="lines" w:linePitch="312" w:charSpace="0"/>
        </w:sectPr>
      </w:pPr>
    </w:p>
    <w:p>
      <w:pPr>
        <w:pStyle w:val="63"/>
        <w:ind w:firstLine="0"/>
        <w:rPr>
          <w:rFonts w:asciiTheme="minorEastAsia" w:hAnsiTheme="minorEastAsia" w:eastAsiaTheme="minorEastAsia"/>
          <w:b/>
        </w:rPr>
      </w:pPr>
      <w:bookmarkStart w:id="14" w:name="_Toc109325929"/>
      <w:bookmarkStart w:id="15" w:name="_Toc109325293"/>
      <w:r>
        <w:rPr>
          <w:rFonts w:hint="eastAsia" w:asciiTheme="minorEastAsia" w:hAnsiTheme="minorEastAsia" w:eastAsiaTheme="minorEastAsia"/>
          <w:b/>
        </w:rPr>
        <w:t>一、暖通主要设计依据</w:t>
      </w:r>
      <w:bookmarkEnd w:id="14"/>
      <w:bookmarkEnd w:id="15"/>
    </w:p>
    <w:p>
      <w:pPr>
        <w:numPr>
          <w:ilvl w:val="0"/>
          <w:numId w:val="49"/>
        </w:numPr>
        <w:autoSpaceDE w:val="0"/>
        <w:autoSpaceDN w:val="0"/>
        <w:adjustRightInd w:val="0"/>
        <w:spacing w:line="400" w:lineRule="exact"/>
        <w:ind w:firstLine="5"/>
        <w:jc w:val="left"/>
        <w:rPr>
          <w:rFonts w:asciiTheme="minorEastAsia" w:hAnsiTheme="minorEastAsia" w:eastAsiaTheme="minorEastAsia"/>
          <w:szCs w:val="21"/>
        </w:rPr>
      </w:pPr>
      <w:r>
        <w:rPr>
          <w:rFonts w:hint="eastAsia" w:asciiTheme="minorEastAsia" w:hAnsiTheme="minorEastAsia" w:eastAsiaTheme="minorEastAsia"/>
          <w:szCs w:val="21"/>
        </w:rPr>
        <w:t>《浙江省绿色建筑条例》；</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《绿色建筑评价标准》GB/T 50378-2019；</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 xml:space="preserve">《民用建筑供暖通风与空气调节设计规范》 </w:t>
      </w:r>
      <w:r>
        <w:rPr>
          <w:rFonts w:asciiTheme="minorEastAsia" w:hAnsiTheme="minorEastAsia" w:eastAsiaTheme="minorEastAsia"/>
          <w:szCs w:val="21"/>
        </w:rPr>
        <w:t>GB</w:t>
      </w:r>
      <w:r>
        <w:rPr>
          <w:rFonts w:hint="eastAsia" w:asciiTheme="minorEastAsia" w:hAnsiTheme="minorEastAsia" w:eastAsiaTheme="minorEastAsia"/>
          <w:szCs w:val="21"/>
        </w:rPr>
        <w:t xml:space="preserve"> </w:t>
      </w:r>
      <w:r>
        <w:rPr>
          <w:rFonts w:asciiTheme="minorEastAsia" w:hAnsiTheme="minorEastAsia" w:eastAsiaTheme="minorEastAsia"/>
          <w:szCs w:val="21"/>
        </w:rPr>
        <w:t>50736-</w:t>
      </w:r>
      <w:r>
        <w:rPr>
          <w:rFonts w:hint="eastAsia" w:asciiTheme="minorEastAsia" w:hAnsiTheme="minorEastAsia" w:eastAsiaTheme="minorEastAsia"/>
          <w:szCs w:val="21"/>
        </w:rPr>
        <w:t>2012；</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《锅炉房设计规范》 GB 50041-2020；</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《民用建筑设计统一标准》GB 50352-2019；</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《建筑节能与可再生能源利用通用规范》GB 55015-2021；</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《公共建筑节能设计标准》 GB 50189-2015；</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浙江省《公共建筑节能设计标准》DB 33/1036-2021</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浙江省《居住建筑节能设计标准》DB 33/1015-2021</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 xml:space="preserve">《民用建筑热工设计规范》 </w:t>
      </w:r>
      <w:r>
        <w:rPr>
          <w:rFonts w:asciiTheme="minorEastAsia" w:hAnsiTheme="minorEastAsia" w:eastAsiaTheme="minorEastAsia"/>
          <w:szCs w:val="21"/>
        </w:rPr>
        <w:t>GB</w:t>
      </w:r>
      <w:r>
        <w:rPr>
          <w:rFonts w:hint="eastAsia" w:asciiTheme="minorEastAsia" w:hAnsiTheme="minorEastAsia" w:eastAsiaTheme="minorEastAsia"/>
          <w:szCs w:val="21"/>
        </w:rPr>
        <w:t xml:space="preserve"> </w:t>
      </w:r>
      <w:r>
        <w:rPr>
          <w:rFonts w:asciiTheme="minorEastAsia" w:hAnsiTheme="minorEastAsia" w:eastAsiaTheme="minorEastAsia"/>
          <w:szCs w:val="21"/>
        </w:rPr>
        <w:t>50176-</w:t>
      </w:r>
      <w:r>
        <w:rPr>
          <w:rFonts w:hint="eastAsia" w:asciiTheme="minorEastAsia" w:hAnsiTheme="minorEastAsia" w:eastAsiaTheme="minorEastAsia"/>
          <w:szCs w:val="21"/>
        </w:rPr>
        <w:t>2016；</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 xml:space="preserve">浙江省《绿色建筑设计标准》 </w:t>
      </w:r>
      <w:r>
        <w:rPr>
          <w:rFonts w:asciiTheme="minorEastAsia" w:hAnsiTheme="minorEastAsia" w:eastAsiaTheme="minorEastAsia"/>
          <w:szCs w:val="21"/>
        </w:rPr>
        <w:t>DB</w:t>
      </w:r>
      <w:r>
        <w:rPr>
          <w:rFonts w:hint="eastAsia" w:asciiTheme="minorEastAsia" w:hAnsiTheme="minorEastAsia" w:eastAsiaTheme="minorEastAsia"/>
          <w:szCs w:val="21"/>
        </w:rPr>
        <w:t xml:space="preserve"> </w:t>
      </w:r>
      <w:r>
        <w:rPr>
          <w:rFonts w:asciiTheme="minorEastAsia" w:hAnsiTheme="minorEastAsia" w:eastAsiaTheme="minorEastAsia"/>
          <w:szCs w:val="21"/>
        </w:rPr>
        <w:t>33/1092</w:t>
      </w:r>
      <w:r>
        <w:rPr>
          <w:rFonts w:hint="eastAsia" w:asciiTheme="minorEastAsia" w:hAnsiTheme="minorEastAsia" w:eastAsiaTheme="minorEastAsia"/>
          <w:szCs w:val="21"/>
        </w:rPr>
        <w:t>-</w:t>
      </w:r>
      <w:r>
        <w:rPr>
          <w:rFonts w:asciiTheme="minorEastAsia" w:hAnsiTheme="minorEastAsia" w:eastAsiaTheme="minorEastAsia"/>
          <w:szCs w:val="21"/>
        </w:rPr>
        <w:t>2021</w:t>
      </w:r>
      <w:r>
        <w:rPr>
          <w:rFonts w:hint="eastAsia" w:asciiTheme="minorEastAsia" w:hAnsiTheme="minorEastAsia" w:eastAsiaTheme="minorEastAsia"/>
          <w:szCs w:val="21"/>
        </w:rPr>
        <w:t>；</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w:t>
      </w:r>
      <w:r>
        <w:fldChar w:fldCharType="begin"/>
      </w:r>
      <w:r>
        <w:instrText xml:space="preserve"> HYPERLINK "http://www.jianbiaoku.com/webarbs/book/152877/4702815.shtml" \t "_self" </w:instrText>
      </w:r>
      <w:r>
        <w:fldChar w:fldCharType="separate"/>
      </w:r>
      <w:r>
        <w:rPr>
          <w:rFonts w:hint="eastAsia" w:asciiTheme="minorEastAsia" w:hAnsiTheme="minorEastAsia" w:eastAsiaTheme="minorEastAsia"/>
          <w:szCs w:val="21"/>
        </w:rPr>
        <w:t>通风机能效限定值及能效等级》GB</w:t>
      </w:r>
      <w:r>
        <w:rPr>
          <w:rFonts w:asciiTheme="minorEastAsia" w:hAnsiTheme="minorEastAsia" w:eastAsiaTheme="minorEastAsia"/>
          <w:szCs w:val="21"/>
        </w:rPr>
        <w:t xml:space="preserve"> </w:t>
      </w:r>
      <w:r>
        <w:rPr>
          <w:rFonts w:hint="eastAsia" w:asciiTheme="minorEastAsia" w:hAnsiTheme="minorEastAsia" w:eastAsiaTheme="minorEastAsia"/>
          <w:szCs w:val="21"/>
        </w:rPr>
        <w:t>19761-2020</w:t>
      </w:r>
      <w:r>
        <w:rPr>
          <w:rFonts w:hint="eastAsia" w:asciiTheme="minorEastAsia" w:hAnsiTheme="minorEastAsia" w:eastAsiaTheme="minorEastAsia"/>
          <w:szCs w:val="21"/>
        </w:rPr>
        <w:fldChar w:fldCharType="end"/>
      </w:r>
      <w:r>
        <w:rPr>
          <w:rFonts w:hint="eastAsia" w:asciiTheme="minorEastAsia" w:hAnsiTheme="minorEastAsia" w:eastAsiaTheme="minorEastAsia"/>
          <w:szCs w:val="21"/>
        </w:rPr>
        <w:t>；</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《清水离心泵能效限定值及节能评价值》GB 19762-2007；</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节能评估报告书（表）；</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建设单位提供的文件资料要求；</w:t>
      </w:r>
    </w:p>
    <w:p>
      <w:pPr>
        <w:numPr>
          <w:ilvl w:val="0"/>
          <w:numId w:val="49"/>
        </w:numPr>
        <w:autoSpaceDE w:val="0"/>
        <w:autoSpaceDN w:val="0"/>
        <w:adjustRightInd w:val="0"/>
        <w:spacing w:line="400" w:lineRule="exact"/>
        <w:ind w:firstLine="4" w:firstLineChars="2"/>
        <w:jc w:val="left"/>
        <w:rPr>
          <w:rFonts w:asciiTheme="minorEastAsia" w:hAnsiTheme="minorEastAsia" w:eastAsiaTheme="minorEastAsia"/>
          <w:szCs w:val="21"/>
        </w:rPr>
      </w:pPr>
      <w:r>
        <w:rPr>
          <w:rFonts w:cs="宋体" w:asciiTheme="minorEastAsia" w:hAnsiTheme="minorEastAsia" w:eastAsiaTheme="minorEastAsia"/>
          <w:kern w:val="0"/>
          <w:szCs w:val="21"/>
        </w:rPr>
        <w:t>现行国家、</w:t>
      </w:r>
      <w:r>
        <w:rPr>
          <w:rFonts w:hint="eastAsia" w:cs="宋体" w:asciiTheme="minorEastAsia" w:hAnsiTheme="minorEastAsia" w:eastAsiaTheme="minorEastAsia"/>
          <w:kern w:val="0"/>
          <w:szCs w:val="21"/>
        </w:rPr>
        <w:t>行业、地方</w:t>
      </w:r>
      <w:r>
        <w:rPr>
          <w:rFonts w:cs="宋体" w:asciiTheme="minorEastAsia" w:hAnsiTheme="minorEastAsia" w:eastAsiaTheme="minorEastAsia"/>
          <w:kern w:val="0"/>
          <w:szCs w:val="21"/>
        </w:rPr>
        <w:t>相关</w:t>
      </w:r>
      <w:r>
        <w:rPr>
          <w:rFonts w:hint="eastAsia" w:cs="宋体" w:asciiTheme="minorEastAsia" w:hAnsiTheme="minorEastAsia" w:eastAsiaTheme="minorEastAsia"/>
          <w:kern w:val="0"/>
          <w:szCs w:val="21"/>
        </w:rPr>
        <w:t>绿色建筑与</w:t>
      </w:r>
      <w:r>
        <w:rPr>
          <w:rFonts w:cs="宋体" w:asciiTheme="minorEastAsia" w:hAnsiTheme="minorEastAsia" w:eastAsiaTheme="minorEastAsia"/>
          <w:kern w:val="0"/>
          <w:szCs w:val="21"/>
        </w:rPr>
        <w:t>节能</w:t>
      </w:r>
      <w:r>
        <w:rPr>
          <w:rFonts w:hint="eastAsia" w:cs="宋体" w:asciiTheme="minorEastAsia" w:hAnsiTheme="minorEastAsia" w:eastAsiaTheme="minorEastAsia"/>
          <w:kern w:val="0"/>
          <w:szCs w:val="21"/>
        </w:rPr>
        <w:t>的</w:t>
      </w:r>
      <w:r>
        <w:rPr>
          <w:rFonts w:cs="宋体" w:asciiTheme="minorEastAsia" w:hAnsiTheme="minorEastAsia" w:eastAsiaTheme="minorEastAsia"/>
          <w:kern w:val="0"/>
          <w:szCs w:val="21"/>
        </w:rPr>
        <w:t>法律、法规</w:t>
      </w:r>
      <w:r>
        <w:rPr>
          <w:rFonts w:hint="eastAsia" w:cs="宋体" w:asciiTheme="minorEastAsia" w:hAnsiTheme="minorEastAsia" w:eastAsiaTheme="minorEastAsia"/>
          <w:kern w:val="0"/>
          <w:szCs w:val="21"/>
        </w:rPr>
        <w:t>和规范性文件</w:t>
      </w:r>
      <w:r>
        <w:rPr>
          <w:rFonts w:hint="eastAsia" w:asciiTheme="minorEastAsia" w:hAnsiTheme="minorEastAsia" w:eastAsiaTheme="minorEastAsia"/>
          <w:szCs w:val="21"/>
        </w:rPr>
        <w:t>。</w:t>
      </w:r>
    </w:p>
    <w:p>
      <w:pPr>
        <w:autoSpaceDE w:val="0"/>
        <w:autoSpaceDN w:val="0"/>
        <w:adjustRightInd w:val="0"/>
        <w:spacing w:line="400" w:lineRule="exact"/>
        <w:ind w:left="704" w:firstLine="420"/>
        <w:jc w:val="left"/>
        <w:rPr>
          <w:rFonts w:asciiTheme="minorEastAsia" w:hAnsiTheme="minorEastAsia" w:eastAsiaTheme="minorEastAsia"/>
          <w:szCs w:val="21"/>
        </w:rPr>
      </w:pPr>
    </w:p>
    <w:p>
      <w:pPr>
        <w:pStyle w:val="63"/>
        <w:ind w:firstLine="0"/>
        <w:rPr>
          <w:rFonts w:asciiTheme="minorEastAsia" w:hAnsiTheme="minorEastAsia" w:eastAsiaTheme="minorEastAsia"/>
          <w:b/>
        </w:rPr>
      </w:pPr>
      <w:bookmarkStart w:id="16" w:name="_Toc109325294"/>
      <w:bookmarkStart w:id="17" w:name="_Toc109325930"/>
      <w:r>
        <w:rPr>
          <w:rFonts w:hint="eastAsia" w:asciiTheme="minorEastAsia" w:hAnsiTheme="minorEastAsia" w:eastAsiaTheme="minorEastAsia"/>
          <w:b/>
        </w:rPr>
        <w:t>二、暖通</w:t>
      </w:r>
      <w:r>
        <w:rPr>
          <w:rFonts w:asciiTheme="minorEastAsia" w:hAnsiTheme="minorEastAsia" w:eastAsiaTheme="minorEastAsia"/>
          <w:b/>
        </w:rPr>
        <w:t>设计技术措施</w:t>
      </w:r>
      <w:r>
        <w:rPr>
          <w:rFonts w:hint="eastAsia" w:asciiTheme="minorEastAsia" w:hAnsiTheme="minorEastAsia" w:eastAsiaTheme="minorEastAsia"/>
          <w:b/>
        </w:rPr>
        <w:t>:</w:t>
      </w:r>
      <w:bookmarkEnd w:id="16"/>
      <w:bookmarkEnd w:id="17"/>
    </w:p>
    <w:p>
      <w:pPr>
        <w:spacing w:line="360" w:lineRule="auto"/>
        <w:ind w:firstLine="482"/>
        <w:rPr>
          <w:rFonts w:asciiTheme="minorEastAsia" w:hAnsiTheme="minorEastAsia" w:eastAsiaTheme="minorEastAsia"/>
          <w:b/>
          <w:bCs/>
          <w:kern w:val="0"/>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w:t>
      </w:r>
      <w:r>
        <w:rPr>
          <w:rFonts w:asciiTheme="minorEastAsia" w:hAnsiTheme="minorEastAsia"/>
          <w:b/>
          <w:sz w:val="24"/>
        </w:rPr>
        <w:t xml:space="preserve">□ </w:t>
      </w:r>
      <w:r>
        <w:rPr>
          <w:rFonts w:hint="eastAsia" w:asciiTheme="minorEastAsia" w:hAnsiTheme="minorEastAsia"/>
          <w:b/>
          <w:sz w:val="24"/>
        </w:rPr>
        <w:t>一</w:t>
      </w:r>
      <w:r>
        <w:rPr>
          <w:rFonts w:asciiTheme="minorEastAsia" w:hAnsiTheme="minorEastAsia"/>
          <w:b/>
          <w:sz w:val="24"/>
        </w:rPr>
        <w:t>星级</w:t>
      </w:r>
      <w:r>
        <w:rPr>
          <w:rFonts w:hint="eastAsia" w:asciiTheme="minorEastAsia" w:hAnsiTheme="minorEastAsia"/>
          <w:b/>
          <w:sz w:val="24"/>
        </w:rPr>
        <w:t>；</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rPr>
        <w:t>暖通</w:t>
      </w:r>
      <w:r>
        <w:rPr>
          <w:rFonts w:hint="eastAsia" w:asciiTheme="minorEastAsia" w:hAnsiTheme="minorEastAsia" w:eastAsiaTheme="minorEastAsia"/>
          <w:b/>
          <w:sz w:val="24"/>
          <w:lang w:val="en-GB"/>
        </w:rPr>
        <w:t>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50"/>
        </w:numPr>
        <w:rPr>
          <w:rFonts w:asciiTheme="minorEastAsia" w:hAnsiTheme="minorEastAsia" w:eastAsiaTheme="minorEastAsia"/>
          <w:kern w:val="24"/>
        </w:rPr>
      </w:pPr>
      <w:r>
        <w:rPr>
          <w:rFonts w:hint="eastAsia" w:asciiTheme="minorEastAsia" w:hAnsiTheme="minorEastAsia" w:eastAsiaTheme="minorEastAsia"/>
          <w:kern w:val="24"/>
        </w:rPr>
        <w:t>暖通空调设计满足现行国家与浙江省规范与标准的强制性条文要求。</w:t>
      </w:r>
    </w:p>
    <w:p>
      <w:pPr>
        <w:pStyle w:val="90"/>
        <w:numPr>
          <w:ilvl w:val="0"/>
          <w:numId w:val="50"/>
        </w:numPr>
        <w:rPr>
          <w:rFonts w:asciiTheme="minorEastAsia" w:hAnsiTheme="minorEastAsia" w:eastAsiaTheme="minorEastAsia"/>
          <w:kern w:val="24"/>
        </w:rPr>
      </w:pPr>
      <w:r>
        <w:rPr>
          <w:rFonts w:hint="eastAsia" w:asciiTheme="minorEastAsia" w:hAnsiTheme="minorEastAsia" w:eastAsiaTheme="minorEastAsia"/>
          <w:kern w:val="24"/>
        </w:rPr>
        <w:t>未采用电直接加热设备作为供暖空调系统的供暖热源和空气加湿热源。</w:t>
      </w:r>
    </w:p>
    <w:p>
      <w:pPr>
        <w:pStyle w:val="90"/>
        <w:numPr>
          <w:ilvl w:val="0"/>
          <w:numId w:val="50"/>
        </w:numPr>
        <w:rPr>
          <w:rFonts w:asciiTheme="minorEastAsia" w:hAnsiTheme="minorEastAsia" w:eastAsiaTheme="minorEastAsia"/>
          <w:kern w:val="24"/>
        </w:rPr>
      </w:pPr>
      <w:r>
        <w:rPr>
          <w:rFonts w:hint="eastAsia" w:asciiTheme="minorEastAsia" w:hAnsiTheme="minorEastAsia" w:eastAsiaTheme="minorEastAsia"/>
          <w:kern w:val="24"/>
        </w:rPr>
        <w:t>冷热源、输配系统和照明等各部分能耗进行独立分项计量。</w:t>
      </w:r>
    </w:p>
    <w:p>
      <w:pPr>
        <w:pStyle w:val="90"/>
        <w:numPr>
          <w:ilvl w:val="0"/>
          <w:numId w:val="50"/>
        </w:numPr>
        <w:rPr>
          <w:rFonts w:asciiTheme="minorEastAsia" w:hAnsiTheme="minorEastAsia" w:eastAsiaTheme="minorEastAsia"/>
          <w:kern w:val="24"/>
        </w:rPr>
      </w:pPr>
      <w:r>
        <w:rPr>
          <w:rFonts w:hint="eastAsia" w:asciiTheme="minorEastAsia" w:hAnsiTheme="minorEastAsia" w:eastAsiaTheme="minorEastAsia"/>
          <w:kern w:val="24"/>
        </w:rPr>
        <w:t>采用集中供暖空调系统的建筑，房间内的温度、湿度、新风量等设计参数符合现行国家标准《民用建筑供暖通风与空气调节设计规范》</w:t>
      </w:r>
      <w:r>
        <w:rPr>
          <w:rFonts w:asciiTheme="minorEastAsia" w:hAnsiTheme="minorEastAsia" w:eastAsiaTheme="minorEastAsia"/>
          <w:kern w:val="24"/>
        </w:rPr>
        <w:t>GB 50736</w:t>
      </w:r>
      <w:r>
        <w:rPr>
          <w:rFonts w:hint="eastAsia" w:asciiTheme="minorEastAsia" w:hAnsiTheme="minorEastAsia" w:eastAsiaTheme="minorEastAsia"/>
          <w:kern w:val="24"/>
        </w:rPr>
        <w:t>的规定。根据建筑空间功能设置分区温度，合理降低室内过渡区空间的温度设定标准。</w:t>
      </w:r>
    </w:p>
    <w:p>
      <w:pPr>
        <w:pStyle w:val="90"/>
        <w:numPr>
          <w:ilvl w:val="0"/>
          <w:numId w:val="50"/>
        </w:numPr>
        <w:rPr>
          <w:rFonts w:asciiTheme="minorEastAsia" w:hAnsiTheme="minorEastAsia" w:eastAsiaTheme="minorEastAsia"/>
          <w:kern w:val="24"/>
        </w:rPr>
      </w:pPr>
      <w:r>
        <w:rPr>
          <w:rFonts w:hint="eastAsia" w:asciiTheme="minorEastAsia" w:hAnsiTheme="minorEastAsia" w:eastAsiaTheme="minorEastAsia"/>
          <w:kern w:val="24"/>
        </w:rPr>
        <w:t>根据房间的朝向及内部功能，合理划分供暖、空调区域，对系统进行分区控制。</w:t>
      </w:r>
    </w:p>
    <w:p>
      <w:pPr>
        <w:pStyle w:val="90"/>
        <w:numPr>
          <w:ilvl w:val="0"/>
          <w:numId w:val="50"/>
        </w:numPr>
        <w:rPr>
          <w:rFonts w:asciiTheme="minorEastAsia" w:hAnsiTheme="minorEastAsia" w:eastAsiaTheme="minorEastAsia"/>
          <w:kern w:val="24"/>
        </w:rPr>
      </w:pPr>
      <w:r>
        <w:rPr>
          <w:rFonts w:hint="eastAsia" w:asciiTheme="minorEastAsia" w:hAnsiTheme="minorEastAsia" w:eastAsiaTheme="minorEastAsia"/>
          <w:kern w:val="24"/>
        </w:rPr>
        <w:t>采取措施避免吸烟室、复印室、打印室、垃圾间、清洁间、公共卫生间、地下车库等产生的异味或污染物影响人员活动区域。住宅厨房及卫生间的排气道的设计符合相关国家标准，并采取防倒灌的措施。</w:t>
      </w:r>
    </w:p>
    <w:p>
      <w:pPr>
        <w:pStyle w:val="90"/>
        <w:ind w:left="420"/>
        <w:rPr>
          <w:rFonts w:asciiTheme="minorEastAsia" w:hAnsiTheme="minorEastAsia" w:eastAsiaTheme="minorEastAsia"/>
          <w:bCs/>
          <w:kern w:val="0"/>
        </w:rPr>
      </w:pP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51"/>
        </w:numPr>
        <w:spacing w:before="156" w:beforeLines="50"/>
        <w:rPr>
          <w:rFonts w:asciiTheme="minorEastAsia" w:hAnsiTheme="minorEastAsia" w:eastAsiaTheme="minorEastAsia"/>
          <w:kern w:val="24"/>
          <w:u w:val="single"/>
        </w:rPr>
      </w:pPr>
      <w:r>
        <w:rPr>
          <w:rFonts w:hint="eastAsia" w:asciiTheme="minorEastAsia" w:hAnsiTheme="minorEastAsia" w:eastAsiaTheme="minorEastAsia"/>
          <w:kern w:val="24"/>
        </w:rPr>
        <w:t xml:space="preserve">室外空气计算参数 </w:t>
      </w:r>
      <w:r>
        <w:rPr>
          <w:rFonts w:asciiTheme="minorEastAsia" w:hAnsiTheme="minorEastAsia" w:eastAsiaTheme="minorEastAsia"/>
          <w:kern w:val="24"/>
        </w:rPr>
        <w:t>(</w:t>
      </w:r>
      <w:r>
        <w:rPr>
          <w:rFonts w:hint="eastAsia" w:asciiTheme="minorEastAsia" w:hAnsiTheme="minorEastAsia" w:eastAsiaTheme="minorEastAsia"/>
          <w:kern w:val="24"/>
        </w:rPr>
        <w:t>杭州市气象参数</w:t>
      </w:r>
      <w:r>
        <w:rPr>
          <w:rFonts w:asciiTheme="minorEastAsia" w:hAnsiTheme="minorEastAsia" w:eastAsiaTheme="minorEastAsia"/>
          <w:kern w:val="24"/>
        </w:rPr>
        <w:t>)</w:t>
      </w:r>
      <w:r>
        <w:rPr>
          <w:rFonts w:hint="eastAsia" w:asciiTheme="minorEastAsia" w:hAnsiTheme="minorEastAsia" w:eastAsiaTheme="minorEastAsia"/>
          <w:kern w:val="24"/>
        </w:rPr>
        <w:t>：</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1"/>
        <w:gridCol w:w="1183"/>
        <w:gridCol w:w="2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2"/>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设计用室外气象参数</w:t>
            </w:r>
          </w:p>
        </w:tc>
        <w:tc>
          <w:tcPr>
            <w:tcW w:w="591" w:type="pct"/>
            <w:shd w:val="clear" w:color="auto" w:fill="auto"/>
            <w:vAlign w:val="bottom"/>
          </w:tcPr>
          <w:p>
            <w:pPr>
              <w:ind w:firstLine="422"/>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单位</w:t>
            </w:r>
          </w:p>
        </w:tc>
        <w:tc>
          <w:tcPr>
            <w:tcW w:w="1456" w:type="pct"/>
            <w:shd w:val="clear" w:color="auto" w:fill="auto"/>
            <w:vAlign w:val="bottom"/>
          </w:tcPr>
          <w:p>
            <w:pPr>
              <w:ind w:firstLine="422"/>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采暖室外计算温度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冬季通风室外计算温度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夏季通风室外计算温度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夏季通风室外计算相对湿度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冬季空气调节室外计算温度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冬季空气调节室外计算相对湿度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夏季空气调节室外计算干球温度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夏季空气调节室外计算湿球温度</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冬季室外大气压力</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hPa</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夏季室外大气压力</w:t>
            </w:r>
          </w:p>
        </w:tc>
        <w:tc>
          <w:tcPr>
            <w:tcW w:w="591"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hPa</w:t>
            </w:r>
          </w:p>
        </w:tc>
        <w:tc>
          <w:tcPr>
            <w:tcW w:w="1456" w:type="pct"/>
            <w:shd w:val="clear" w:color="auto" w:fill="auto"/>
            <w:vAlign w:val="bottom"/>
          </w:tcPr>
          <w:p>
            <w:pPr>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1000.9</w:t>
            </w: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本项目空调房间的设计参数[主要依据</w:t>
      </w:r>
      <w:r>
        <w:rPr>
          <w:rFonts w:asciiTheme="minorEastAsia" w:hAnsiTheme="minorEastAsia" w:eastAsiaTheme="minorEastAsia"/>
          <w:kern w:val="24"/>
        </w:rPr>
        <w:t>DB33/1036-</w:t>
      </w:r>
      <w:r>
        <w:rPr>
          <w:rFonts w:hint="eastAsia" w:cs="宋体" w:asciiTheme="minorEastAsia" w:hAnsiTheme="minorEastAsia" w:eastAsiaTheme="minorEastAsia"/>
        </w:rPr>
        <w:t>(     )</w:t>
      </w:r>
      <w:r>
        <w:rPr>
          <w:rFonts w:hint="eastAsia" w:asciiTheme="minorEastAsia" w:hAnsiTheme="minorEastAsia" w:eastAsiaTheme="minorEastAsia"/>
          <w:kern w:val="24"/>
        </w:rPr>
        <w:t>和</w:t>
      </w:r>
      <w:r>
        <w:rPr>
          <w:rFonts w:asciiTheme="minorEastAsia" w:hAnsiTheme="minorEastAsia" w:eastAsiaTheme="minorEastAsia"/>
          <w:kern w:val="24"/>
        </w:rPr>
        <w:t>GB50736-</w:t>
      </w:r>
      <w:r>
        <w:rPr>
          <w:rFonts w:hint="eastAsia" w:cs="宋体" w:asciiTheme="minorEastAsia" w:hAnsiTheme="minorEastAsia" w:eastAsiaTheme="minorEastAsia"/>
        </w:rPr>
        <w:t>(     )</w:t>
      </w:r>
      <w:r>
        <w:rPr>
          <w:rFonts w:hint="eastAsia" w:asciiTheme="minorEastAsia" w:hAnsiTheme="minorEastAsia" w:eastAsiaTheme="minorEastAsia"/>
          <w:kern w:val="24"/>
        </w:rPr>
        <w:t>执行]：</w:t>
      </w:r>
    </w:p>
    <w:tbl>
      <w:tblPr>
        <w:tblStyle w:val="44"/>
        <w:tblW w:w="5000" w:type="pct"/>
        <w:jc w:val="center"/>
        <w:tblLayout w:type="fixed"/>
        <w:tblCellMar>
          <w:top w:w="0" w:type="dxa"/>
          <w:left w:w="108" w:type="dxa"/>
          <w:bottom w:w="0" w:type="dxa"/>
          <w:right w:w="108" w:type="dxa"/>
        </w:tblCellMar>
      </w:tblPr>
      <w:tblGrid>
        <w:gridCol w:w="705"/>
        <w:gridCol w:w="1148"/>
        <w:gridCol w:w="964"/>
        <w:gridCol w:w="993"/>
        <w:gridCol w:w="855"/>
        <w:gridCol w:w="857"/>
        <w:gridCol w:w="1143"/>
        <w:gridCol w:w="1287"/>
        <w:gridCol w:w="999"/>
        <w:gridCol w:w="1055"/>
      </w:tblGrid>
      <w:tr>
        <w:tblPrEx>
          <w:tblCellMar>
            <w:top w:w="0" w:type="dxa"/>
            <w:left w:w="108" w:type="dxa"/>
            <w:bottom w:w="0" w:type="dxa"/>
            <w:right w:w="108" w:type="dxa"/>
          </w:tblCellMar>
        </w:tblPrEx>
        <w:trPr>
          <w:trHeight w:val="648" w:hRule="exact"/>
          <w:tblHeader/>
          <w:jc w:val="center"/>
        </w:trPr>
        <w:tc>
          <w:tcPr>
            <w:tcW w:w="353" w:type="pct"/>
            <w:vMerge w:val="restart"/>
            <w:tcBorders>
              <w:top w:val="single" w:color="auto" w:sz="8" w:space="0"/>
              <w:left w:val="single" w:color="auto" w:sz="8" w:space="0"/>
              <w:bottom w:val="single" w:color="000000"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574" w:type="pct"/>
            <w:vMerge w:val="restart"/>
            <w:tcBorders>
              <w:top w:val="single" w:color="auto" w:sz="8" w:space="0"/>
              <w:left w:val="single" w:color="auto" w:sz="8" w:space="0"/>
              <w:bottom w:val="single" w:color="000000"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房间名称</w:t>
            </w:r>
          </w:p>
        </w:tc>
        <w:tc>
          <w:tcPr>
            <w:tcW w:w="978" w:type="pct"/>
            <w:gridSpan w:val="2"/>
            <w:tcBorders>
              <w:top w:val="single" w:color="auto" w:sz="8" w:space="0"/>
              <w:left w:val="nil"/>
              <w:bottom w:val="single" w:color="auto" w:sz="8" w:space="0"/>
              <w:right w:val="single" w:color="000000"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温度（℃）</w:t>
            </w:r>
          </w:p>
        </w:tc>
        <w:tc>
          <w:tcPr>
            <w:tcW w:w="855" w:type="pct"/>
            <w:gridSpan w:val="2"/>
            <w:tcBorders>
              <w:top w:val="single" w:color="auto" w:sz="8" w:space="0"/>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相对湿度（％）</w:t>
            </w: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人员密度</w:t>
            </w:r>
          </w:p>
        </w:tc>
        <w:tc>
          <w:tcPr>
            <w:tcW w:w="643" w:type="pct"/>
            <w:tcBorders>
              <w:top w:val="single" w:color="auto" w:sz="8"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新风量</w:t>
            </w:r>
          </w:p>
        </w:tc>
        <w:tc>
          <w:tcPr>
            <w:tcW w:w="499" w:type="pct"/>
            <w:tcBorders>
              <w:top w:val="single" w:color="auto" w:sz="8" w:space="0"/>
              <w:left w:val="single" w:color="auto" w:sz="4" w:space="0"/>
              <w:bottom w:val="single" w:color="auto" w:sz="4"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照明功率密度</w:t>
            </w:r>
          </w:p>
        </w:tc>
        <w:tc>
          <w:tcPr>
            <w:tcW w:w="527" w:type="pct"/>
            <w:tcBorders>
              <w:top w:val="single" w:color="auto" w:sz="8" w:space="0"/>
              <w:left w:val="nil"/>
              <w:bottom w:val="single" w:color="auto" w:sz="4"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噪声声级</w:t>
            </w:r>
          </w:p>
        </w:tc>
      </w:tr>
      <w:tr>
        <w:tblPrEx>
          <w:tblCellMar>
            <w:top w:w="0" w:type="dxa"/>
            <w:left w:w="108" w:type="dxa"/>
            <w:bottom w:w="0" w:type="dxa"/>
            <w:right w:w="108" w:type="dxa"/>
          </w:tblCellMar>
        </w:tblPrEx>
        <w:trPr>
          <w:trHeight w:val="700" w:hRule="exact"/>
          <w:tblHeader/>
          <w:jc w:val="center"/>
        </w:trPr>
        <w:tc>
          <w:tcPr>
            <w:tcW w:w="353" w:type="pct"/>
            <w:vMerge w:val="continue"/>
            <w:tcBorders>
              <w:top w:val="single" w:color="auto" w:sz="8" w:space="0"/>
              <w:left w:val="single" w:color="auto" w:sz="8" w:space="0"/>
              <w:bottom w:val="single" w:color="000000" w:sz="8" w:space="0"/>
              <w:right w:val="single" w:color="auto" w:sz="8" w:space="0"/>
            </w:tcBorders>
            <w:vAlign w:val="center"/>
          </w:tcPr>
          <w:p>
            <w:pPr>
              <w:jc w:val="center"/>
              <w:rPr>
                <w:rFonts w:cs="宋体" w:asciiTheme="minorEastAsia" w:hAnsiTheme="minorEastAsia" w:eastAsiaTheme="minorEastAsia"/>
                <w:szCs w:val="21"/>
              </w:rPr>
            </w:pPr>
          </w:p>
        </w:tc>
        <w:tc>
          <w:tcPr>
            <w:tcW w:w="574" w:type="pct"/>
            <w:vMerge w:val="continue"/>
            <w:tcBorders>
              <w:top w:val="single" w:color="auto" w:sz="8" w:space="0"/>
              <w:left w:val="single" w:color="auto" w:sz="8" w:space="0"/>
              <w:bottom w:val="single" w:color="000000" w:sz="8" w:space="0"/>
              <w:right w:val="single" w:color="auto" w:sz="8" w:space="0"/>
            </w:tcBorders>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夏季</w:t>
            </w: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冬季</w:t>
            </w:r>
          </w:p>
        </w:tc>
        <w:tc>
          <w:tcPr>
            <w:tcW w:w="4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夏季</w:t>
            </w: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冬季</w:t>
            </w:r>
          </w:p>
        </w:tc>
        <w:tc>
          <w:tcPr>
            <w:tcW w:w="571" w:type="pct"/>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(人/ m²)</w:t>
            </w:r>
          </w:p>
        </w:tc>
        <w:tc>
          <w:tcPr>
            <w:tcW w:w="643" w:type="pct"/>
            <w:tcBorders>
              <w:top w:val="single" w:color="auto" w:sz="4" w:space="0"/>
              <w:left w:val="single" w:color="auto" w:sz="4" w:space="0"/>
              <w:bottom w:val="single" w:color="000000" w:sz="8" w:space="0"/>
              <w:right w:val="single" w:color="auto" w:sz="4" w:space="0"/>
            </w:tcBorders>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(m³/h/人)</w:t>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次/h</w:t>
            </w:r>
          </w:p>
        </w:tc>
        <w:tc>
          <w:tcPr>
            <w:tcW w:w="499" w:type="pct"/>
            <w:tcBorders>
              <w:top w:val="single" w:color="auto" w:sz="4" w:space="0"/>
              <w:left w:val="single" w:color="auto" w:sz="4" w:space="0"/>
              <w:bottom w:val="single" w:color="000000" w:sz="8"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W/m</w:t>
            </w:r>
            <w:r>
              <w:rPr>
                <w:rFonts w:hint="eastAsia" w:cs="宋体" w:asciiTheme="minorEastAsia" w:hAnsiTheme="minorEastAsia" w:eastAsiaTheme="minorEastAsia"/>
                <w:szCs w:val="21"/>
                <w:vertAlign w:val="superscript"/>
              </w:rPr>
              <w:t>2</w:t>
            </w:r>
            <w:r>
              <w:rPr>
                <w:rFonts w:hint="eastAsia" w:cs="宋体" w:asciiTheme="minorEastAsia" w:hAnsiTheme="minorEastAsia" w:eastAsiaTheme="minorEastAsia"/>
                <w:szCs w:val="21"/>
              </w:rPr>
              <w:t>)</w:t>
            </w:r>
          </w:p>
        </w:tc>
        <w:tc>
          <w:tcPr>
            <w:tcW w:w="527" w:type="pct"/>
            <w:tcBorders>
              <w:top w:val="single" w:color="auto" w:sz="4" w:space="0"/>
              <w:left w:val="nil"/>
              <w:bottom w:val="single" w:color="000000" w:sz="8"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dB（A）</w:t>
            </w: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574"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8"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3"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7"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室内通风换气设计参数：</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9"/>
        <w:gridCol w:w="1545"/>
        <w:gridCol w:w="1405"/>
        <w:gridCol w:w="1495"/>
        <w:gridCol w:w="1767"/>
        <w:gridCol w:w="1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vMerge w:val="restar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名称</w:t>
            </w:r>
          </w:p>
        </w:tc>
        <w:tc>
          <w:tcPr>
            <w:tcW w:w="1474" w:type="pct"/>
            <w:gridSpan w:val="2"/>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排风</w:t>
            </w:r>
          </w:p>
        </w:tc>
        <w:tc>
          <w:tcPr>
            <w:tcW w:w="1630" w:type="pct"/>
            <w:gridSpan w:val="2"/>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送风</w:t>
            </w:r>
          </w:p>
        </w:tc>
        <w:tc>
          <w:tcPr>
            <w:tcW w:w="818" w:type="pct"/>
            <w:vMerge w:val="restar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vMerge w:val="continue"/>
            <w:vAlign w:val="center"/>
          </w:tcPr>
          <w:p>
            <w:pP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风量指标</w:t>
            </w:r>
          </w:p>
        </w:tc>
        <w:tc>
          <w:tcPr>
            <w:tcW w:w="702"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方式</w:t>
            </w:r>
          </w:p>
        </w:tc>
        <w:tc>
          <w:tcPr>
            <w:tcW w:w="747"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风量指标</w:t>
            </w:r>
          </w:p>
        </w:tc>
        <w:tc>
          <w:tcPr>
            <w:tcW w:w="883"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方式</w:t>
            </w:r>
          </w:p>
        </w:tc>
        <w:tc>
          <w:tcPr>
            <w:tcW w:w="818" w:type="pct"/>
            <w:vMerge w:val="continue"/>
            <w:vAlign w:val="center"/>
          </w:tcPr>
          <w:p>
            <w:pP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 xml:space="preserve">本项目  </w:t>
      </w:r>
      <w:r>
        <w:rPr>
          <w:rFonts w:hint="eastAsia" w:asciiTheme="minorEastAsia" w:hAnsiTheme="minorEastAsia" w:eastAsiaTheme="minorEastAsia"/>
        </w:rPr>
        <w:t>□未设空调  □设计空调系统，并</w:t>
      </w:r>
      <w:r>
        <w:rPr>
          <w:rFonts w:hint="eastAsia" w:asciiTheme="minorEastAsia" w:hAnsiTheme="minorEastAsia" w:eastAsiaTheme="minorEastAsia"/>
          <w:kern w:val="24"/>
        </w:rPr>
        <w:t>逐时逐项空调冷负荷及空调热负荷均采用</w:t>
      </w:r>
      <w:r>
        <w:rPr>
          <w:rFonts w:hint="eastAsia" w:asciiTheme="minorEastAsia" w:hAnsiTheme="minorEastAsia" w:eastAsiaTheme="minorEastAsia"/>
          <w:kern w:val="24"/>
          <w:u w:val="single"/>
        </w:rPr>
        <w:t xml:space="preserve">          </w:t>
      </w:r>
      <w:r>
        <w:rPr>
          <w:rFonts w:hint="eastAsia" w:asciiTheme="minorEastAsia" w:hAnsiTheme="minorEastAsia" w:eastAsiaTheme="minorEastAsia"/>
          <w:kern w:val="24"/>
        </w:rPr>
        <w:t>计算</w:t>
      </w:r>
    </w:p>
    <w:p>
      <w:pPr>
        <w:pStyle w:val="70"/>
        <w:spacing w:line="380" w:lineRule="exact"/>
        <w:ind w:firstLine="0" w:firstLineChars="0"/>
        <w:rPr>
          <w:rFonts w:asciiTheme="minorEastAsia" w:hAnsiTheme="minorEastAsia" w:eastAsiaTheme="minorEastAsia"/>
          <w:szCs w:val="21"/>
        </w:rPr>
      </w:pPr>
      <w:r>
        <w:rPr>
          <w:rFonts w:hint="eastAsia" w:asciiTheme="minorEastAsia" w:hAnsiTheme="minorEastAsia" w:eastAsiaTheme="minorEastAsia"/>
          <w:szCs w:val="21"/>
          <w:u w:val="single"/>
        </w:rPr>
        <w:t>（鉴定情况：          ）</w:t>
      </w:r>
      <w:r>
        <w:rPr>
          <w:rFonts w:hint="eastAsia" w:asciiTheme="minorEastAsia" w:hAnsiTheme="minorEastAsia" w:eastAsiaTheme="minorEastAsia"/>
          <w:szCs w:val="21"/>
        </w:rPr>
        <w:t>。详细负荷见“负荷计算书”。</w:t>
      </w:r>
    </w:p>
    <w:p>
      <w:pPr>
        <w:pStyle w:val="70"/>
        <w:spacing w:line="380" w:lineRule="exact"/>
        <w:ind w:firstLine="0" w:firstLineChars="0"/>
        <w:rPr>
          <w:rFonts w:asciiTheme="minorEastAsia" w:hAnsiTheme="minorEastAsia" w:eastAsiaTheme="minorEastAsia"/>
          <w:szCs w:val="21"/>
        </w:rPr>
      </w:pPr>
      <w:r>
        <w:rPr>
          <w:rFonts w:hint="eastAsia" w:asciiTheme="minorEastAsia" w:hAnsiTheme="minorEastAsia" w:eastAsiaTheme="minorEastAsia"/>
          <w:szCs w:val="21"/>
        </w:rPr>
        <w:t>经逐时逐项计算，各空调区域夏季设计冷负荷与冬季设计热负荷分别如下：</w:t>
      </w:r>
    </w:p>
    <w:tbl>
      <w:tblPr>
        <w:tblStyle w:val="44"/>
        <w:tblW w:w="5000" w:type="pct"/>
        <w:jc w:val="center"/>
        <w:tblLayout w:type="autofit"/>
        <w:tblCellMar>
          <w:top w:w="0" w:type="dxa"/>
          <w:left w:w="108" w:type="dxa"/>
          <w:bottom w:w="0" w:type="dxa"/>
          <w:right w:w="108" w:type="dxa"/>
        </w:tblCellMar>
      </w:tblPr>
      <w:tblGrid>
        <w:gridCol w:w="2669"/>
        <w:gridCol w:w="1501"/>
        <w:gridCol w:w="1501"/>
        <w:gridCol w:w="1501"/>
        <w:gridCol w:w="1501"/>
        <w:gridCol w:w="1333"/>
      </w:tblGrid>
      <w:tr>
        <w:tblPrEx>
          <w:tblCellMar>
            <w:top w:w="0" w:type="dxa"/>
            <w:left w:w="108" w:type="dxa"/>
            <w:bottom w:w="0" w:type="dxa"/>
            <w:right w:w="108" w:type="dxa"/>
          </w:tblCellMar>
        </w:tblPrEx>
        <w:trPr>
          <w:trHeight w:val="270" w:hRule="atLeast"/>
          <w:jc w:val="center"/>
        </w:trPr>
        <w:tc>
          <w:tcPr>
            <w:tcW w:w="1334" w:type="pct"/>
            <w:vMerge w:val="restart"/>
            <w:tcBorders>
              <w:top w:val="single" w:color="auto" w:sz="4" w:space="0"/>
              <w:left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空调区域</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建筑面积</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设计冷负荷</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设计冷指标</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设计热负荷</w:t>
            </w:r>
          </w:p>
        </w:tc>
        <w:tc>
          <w:tcPr>
            <w:tcW w:w="666" w:type="pct"/>
            <w:tcBorders>
              <w:top w:val="single" w:color="auto" w:sz="4" w:space="0"/>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设计热指标</w:t>
            </w:r>
          </w:p>
        </w:tc>
      </w:tr>
      <w:tr>
        <w:tblPrEx>
          <w:tblCellMar>
            <w:top w:w="0" w:type="dxa"/>
            <w:left w:w="108" w:type="dxa"/>
            <w:bottom w:w="0" w:type="dxa"/>
            <w:right w:w="108" w:type="dxa"/>
          </w:tblCellMar>
        </w:tblPrEx>
        <w:trPr>
          <w:trHeight w:val="270" w:hRule="atLeast"/>
          <w:jc w:val="center"/>
        </w:trPr>
        <w:tc>
          <w:tcPr>
            <w:tcW w:w="1334" w:type="pct"/>
            <w:vMerge w:val="continue"/>
            <w:tcBorders>
              <w:left w:val="single" w:color="auto" w:sz="4" w:space="0"/>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cs="宋体" w:asciiTheme="minorEastAsia" w:hAnsiTheme="minorEastAsia" w:eastAsiaTheme="minorEastAsia"/>
                <w:szCs w:val="21"/>
              </w:rPr>
              <w:t>m²</w:t>
            </w: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k</w:t>
            </w:r>
            <w:r>
              <w:rPr>
                <w:rFonts w:cs="宋体" w:asciiTheme="minorEastAsia" w:hAnsiTheme="minorEastAsia" w:eastAsiaTheme="minorEastAsia"/>
                <w:szCs w:val="21"/>
              </w:rPr>
              <w:t>W</w:t>
            </w: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cs="宋体" w:asciiTheme="minorEastAsia" w:hAnsiTheme="minorEastAsia" w:eastAsiaTheme="minorEastAsia"/>
                <w:szCs w:val="21"/>
              </w:rPr>
              <w:t>W/m²</w:t>
            </w: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k</w:t>
            </w:r>
            <w:r>
              <w:rPr>
                <w:rFonts w:cs="宋体" w:asciiTheme="minorEastAsia" w:hAnsiTheme="minorEastAsia" w:eastAsiaTheme="minorEastAsia"/>
                <w:szCs w:val="21"/>
              </w:rPr>
              <w:t>W</w:t>
            </w:r>
          </w:p>
        </w:tc>
        <w:tc>
          <w:tcPr>
            <w:tcW w:w="666" w:type="pct"/>
            <w:tcBorders>
              <w:top w:val="nil"/>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cs="宋体" w:asciiTheme="minorEastAsia" w:hAnsiTheme="minorEastAsia" w:eastAsiaTheme="minorEastAsia"/>
                <w:szCs w:val="21"/>
              </w:rPr>
              <w:t>W/m²</w:t>
            </w:r>
          </w:p>
        </w:tc>
      </w:tr>
      <w:tr>
        <w:tblPrEx>
          <w:tblCellMar>
            <w:top w:w="0" w:type="dxa"/>
            <w:left w:w="108" w:type="dxa"/>
            <w:bottom w:w="0" w:type="dxa"/>
            <w:right w:w="108" w:type="dxa"/>
          </w:tblCellMar>
        </w:tblPrEx>
        <w:trPr>
          <w:trHeight w:val="270" w:hRule="atLeast"/>
          <w:jc w:val="center"/>
        </w:trPr>
        <w:tc>
          <w:tcPr>
            <w:tcW w:w="1334" w:type="pct"/>
            <w:tcBorders>
              <w:left w:val="single" w:color="auto" w:sz="4" w:space="0"/>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666" w:type="pct"/>
            <w:tcBorders>
              <w:top w:val="nil"/>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70" w:hRule="atLeast"/>
          <w:jc w:val="center"/>
        </w:trPr>
        <w:tc>
          <w:tcPr>
            <w:tcW w:w="1334" w:type="pct"/>
            <w:tcBorders>
              <w:left w:val="single" w:color="auto" w:sz="4" w:space="0"/>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666" w:type="pct"/>
            <w:tcBorders>
              <w:top w:val="nil"/>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空调冷热源：</w:t>
      </w:r>
    </w:p>
    <w:p>
      <w:pPr>
        <w:pStyle w:val="88"/>
        <w:numPr>
          <w:ilvl w:val="1"/>
          <w:numId w:val="39"/>
        </w:numPr>
        <w:spacing w:before="156" w:beforeLines="50"/>
        <w:rPr>
          <w:rFonts w:asciiTheme="minorEastAsia" w:hAnsiTheme="minorEastAsia" w:eastAsiaTheme="minorEastAsia"/>
        </w:rPr>
      </w:pPr>
      <w:r>
        <w:rPr>
          <w:rFonts w:hint="eastAsia" w:asciiTheme="minorEastAsia" w:hAnsiTheme="minorEastAsia" w:eastAsiaTheme="minorEastAsia"/>
        </w:rPr>
        <w:t xml:space="preserve">本项目：□未采用水冷冷水机组+锅炉；□ </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区域采用水冷冷水机组+锅炉。</w:t>
      </w:r>
    </w:p>
    <w:p>
      <w:pPr>
        <w:pStyle w:val="89"/>
        <w:spacing w:line="400" w:lineRule="exact"/>
        <w:ind w:leftChars="0" w:hanging="567" w:firstLineChars="0"/>
        <w:rPr>
          <w:rFonts w:asciiTheme="minorEastAsia" w:hAnsiTheme="minorEastAsia" w:eastAsiaTheme="minorEastAsia"/>
          <w:u w:val="single"/>
        </w:rPr>
      </w:pPr>
      <w:r>
        <w:rPr>
          <w:rFonts w:hint="eastAsia" w:asciiTheme="minorEastAsia" w:hAnsiTheme="minorEastAsia" w:eastAsiaTheme="minorEastAsia"/>
        </w:rPr>
        <w:t>冷源选用</w:t>
      </w:r>
      <w:r>
        <w:rPr>
          <w:rFonts w:asciiTheme="minorEastAsia" w:hAnsiTheme="minorEastAsia" w:eastAsiaTheme="minorEastAsia"/>
          <w:u w:val="single"/>
        </w:rPr>
        <w:t xml:space="preserve">        </w:t>
      </w:r>
      <w:r>
        <w:rPr>
          <w:rFonts w:hint="eastAsia" w:asciiTheme="minorEastAsia" w:hAnsiTheme="minorEastAsia" w:eastAsiaTheme="minorEastAsia"/>
        </w:rPr>
        <w:t>台制冷量为</w:t>
      </w:r>
      <w:r>
        <w:rPr>
          <w:rFonts w:asciiTheme="minorEastAsia" w:hAnsiTheme="minorEastAsia" w:eastAsiaTheme="minorEastAsia"/>
          <w:u w:val="single"/>
        </w:rPr>
        <w:t xml:space="preserve">      </w:t>
      </w:r>
      <w:r>
        <w:rPr>
          <w:rFonts w:asciiTheme="minorEastAsia" w:hAnsiTheme="minorEastAsia" w:eastAsiaTheme="minorEastAsia"/>
        </w:rPr>
        <w:t>kW</w:t>
      </w:r>
      <w:r>
        <w:rPr>
          <w:rFonts w:hint="eastAsia" w:asciiTheme="minorEastAsia" w:hAnsiTheme="minorEastAsia" w:eastAsiaTheme="minorEastAsia"/>
        </w:rPr>
        <w:t>的水冷离心式冷水机组与</w:t>
      </w:r>
      <w:r>
        <w:rPr>
          <w:rFonts w:asciiTheme="minorEastAsia" w:hAnsiTheme="minorEastAsia" w:eastAsiaTheme="minorEastAsia"/>
          <w:u w:val="single"/>
        </w:rPr>
        <w:t xml:space="preserve">      </w:t>
      </w:r>
      <w:r>
        <w:rPr>
          <w:rFonts w:hint="eastAsia" w:asciiTheme="minorEastAsia" w:hAnsiTheme="minorEastAsia" w:eastAsiaTheme="minorEastAsia"/>
        </w:rPr>
        <w:t>台制冷量为</w:t>
      </w:r>
      <w:r>
        <w:rPr>
          <w:rFonts w:asciiTheme="minorEastAsia" w:hAnsiTheme="minorEastAsia" w:eastAsiaTheme="minorEastAsia"/>
          <w:u w:val="single"/>
        </w:rPr>
        <w:t xml:space="preserve">      </w:t>
      </w:r>
      <w:r>
        <w:rPr>
          <w:rFonts w:asciiTheme="minorEastAsia" w:hAnsiTheme="minorEastAsia" w:eastAsiaTheme="minorEastAsia"/>
        </w:rPr>
        <w:t>kW</w:t>
      </w:r>
      <w:r>
        <w:rPr>
          <w:rFonts w:hint="eastAsia" w:asciiTheme="minorEastAsia" w:hAnsiTheme="minorEastAsia" w:eastAsiaTheme="minorEastAsia"/>
        </w:rPr>
        <w:t>的水冷螺杆式冷水机组。总装机制冷容量与负荷比值为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％。其中</w:t>
      </w:r>
      <w:r>
        <w:rPr>
          <w:rFonts w:asciiTheme="minorEastAsia" w:hAnsiTheme="minorEastAsia" w:eastAsiaTheme="minorEastAsia"/>
          <w:u w:val="single"/>
        </w:rPr>
        <w:t xml:space="preserve">     </w:t>
      </w:r>
      <w:r>
        <w:rPr>
          <w:rFonts w:hint="eastAsia" w:asciiTheme="minorEastAsia" w:hAnsiTheme="minorEastAsia" w:eastAsiaTheme="minorEastAsia"/>
        </w:rPr>
        <w:t>台 □离心式 □螺杆式 冷水机组□不配置 □配置冷凝热回收，</w:t>
      </w:r>
      <w:r>
        <w:rPr>
          <w:rFonts w:asciiTheme="minorEastAsia" w:hAnsiTheme="minorEastAsia" w:eastAsiaTheme="minorEastAsia"/>
        </w:rPr>
        <w:t>热回收量</w:t>
      </w:r>
      <w:r>
        <w:rPr>
          <w:rFonts w:hint="eastAsia" w:asciiTheme="minorEastAsia" w:hAnsiTheme="minorEastAsia" w:eastAsiaTheme="minorEastAsia"/>
        </w:rPr>
        <w:t>为</w:t>
      </w:r>
      <w:r>
        <w:rPr>
          <w:rFonts w:hint="eastAsia" w:asciiTheme="minorEastAsia" w:hAnsiTheme="minorEastAsia" w:eastAsiaTheme="minorEastAsia"/>
          <w:u w:val="single"/>
        </w:rPr>
        <w:t xml:space="preserve">       </w:t>
      </w:r>
      <w:r>
        <w:rPr>
          <w:rFonts w:hint="eastAsia" w:asciiTheme="minorEastAsia" w:hAnsiTheme="minorEastAsia" w:eastAsiaTheme="minorEastAsia"/>
        </w:rPr>
        <w:t>kW，热回收</w:t>
      </w:r>
      <w:r>
        <w:rPr>
          <w:rFonts w:asciiTheme="minorEastAsia" w:hAnsiTheme="minorEastAsia" w:eastAsiaTheme="minorEastAsia"/>
        </w:rPr>
        <w:t>效率</w:t>
      </w:r>
      <w:r>
        <w:rPr>
          <w:rFonts w:hint="eastAsia" w:asciiTheme="minorEastAsia" w:hAnsiTheme="minorEastAsia" w:eastAsiaTheme="minorEastAsia"/>
        </w:rPr>
        <w:t>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u w:val="single"/>
        </w:rPr>
      </w:pPr>
      <w:r>
        <w:rPr>
          <w:rFonts w:hint="eastAsia" w:asciiTheme="minorEastAsia" w:hAnsiTheme="minorEastAsia" w:eastAsiaTheme="minorEastAsia"/>
        </w:rPr>
        <w:t>□不设置 □设置水水板式换热器</w:t>
      </w:r>
      <w:r>
        <w:rPr>
          <w:rFonts w:hint="eastAsia" w:asciiTheme="minorEastAsia" w:hAnsiTheme="minorEastAsia" w:eastAsiaTheme="minorEastAsia"/>
          <w:u w:val="single"/>
        </w:rPr>
        <w:t xml:space="preserve">   台</w:t>
      </w:r>
      <w:r>
        <w:rPr>
          <w:rFonts w:hint="eastAsia" w:asciiTheme="minorEastAsia" w:hAnsiTheme="minorEastAsia" w:eastAsiaTheme="minorEastAsia"/>
        </w:rPr>
        <w:t>，换热量为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kW，换热效率</w:t>
      </w:r>
      <w:r>
        <w:rPr>
          <w:rFonts w:asciiTheme="minorEastAsia" w:hAnsiTheme="minorEastAsia" w:eastAsiaTheme="minorEastAsia"/>
        </w:rPr>
        <w:t>为</w:t>
      </w:r>
      <w:r>
        <w:rPr>
          <w:rFonts w:hint="eastAsia" w:asciiTheme="minorEastAsia" w:hAnsiTheme="minorEastAsia" w:eastAsiaTheme="minorEastAsia"/>
        </w:rPr>
        <w:t xml:space="preserve">    </w:t>
      </w:r>
      <w:r>
        <w:rPr>
          <w:rFonts w:asciiTheme="minorEastAsia" w:hAnsiTheme="minorEastAsia" w:eastAsiaTheme="minorEastAsia"/>
        </w:rPr>
        <w:t>%</w:t>
      </w:r>
      <w:r>
        <w:rPr>
          <w:rFonts w:hint="eastAsia" w:asciiTheme="minorEastAsia" w:hAnsiTheme="minorEastAsia" w:eastAsiaTheme="minorEastAsia"/>
        </w:rPr>
        <w:t>，过渡季与冬季供冷工况时，利用</w:t>
      </w:r>
      <w:r>
        <w:rPr>
          <w:rFonts w:asciiTheme="minorEastAsia" w:hAnsiTheme="minorEastAsia" w:eastAsiaTheme="minorEastAsia"/>
        </w:rPr>
        <w:t>冷却塔冷却后的水作为一次水</w:t>
      </w:r>
      <w:r>
        <w:rPr>
          <w:rFonts w:hint="eastAsia" w:asciiTheme="minorEastAsia" w:hAnsiTheme="minorEastAsia" w:eastAsiaTheme="minorEastAsia"/>
        </w:rPr>
        <w:t>，</w:t>
      </w:r>
      <w:r>
        <w:rPr>
          <w:rFonts w:asciiTheme="minorEastAsia" w:hAnsiTheme="minorEastAsia" w:eastAsiaTheme="minorEastAsia"/>
        </w:rPr>
        <w:t>通过板式换热器提供二次空调冷水</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水冷机组冷媒采用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环保冷媒。水冷离心式冷水机组</w:t>
      </w:r>
      <w:r>
        <w:rPr>
          <w:rFonts w:hint="eastAsia" w:asciiTheme="minorEastAsia" w:hAnsiTheme="minorEastAsia" w:eastAsiaTheme="minorEastAsia"/>
          <w:u w:val="single"/>
        </w:rPr>
        <w:t>□定频 □变频</w:t>
      </w:r>
      <w:r>
        <w:rPr>
          <w:rFonts w:hint="eastAsia" w:asciiTheme="minorEastAsia" w:hAnsiTheme="minorEastAsia" w:eastAsiaTheme="minorEastAsia"/>
        </w:rPr>
        <w:t>，额定工况</w:t>
      </w:r>
      <w:r>
        <w:rPr>
          <w:rFonts w:asciiTheme="minorEastAsia" w:hAnsiTheme="minorEastAsia" w:eastAsiaTheme="minorEastAsia"/>
        </w:rPr>
        <w:t>COP</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w:t>
      </w:r>
      <w:r>
        <w:rPr>
          <w:rFonts w:asciiTheme="minorEastAsia" w:hAnsiTheme="minorEastAsia" w:eastAsiaTheme="minorEastAsia"/>
        </w:rPr>
        <w:t>IPLV</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；水冷螺杆式冷水机组□定频 □变频，额定工况</w:t>
      </w:r>
      <w:r>
        <w:rPr>
          <w:rFonts w:asciiTheme="minorEastAsia" w:hAnsiTheme="minorEastAsia" w:eastAsiaTheme="minorEastAsia"/>
        </w:rPr>
        <w:t>COP</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w:t>
      </w:r>
      <w:r>
        <w:rPr>
          <w:rFonts w:asciiTheme="minorEastAsia" w:hAnsiTheme="minorEastAsia" w:eastAsiaTheme="minorEastAsia"/>
        </w:rPr>
        <w:t>IPLV</w:t>
      </w:r>
      <w:r>
        <w:rPr>
          <w:rFonts w:hint="eastAsia" w:asciiTheme="minorEastAsia" w:hAnsiTheme="minorEastAsia" w:eastAsiaTheme="minorEastAsia"/>
        </w:rPr>
        <w:t>≥</w:t>
      </w:r>
      <w:r>
        <w:rPr>
          <w:rFonts w:asciiTheme="minorEastAsia" w:hAnsiTheme="minorEastAsia" w:eastAsiaTheme="minorEastAsia"/>
        </w:rPr>
        <w:t xml:space="preserve"> </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；冷水机组制冷性能系数（COP）比现行国家标准《建筑节能与可再生能源利用通用规范》GB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，且不低于《冷水机组能效限定值及能效等级》GB19577中</w:t>
      </w:r>
      <w:r>
        <w:rPr>
          <w:rFonts w:hint="eastAsia" w:asciiTheme="minorEastAsia" w:hAnsiTheme="minorEastAsia" w:eastAsiaTheme="minorEastAsia"/>
          <w:u w:val="single"/>
        </w:rPr>
        <w:t xml:space="preserve">    </w:t>
      </w:r>
      <w:r>
        <w:rPr>
          <w:rFonts w:hint="eastAsia" w:asciiTheme="minorEastAsia" w:hAnsiTheme="minorEastAsia" w:eastAsiaTheme="minorEastAsia"/>
        </w:rPr>
        <w:t>级能效的要求；设置机房群控系统，设备智能化管理,减少人工操作，便于及时维护及集中管理。</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热源选用</w:t>
      </w:r>
      <w:r>
        <w:rPr>
          <w:rFonts w:asciiTheme="minorEastAsia" w:hAnsiTheme="minorEastAsia" w:eastAsiaTheme="minorEastAsia"/>
          <w:u w:val="single"/>
        </w:rPr>
        <w:t xml:space="preserve">      </w:t>
      </w:r>
      <w:r>
        <w:rPr>
          <w:rFonts w:hint="eastAsia" w:asciiTheme="minorEastAsia" w:hAnsiTheme="minorEastAsia" w:eastAsiaTheme="minorEastAsia"/>
        </w:rPr>
        <w:t>台制热量为</w:t>
      </w:r>
      <w:r>
        <w:rPr>
          <w:rFonts w:asciiTheme="minorEastAsia" w:hAnsiTheme="minorEastAsia" w:eastAsiaTheme="minorEastAsia"/>
          <w:u w:val="single"/>
        </w:rPr>
        <w:t xml:space="preserve">    </w:t>
      </w:r>
      <w:r>
        <w:rPr>
          <w:rFonts w:asciiTheme="minorEastAsia" w:hAnsiTheme="minorEastAsia" w:eastAsiaTheme="minorEastAsia"/>
        </w:rPr>
        <w:t xml:space="preserve">  kW</w:t>
      </w:r>
      <w:r>
        <w:rPr>
          <w:rFonts w:hint="eastAsia" w:asciiTheme="minorEastAsia" w:hAnsiTheme="minorEastAsia" w:eastAsiaTheme="minorEastAsia"/>
        </w:rPr>
        <w:t>的□燃气□燃油，□真空□常压□承压热水锅炉。总装机供热容量与负荷比值为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锅炉□不采用 □采用</w:t>
      </w:r>
      <w:r>
        <w:rPr>
          <w:rFonts w:asciiTheme="minorEastAsia" w:hAnsiTheme="minorEastAsia" w:eastAsiaTheme="minorEastAsia"/>
        </w:rPr>
        <w:t>冷凝热回收装置或冷凝式炉型</w:t>
      </w:r>
      <w:r>
        <w:rPr>
          <w:rFonts w:hint="eastAsia" w:asciiTheme="minorEastAsia" w:hAnsiTheme="minorEastAsia" w:eastAsiaTheme="minorEastAsia"/>
        </w:rPr>
        <w:t>。锅炉烟气温度大约在</w:t>
      </w:r>
      <w:r>
        <w:rPr>
          <w:rFonts w:hint="eastAsia"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asciiTheme="minorEastAsia" w:hAnsiTheme="minorEastAsia" w:eastAsiaTheme="minorEastAsia"/>
        </w:rPr>
        <w:t>。锅炉大气污染物排放浓度满足下表要求：</w:t>
      </w:r>
    </w:p>
    <w:tbl>
      <w:tblPr>
        <w:tblStyle w:val="44"/>
        <w:tblW w:w="2965" w:type="pct"/>
        <w:jc w:val="center"/>
        <w:tblLayout w:type="autofit"/>
        <w:tblCellMar>
          <w:top w:w="0" w:type="dxa"/>
          <w:left w:w="108" w:type="dxa"/>
          <w:bottom w:w="0" w:type="dxa"/>
          <w:right w:w="108" w:type="dxa"/>
        </w:tblCellMar>
      </w:tblPr>
      <w:tblGrid>
        <w:gridCol w:w="4289"/>
        <w:gridCol w:w="1645"/>
      </w:tblGrid>
      <w:tr>
        <w:tblPrEx>
          <w:tblCellMar>
            <w:top w:w="0" w:type="dxa"/>
            <w:left w:w="108" w:type="dxa"/>
            <w:bottom w:w="0" w:type="dxa"/>
            <w:right w:w="108" w:type="dxa"/>
          </w:tblCellMar>
        </w:tblPrEx>
        <w:trPr>
          <w:trHeight w:val="519" w:hRule="atLeast"/>
          <w:jc w:val="center"/>
        </w:trPr>
        <w:tc>
          <w:tcPr>
            <w:tcW w:w="3614"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污染物项目</w:t>
            </w:r>
          </w:p>
        </w:tc>
        <w:tc>
          <w:tcPr>
            <w:tcW w:w="1386" w:type="pct"/>
            <w:tcBorders>
              <w:top w:val="single" w:color="auto" w:sz="4" w:space="0"/>
              <w:left w:val="nil"/>
              <w:bottom w:val="single" w:color="auto" w:sz="4" w:space="0"/>
              <w:right w:val="single" w:color="auto" w:sz="4" w:space="0"/>
            </w:tcBorders>
            <w:shd w:val="clear" w:color="auto" w:fill="auto"/>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限值</w:t>
            </w:r>
          </w:p>
        </w:tc>
      </w:tr>
      <w:tr>
        <w:tblPrEx>
          <w:tblCellMar>
            <w:top w:w="0" w:type="dxa"/>
            <w:left w:w="108" w:type="dxa"/>
            <w:bottom w:w="0" w:type="dxa"/>
            <w:right w:w="108" w:type="dxa"/>
          </w:tblCellMar>
        </w:tblPrEx>
        <w:trPr>
          <w:trHeight w:val="270" w:hRule="atLeast"/>
          <w:jc w:val="center"/>
        </w:trPr>
        <w:tc>
          <w:tcPr>
            <w:tcW w:w="3614"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颗粒物（mg/m³）</w:t>
            </w:r>
          </w:p>
        </w:tc>
        <w:tc>
          <w:tcPr>
            <w:tcW w:w="1386" w:type="pct"/>
            <w:tcBorders>
              <w:top w:val="single" w:color="auto" w:sz="4" w:space="0"/>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5</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二氧化硫（mg/m³）</w:t>
            </w:r>
          </w:p>
        </w:tc>
        <w:tc>
          <w:tcPr>
            <w:tcW w:w="1386" w:type="pct"/>
            <w:tcBorders>
              <w:top w:val="nil"/>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10</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氮氧化物（mg/m³）</w:t>
            </w:r>
          </w:p>
        </w:tc>
        <w:tc>
          <w:tcPr>
            <w:tcW w:w="1386" w:type="pct"/>
            <w:tcBorders>
              <w:top w:val="nil"/>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30</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汞及其化合物（μg/m³）</w:t>
            </w:r>
          </w:p>
        </w:tc>
        <w:tc>
          <w:tcPr>
            <w:tcW w:w="1386" w:type="pct"/>
            <w:tcBorders>
              <w:top w:val="nil"/>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0.5</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烟气黑毒（林格曼黑度，级）</w:t>
            </w:r>
          </w:p>
        </w:tc>
        <w:tc>
          <w:tcPr>
            <w:tcW w:w="1386" w:type="pct"/>
            <w:tcBorders>
              <w:top w:val="single" w:color="auto" w:sz="4" w:space="0"/>
              <w:left w:val="nil"/>
              <w:bottom w:val="single" w:color="auto" w:sz="4" w:space="0"/>
              <w:right w:val="single" w:color="auto" w:sz="4" w:space="0"/>
            </w:tcBorders>
            <w:shd w:val="clear" w:color="auto" w:fill="auto"/>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1</w:t>
            </w:r>
          </w:p>
        </w:tc>
      </w:tr>
    </w:tbl>
    <w:p>
      <w:pPr>
        <w:pStyle w:val="89"/>
        <w:spacing w:line="400" w:lineRule="exact"/>
        <w:ind w:left="992" w:leftChars="0" w:hanging="567" w:firstLineChars="0"/>
      </w:pPr>
      <w:r>
        <w:rPr>
          <w:rFonts w:hint="eastAsia"/>
        </w:rPr>
        <w:t>空调热源所用的锅炉效率≥</w:t>
      </w:r>
      <w:r>
        <w:rPr>
          <w:rFonts w:hint="eastAsia"/>
          <w:u w:val="single"/>
        </w:rPr>
        <w:t xml:space="preserve">     </w:t>
      </w:r>
      <w:r>
        <w:t>％</w:t>
      </w:r>
      <w:r>
        <w:rPr>
          <w:rFonts w:hint="eastAsia"/>
        </w:rPr>
        <w:t>。锅炉热效率比现行国家标准《公共建筑节能设计标准》GB</w:t>
      </w:r>
      <w:r>
        <w:t xml:space="preserve"> </w:t>
      </w:r>
      <w:r>
        <w:rPr>
          <w:rFonts w:hint="eastAsia"/>
        </w:rPr>
        <w:t>50189提高</w:t>
      </w:r>
      <w:r>
        <w:rPr>
          <w:rFonts w:hint="eastAsia"/>
          <w:u w:val="single"/>
        </w:rPr>
        <w:t xml:space="preserve">    </w:t>
      </w:r>
      <w:r>
        <w:rPr>
          <w:rFonts w:hint="eastAsia"/>
        </w:rPr>
        <w:t>；锅炉</w:t>
      </w:r>
      <w:r>
        <w:rPr>
          <w:rFonts w:hint="eastAsia" w:asciiTheme="minorEastAsia" w:hAnsiTheme="minorEastAsia" w:eastAsiaTheme="minorEastAsia"/>
        </w:rPr>
        <w:t xml:space="preserve">□不配置 </w:t>
      </w:r>
      <w:r>
        <w:rPr>
          <w:rFonts w:hint="eastAsia"/>
        </w:rPr>
        <w:t>□</w:t>
      </w:r>
      <w:r>
        <w:t>配置比例调节燃烧的炉型</w:t>
      </w:r>
      <w:r>
        <w:rPr>
          <w:rFonts w:hint="eastAsia"/>
        </w:rPr>
        <w:t>。</w:t>
      </w:r>
    </w:p>
    <w:p>
      <w:pPr>
        <w:pStyle w:val="88"/>
        <w:spacing w:before="156" w:beforeLines="50"/>
      </w:pPr>
      <w:r>
        <w:rPr>
          <w:rFonts w:hint="eastAsia"/>
          <w:kern w:val="24"/>
        </w:rPr>
        <w:t>本项目：</w:t>
      </w:r>
      <w:r>
        <w:rPr>
          <w:rFonts w:hint="eastAsia"/>
        </w:rPr>
        <w:t>□未采用风冷热泵机组；□</w:t>
      </w:r>
      <w:r>
        <w:rPr>
          <w:rFonts w:hint="eastAsia"/>
          <w:u w:val="single"/>
        </w:rPr>
        <w:t xml:space="preserve">       </w:t>
      </w:r>
      <w:r>
        <w:rPr>
          <w:rFonts w:hint="eastAsia"/>
        </w:rPr>
        <w:t>区域采用风冷热泵机组。</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选用</w:t>
      </w:r>
      <w:r>
        <w:rPr>
          <w:rFonts w:hint="eastAsia" w:asciiTheme="minorEastAsia" w:hAnsiTheme="minorEastAsia" w:eastAsiaTheme="minorEastAsia"/>
          <w:u w:val="single"/>
        </w:rPr>
        <w:t xml:space="preserve">       </w:t>
      </w:r>
      <w:r>
        <w:rPr>
          <w:rFonts w:hint="eastAsia" w:asciiTheme="minorEastAsia" w:hAnsiTheme="minorEastAsia" w:eastAsiaTheme="minorEastAsia"/>
        </w:rPr>
        <w:t>台制冷量为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kW、制热量为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kW的 □涡旋式 □螺杆式 风冷热泵机组。总装机制冷容量与负荷比值为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风冷热泵机组冷媒采用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环保冷媒。□涡旋式 □螺杆式 风冷热泵机组额定工况</w:t>
      </w:r>
      <w:r>
        <w:rPr>
          <w:rFonts w:asciiTheme="minorEastAsia" w:hAnsiTheme="minorEastAsia" w:eastAsiaTheme="minorEastAsia"/>
        </w:rPr>
        <w:t>COP</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 xml:space="preserve"> W/W</w:t>
      </w:r>
      <w:r>
        <w:rPr>
          <w:rFonts w:hint="eastAsia" w:asciiTheme="minorEastAsia" w:hAnsiTheme="minorEastAsia" w:eastAsiaTheme="minorEastAsia"/>
        </w:rPr>
        <w:t>，</w:t>
      </w:r>
      <w:r>
        <w:rPr>
          <w:rFonts w:asciiTheme="minorEastAsia" w:hAnsiTheme="minorEastAsia" w:eastAsiaTheme="minorEastAsia"/>
        </w:rPr>
        <w:t>IPLV</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 xml:space="preserve"> W/W</w:t>
      </w:r>
      <w:r>
        <w:rPr>
          <w:rFonts w:hint="eastAsia" w:asciiTheme="minorEastAsia" w:hAnsiTheme="minorEastAsia" w:eastAsiaTheme="minorEastAsia"/>
        </w:rPr>
        <w:t>；风冷热泵机组制冷性能系数（COP）比现行国家标准《建筑节能与可再生能源利用通用规范》GB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，且不低于《冷水机组能效限定值及能效等级》GB19577中</w:t>
      </w:r>
      <w:r>
        <w:rPr>
          <w:rFonts w:hint="eastAsia" w:asciiTheme="minorEastAsia" w:hAnsiTheme="minorEastAsia" w:eastAsiaTheme="minorEastAsia"/>
          <w:u w:val="single"/>
        </w:rPr>
        <w:t xml:space="preserve">    </w:t>
      </w:r>
      <w:r>
        <w:rPr>
          <w:rFonts w:hint="eastAsia" w:asciiTheme="minorEastAsia" w:hAnsiTheme="minorEastAsia" w:eastAsiaTheme="minorEastAsia"/>
        </w:rPr>
        <w:t>级能效的要求。</w:t>
      </w:r>
    </w:p>
    <w:p>
      <w:pPr>
        <w:pStyle w:val="88"/>
        <w:spacing w:before="156" w:beforeLines="50"/>
        <w:rPr>
          <w:rFonts w:asciiTheme="minorEastAsia" w:hAnsiTheme="minorEastAsia" w:eastAsiaTheme="minorEastAsia"/>
        </w:rPr>
      </w:pPr>
      <w:r>
        <w:rPr>
          <w:rFonts w:hint="eastAsia" w:asciiTheme="minorEastAsia" w:hAnsiTheme="minorEastAsia" w:eastAsiaTheme="minorEastAsia"/>
          <w:kern w:val="24"/>
        </w:rPr>
        <w:t>本项目：</w:t>
      </w:r>
      <w:r>
        <w:rPr>
          <w:rFonts w:hint="eastAsia" w:asciiTheme="minorEastAsia" w:hAnsiTheme="minorEastAsia" w:eastAsiaTheme="minorEastAsia"/>
        </w:rPr>
        <w:t>□未采用水（地）源热泵机组；□</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区域采用水（地）源热泵机组。</w:t>
      </w:r>
    </w:p>
    <w:p>
      <w:pPr>
        <w:pStyle w:val="89"/>
        <w:spacing w:line="400" w:lineRule="exact"/>
        <w:ind w:left="992" w:leftChars="0" w:hanging="567" w:firstLineChars="0"/>
      </w:pPr>
      <w:r>
        <w:rPr>
          <w:rFonts w:hint="eastAsia"/>
        </w:rPr>
        <w:t>选用</w:t>
      </w:r>
      <w:r>
        <w:rPr>
          <w:u w:val="single"/>
        </w:rPr>
        <w:t xml:space="preserve">    </w:t>
      </w:r>
      <w:r>
        <w:rPr>
          <w:rFonts w:hint="eastAsia"/>
        </w:rPr>
        <w:t>台制冷量为</w:t>
      </w:r>
      <w:r>
        <w:rPr>
          <w:u w:val="single"/>
        </w:rPr>
        <w:t xml:space="preserve">      </w:t>
      </w:r>
      <w:r>
        <w:t>kW</w:t>
      </w:r>
      <w:r>
        <w:rPr>
          <w:rFonts w:hint="eastAsia"/>
        </w:rPr>
        <w:t>、制热量为</w:t>
      </w:r>
      <w:r>
        <w:rPr>
          <w:u w:val="single"/>
        </w:rPr>
        <w:t xml:space="preserve">   </w:t>
      </w:r>
      <w:r>
        <w:rPr>
          <w:rFonts w:hint="eastAsia"/>
          <w:u w:val="single"/>
        </w:rPr>
        <w:t xml:space="preserve">  </w:t>
      </w:r>
      <w:r>
        <w:t>kW</w:t>
      </w:r>
      <w:r>
        <w:rPr>
          <w:rFonts w:hint="eastAsia"/>
        </w:rPr>
        <w:t>的离心式水（地）源热泵机组与</w:t>
      </w:r>
      <w:r>
        <w:rPr>
          <w:u w:val="single"/>
        </w:rPr>
        <w:t xml:space="preserve">   </w:t>
      </w:r>
      <w:r>
        <w:rPr>
          <w:rFonts w:hint="eastAsia"/>
        </w:rPr>
        <w:t>台制冷量为</w:t>
      </w:r>
      <w:r>
        <w:rPr>
          <w:rFonts w:hint="eastAsia"/>
          <w:u w:val="single"/>
        </w:rPr>
        <w:t xml:space="preserve">      </w:t>
      </w:r>
      <w:r>
        <w:rPr>
          <w:rFonts w:hint="eastAsia"/>
        </w:rPr>
        <w:t>kW、制热量为</w:t>
      </w:r>
      <w:r>
        <w:rPr>
          <w:rFonts w:hint="eastAsia"/>
          <w:u w:val="single"/>
        </w:rPr>
        <w:t xml:space="preserve">     </w:t>
      </w:r>
      <w:r>
        <w:rPr>
          <w:rFonts w:hint="eastAsia"/>
        </w:rPr>
        <w:t>kW的螺杆式水（地）源热泵机组。总装机制冷容量与负荷比值为</w:t>
      </w:r>
      <w:r>
        <w:rPr>
          <w:rFonts w:hint="eastAsia"/>
          <w:u w:val="single"/>
        </w:rPr>
        <w:t xml:space="preserve">      ％。</w:t>
      </w:r>
      <w:r>
        <w:rPr>
          <w:rFonts w:hint="eastAsia" w:asciiTheme="minorEastAsia" w:hAnsiTheme="minorEastAsia" w:eastAsiaTheme="minorEastAsia"/>
          <w:u w:val="single"/>
        </w:rPr>
        <w:t xml:space="preserve">□不设置 </w:t>
      </w:r>
      <w:r>
        <w:rPr>
          <w:rFonts w:hint="eastAsia"/>
          <w:u w:val="single"/>
        </w:rPr>
        <w:t>□设置</w:t>
      </w:r>
      <w:r>
        <w:rPr>
          <w:rFonts w:hint="eastAsia"/>
        </w:rPr>
        <w:t>闭式冷却塔全冷负荷备用，保持热泵系统全年总释热量和吸热量相平衡的错时调峰使用。</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地埋管地源热泵系统勘察报告的测试结果，岩土初始温度</w:t>
      </w:r>
      <w:r>
        <w:rPr>
          <w:rFonts w:hint="eastAsia" w:asciiTheme="minorEastAsia" w:hAnsiTheme="minorEastAsia" w:eastAsiaTheme="minorEastAsia"/>
          <w:u w:val="single"/>
        </w:rPr>
        <w:t xml:space="preserve">   °</w:t>
      </w:r>
      <w:r>
        <w:rPr>
          <w:rFonts w:hint="eastAsia" w:asciiTheme="minorEastAsia" w:hAnsiTheme="minorEastAsia" w:eastAsiaTheme="minorEastAsia"/>
        </w:rPr>
        <w:t>C；地埋管埋深</w:t>
      </w:r>
      <w:r>
        <w:rPr>
          <w:rFonts w:hint="eastAsia" w:asciiTheme="minorEastAsia" w:hAnsiTheme="minorEastAsia" w:eastAsiaTheme="minorEastAsia"/>
          <w:u w:val="single"/>
        </w:rPr>
        <w:t xml:space="preserve">    </w:t>
      </w:r>
      <w:r>
        <w:rPr>
          <w:rFonts w:hint="eastAsia" w:asciiTheme="minorEastAsia" w:hAnsiTheme="minorEastAsia" w:eastAsiaTheme="minorEastAsia"/>
        </w:rPr>
        <w:t>m，采用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埋管，运行</w:t>
      </w:r>
      <w:r>
        <w:rPr>
          <w:rFonts w:hint="eastAsia" w:asciiTheme="minorEastAsia" w:hAnsiTheme="minorEastAsia" w:eastAsiaTheme="minorEastAsia"/>
          <w:u w:val="single"/>
        </w:rPr>
        <w:t xml:space="preserve">   </w:t>
      </w:r>
      <w:r>
        <w:rPr>
          <w:rFonts w:hint="eastAsia" w:asciiTheme="minorEastAsia" w:hAnsiTheme="minorEastAsia" w:eastAsiaTheme="minorEastAsia"/>
        </w:rPr>
        <w:t>小时。夏季排热工况：单位延米井深换热量取</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W/m；冬季吸热工况：单位延米井深换热量取 </w:t>
      </w:r>
      <w:r>
        <w:rPr>
          <w:rFonts w:hint="eastAsia" w:asciiTheme="minorEastAsia" w:hAnsiTheme="minorEastAsia" w:eastAsiaTheme="minorEastAsia"/>
          <w:u w:val="single"/>
        </w:rPr>
        <w:t xml:space="preserve">    </w:t>
      </w:r>
      <w:r>
        <w:rPr>
          <w:rFonts w:hint="eastAsia" w:asciiTheme="minorEastAsia" w:hAnsiTheme="minorEastAsia" w:eastAsiaTheme="minorEastAsia"/>
        </w:rPr>
        <w:t>W/m。考虑到热响应试验的试验工况和埋管数量理论计算数据， 埋管数量预留一定的富裕容量，富裕系数取值为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%。本次设计共设置地下换热器数量为 </w:t>
      </w:r>
      <w:r>
        <w:rPr>
          <w:rFonts w:hint="eastAsia" w:asciiTheme="minorEastAsia" w:hAnsiTheme="minorEastAsia" w:eastAsiaTheme="minorEastAsia"/>
          <w:u w:val="single"/>
        </w:rPr>
        <w:t xml:space="preserve">   </w:t>
      </w:r>
      <w:r>
        <w:rPr>
          <w:rFonts w:hint="eastAsia" w:asciiTheme="minorEastAsia" w:hAnsiTheme="minorEastAsia" w:eastAsiaTheme="minorEastAsia"/>
        </w:rPr>
        <w:t>个，孔间距</w:t>
      </w:r>
      <w:r>
        <w:rPr>
          <w:rFonts w:hint="eastAsia" w:asciiTheme="minorEastAsia" w:hAnsiTheme="minorEastAsia" w:eastAsiaTheme="minorEastAsia"/>
          <w:u w:val="single"/>
        </w:rPr>
        <w:t xml:space="preserve">    </w:t>
      </w:r>
      <w:r>
        <w:rPr>
          <w:rFonts w:hint="eastAsia" w:asciiTheme="minorEastAsia" w:hAnsiTheme="minorEastAsia" w:eastAsiaTheme="minorEastAsia"/>
        </w:rPr>
        <w:t>m，孔径</w:t>
      </w:r>
      <w:r>
        <w:rPr>
          <w:rFonts w:hint="eastAsia" w:asciiTheme="minorEastAsia" w:hAnsiTheme="minorEastAsia" w:eastAsiaTheme="minorEastAsia"/>
          <w:u w:val="single"/>
        </w:rPr>
        <w:t xml:space="preserve">    </w:t>
      </w:r>
      <w:r>
        <w:rPr>
          <w:rFonts w:hint="eastAsia" w:asciiTheme="minorEastAsia" w:hAnsiTheme="minorEastAsia" w:eastAsiaTheme="minorEastAsia"/>
        </w:rPr>
        <w:t>mm，孔深</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m，地下埋管有效长度为 </w:t>
      </w:r>
      <w:r>
        <w:rPr>
          <w:rFonts w:hint="eastAsia" w:asciiTheme="minorEastAsia" w:hAnsiTheme="minorEastAsia" w:eastAsiaTheme="minorEastAsia"/>
          <w:u w:val="single"/>
        </w:rPr>
        <w:t xml:space="preserve">   </w:t>
      </w:r>
      <w:r>
        <w:rPr>
          <w:rFonts w:hint="eastAsia" w:asciiTheme="minorEastAsia" w:hAnsiTheme="minorEastAsia" w:eastAsiaTheme="minorEastAsia"/>
        </w:rPr>
        <w:t>m。</w:t>
      </w:r>
    </w:p>
    <w:p>
      <w:pPr>
        <w:pStyle w:val="89"/>
        <w:ind w:left="992" w:leftChars="0" w:hanging="567" w:firstLineChars="0"/>
      </w:pPr>
      <w:r>
        <w:rPr>
          <w:rFonts w:hint="eastAsia"/>
        </w:rPr>
        <w:t>水（地）源热泵机组冷媒采用</w:t>
      </w:r>
      <w:r>
        <w:rPr>
          <w:rFonts w:hint="eastAsia"/>
          <w:u w:val="single"/>
        </w:rPr>
        <w:t xml:space="preserve">     </w:t>
      </w:r>
      <w:r>
        <w:rPr>
          <w:rFonts w:hint="eastAsia"/>
        </w:rPr>
        <w:t>环保冷媒。离心式水（地）源热泵机组</w:t>
      </w:r>
      <w:r>
        <w:rPr>
          <w:rFonts w:hint="eastAsia"/>
          <w:u w:val="single"/>
        </w:rPr>
        <w:t>□定频 □变频</w:t>
      </w:r>
      <w:r>
        <w:rPr>
          <w:rFonts w:hint="eastAsia"/>
        </w:rPr>
        <w:t>，额定工况</w:t>
      </w:r>
      <w:r>
        <w:t>COP</w:t>
      </w:r>
      <w:r>
        <w:rPr>
          <w:rFonts w:hint="eastAsia"/>
        </w:rPr>
        <w:t>≥</w:t>
      </w:r>
      <w:r>
        <w:rPr>
          <w:u w:val="single"/>
        </w:rPr>
        <w:t xml:space="preserve">       </w:t>
      </w:r>
      <w:r>
        <w:t>W/W</w:t>
      </w:r>
      <w:r>
        <w:rPr>
          <w:rFonts w:hint="eastAsia"/>
        </w:rPr>
        <w:t>，</w:t>
      </w:r>
      <w:r>
        <w:t>IPLV</w:t>
      </w:r>
      <w:r>
        <w:rPr>
          <w:rFonts w:hint="eastAsia"/>
        </w:rPr>
        <w:t>≥</w:t>
      </w:r>
      <w:r>
        <w:rPr>
          <w:u w:val="single"/>
        </w:rPr>
        <w:t xml:space="preserve">       </w:t>
      </w:r>
      <w:r>
        <w:t>W/W</w:t>
      </w:r>
      <w:r>
        <w:rPr>
          <w:rFonts w:hint="eastAsia"/>
        </w:rPr>
        <w:t>；螺杆式水（地）源热泵机组□定频 □变频，额定工况</w:t>
      </w:r>
      <w:r>
        <w:t>COP</w:t>
      </w:r>
      <w:r>
        <w:rPr>
          <w:rFonts w:hint="eastAsia"/>
        </w:rPr>
        <w:t>≥</w:t>
      </w:r>
      <w:r>
        <w:rPr>
          <w:u w:val="single"/>
        </w:rPr>
        <w:t xml:space="preserve">      </w:t>
      </w:r>
      <w:r>
        <w:t>W/W</w:t>
      </w:r>
      <w:r>
        <w:rPr>
          <w:rFonts w:hint="eastAsia"/>
        </w:rPr>
        <w:t>，</w:t>
      </w:r>
      <w:r>
        <w:t>IPLV</w:t>
      </w:r>
      <w:r>
        <w:rPr>
          <w:rFonts w:hint="eastAsia"/>
        </w:rPr>
        <w:t>≥</w:t>
      </w:r>
      <w:r>
        <w:t xml:space="preserve"> </w:t>
      </w:r>
      <w:r>
        <w:rPr>
          <w:u w:val="single"/>
        </w:rPr>
        <w:t xml:space="preserve">     </w:t>
      </w:r>
      <w:r>
        <w:t>W/W</w:t>
      </w:r>
      <w:r>
        <w:rPr>
          <w:rFonts w:hint="eastAsia"/>
        </w:rPr>
        <w:t>；水（地）源热泵机组制冷性能系数（COP）比现行国家标准</w:t>
      </w:r>
      <w:r>
        <w:rPr>
          <w:rFonts w:hint="eastAsia" w:asciiTheme="minorEastAsia" w:hAnsiTheme="minorEastAsia" w:eastAsiaTheme="minorEastAsia"/>
        </w:rPr>
        <w:t>《建筑节能与可再生能源利用通用规范》GB 55015</w:t>
      </w:r>
      <w:r>
        <w:rPr>
          <w:rFonts w:hint="eastAsia"/>
        </w:rPr>
        <w:t>提高</w:t>
      </w:r>
      <w:r>
        <w:rPr>
          <w:rFonts w:hint="eastAsia"/>
          <w:u w:val="single"/>
        </w:rPr>
        <w:t xml:space="preserve">    </w:t>
      </w:r>
      <w:r>
        <w:rPr>
          <w:rFonts w:hint="eastAsia"/>
        </w:rPr>
        <w:t>；机组全年综合性能系数（ACOP）不低于《水(地)源热泵机组能效限定值</w:t>
      </w:r>
      <w:r>
        <w:t>及能效等级</w:t>
      </w:r>
      <w:r>
        <w:rPr>
          <w:rFonts w:hint="eastAsia"/>
        </w:rPr>
        <w:t>》GB</w:t>
      </w:r>
      <w:r>
        <w:t>30721</w:t>
      </w:r>
      <w:r>
        <w:rPr>
          <w:rFonts w:hint="eastAsia"/>
        </w:rPr>
        <w:t>中</w:t>
      </w:r>
      <w:r>
        <w:rPr>
          <w:rFonts w:hint="eastAsia"/>
          <w:u w:val="single"/>
        </w:rPr>
        <w:t xml:space="preserve">    </w:t>
      </w:r>
      <w:r>
        <w:rPr>
          <w:rFonts w:hint="eastAsia"/>
        </w:rPr>
        <w:t>级能效的要求；设置机房群控系统，设备智能化管理,减少人工操作，便于及时维护及集中管理。</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本项目：□未采用变冷媒流量多联式空调</w:t>
      </w:r>
      <w:r>
        <w:rPr>
          <w:rFonts w:asciiTheme="minorEastAsia" w:hAnsiTheme="minorEastAsia" w:eastAsiaTheme="minorEastAsia"/>
        </w:rPr>
        <w:t>(VRF)</w:t>
      </w:r>
      <w:r>
        <w:rPr>
          <w:rFonts w:hint="eastAsia" w:asciiTheme="minorEastAsia" w:hAnsiTheme="minorEastAsia" w:eastAsiaTheme="minorEastAsia"/>
        </w:rPr>
        <w:t>系统；□</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区域空调系统采用变冷媒流量多联式空调</w:t>
      </w:r>
      <w:r>
        <w:rPr>
          <w:rFonts w:asciiTheme="minorEastAsia" w:hAnsiTheme="minorEastAsia" w:eastAsiaTheme="minorEastAsia"/>
        </w:rPr>
        <w:t>(VRF)</w:t>
      </w:r>
      <w:r>
        <w:rPr>
          <w:rFonts w:hint="eastAsia" w:asciiTheme="minorEastAsia" w:hAnsiTheme="minorEastAsia" w:eastAsiaTheme="minorEastAsia"/>
        </w:rPr>
        <w:t>系统。</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VRF系统按楼层分区域分别独立设置系统，室外机设置于屋面及各层设备平台，多联机室外机安装位于凹槽内时，</w:t>
      </w:r>
      <w:r>
        <w:rPr>
          <w:rFonts w:asciiTheme="minorEastAsia" w:hAnsiTheme="minorEastAsia" w:eastAsiaTheme="minorEastAsia"/>
        </w:rPr>
        <w:t>空调室外机安装在凹槽处的出风面方向建筑面宽</w:t>
      </w:r>
      <w:r>
        <w:rPr>
          <w:rFonts w:asciiTheme="minorEastAsia" w:hAnsiTheme="minorEastAsia" w:eastAsiaTheme="minorEastAsia"/>
          <w:u w:val="single"/>
        </w:rPr>
        <w:t xml:space="preserve">         </w:t>
      </w:r>
      <w:r>
        <w:rPr>
          <w:rFonts w:hint="eastAsia" w:asciiTheme="minorEastAsia" w:hAnsiTheme="minorEastAsia" w:eastAsiaTheme="minorEastAsia"/>
        </w:rPr>
        <w:t>米，相邻室外机距离</w:t>
      </w:r>
      <w:r>
        <w:rPr>
          <w:rFonts w:asciiTheme="minorEastAsia" w:hAnsiTheme="minorEastAsia" w:eastAsiaTheme="minorEastAsia"/>
          <w:u w:val="single"/>
        </w:rPr>
        <w:t xml:space="preserve">         </w:t>
      </w:r>
      <w:r>
        <w:rPr>
          <w:rFonts w:hint="eastAsia" w:asciiTheme="minorEastAsia" w:hAnsiTheme="minorEastAsia" w:eastAsiaTheme="minorEastAsia"/>
        </w:rPr>
        <w:t>米；室外机安装位于转角时，多联机室外机距侧墙</w:t>
      </w:r>
      <w:r>
        <w:rPr>
          <w:rFonts w:asciiTheme="minorEastAsia" w:hAnsiTheme="minorEastAsia" w:eastAsiaTheme="minorEastAsia"/>
          <w:u w:val="single"/>
        </w:rPr>
        <w:t xml:space="preserve">         </w:t>
      </w:r>
      <w:r>
        <w:rPr>
          <w:rFonts w:hint="eastAsia" w:asciiTheme="minorEastAsia" w:hAnsiTheme="minorEastAsia" w:eastAsiaTheme="minorEastAsia"/>
        </w:rPr>
        <w:t>米，相邻室外机距离</w:t>
      </w:r>
      <w:r>
        <w:rPr>
          <w:rFonts w:asciiTheme="minorEastAsia" w:hAnsiTheme="minorEastAsia" w:eastAsiaTheme="minorEastAsia"/>
          <w:u w:val="single"/>
        </w:rPr>
        <w:t xml:space="preserve">         </w:t>
      </w:r>
      <w:r>
        <w:rPr>
          <w:rFonts w:hint="eastAsia" w:asciiTheme="minorEastAsia" w:hAnsiTheme="minorEastAsia" w:eastAsiaTheme="minorEastAsia"/>
        </w:rPr>
        <w:t>米。室外机安装要求满足浙江省《绿色建筑设计标准》</w:t>
      </w:r>
      <w:r>
        <w:rPr>
          <w:rFonts w:asciiTheme="minorEastAsia" w:hAnsiTheme="minorEastAsia" w:eastAsiaTheme="minorEastAsia"/>
        </w:rPr>
        <w:t>DB 33/1092</w:t>
      </w:r>
      <w:r>
        <w:rPr>
          <w:rFonts w:hint="eastAsia" w:asciiTheme="minorEastAsia" w:hAnsiTheme="minorEastAsia" w:eastAsiaTheme="minorEastAsia"/>
        </w:rPr>
        <w:t>-</w:t>
      </w:r>
      <w:r>
        <w:rPr>
          <w:rFonts w:asciiTheme="minorEastAsia" w:hAnsiTheme="minorEastAsia" w:eastAsiaTheme="minorEastAsia"/>
        </w:rPr>
        <w:t>2021</w:t>
      </w:r>
      <w:r>
        <w:rPr>
          <w:rFonts w:hint="eastAsia" w:asciiTheme="minorEastAsia" w:hAnsiTheme="minorEastAsia" w:eastAsiaTheme="minorEastAsia"/>
        </w:rPr>
        <w:t>，通风散热良好。</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系统分区域设置，各空调系统采用就地数字控制系统监控，自动化程度高，可根据使用要求独立启停，在部分空调区域使用的情况下可有效地避免空调能耗的浪费。</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本项目</w:t>
      </w:r>
      <w:r>
        <w:rPr>
          <w:rFonts w:asciiTheme="minorEastAsia" w:hAnsiTheme="minorEastAsia" w:eastAsiaTheme="minorEastAsia"/>
        </w:rPr>
        <w:t>VRF系统冷媒要求采用</w:t>
      </w:r>
      <w:r>
        <w:rPr>
          <w:rFonts w:hint="eastAsia" w:asciiTheme="minorEastAsia" w:hAnsiTheme="minorEastAsia" w:eastAsiaTheme="minorEastAsia"/>
          <w:u w:val="single"/>
        </w:rPr>
        <w:t xml:space="preserve">      </w:t>
      </w:r>
      <w:r>
        <w:rPr>
          <w:rFonts w:asciiTheme="minorEastAsia" w:hAnsiTheme="minorEastAsia" w:eastAsiaTheme="minorEastAsia"/>
        </w:rPr>
        <w:t>环保冷媒。</w:t>
      </w:r>
    </w:p>
    <w:p>
      <w:pPr>
        <w:pStyle w:val="89"/>
        <w:spacing w:line="400" w:lineRule="exact"/>
        <w:ind w:leftChars="0" w:hanging="567" w:firstLineChars="0"/>
        <w:rPr>
          <w:rFonts w:asciiTheme="minorEastAsia" w:hAnsiTheme="minorEastAsia" w:eastAsiaTheme="minorEastAsia"/>
        </w:rPr>
      </w:pPr>
      <w:r>
        <w:rPr>
          <w:rFonts w:asciiTheme="minorEastAsia" w:hAnsiTheme="minorEastAsia" w:eastAsiaTheme="minorEastAsia"/>
        </w:rPr>
        <w:t>VRF</w:t>
      </w:r>
      <w:r>
        <w:rPr>
          <w:rFonts w:hint="eastAsia" w:asciiTheme="minorEastAsia" w:hAnsiTheme="minorEastAsia" w:eastAsiaTheme="minorEastAsia"/>
        </w:rPr>
        <w:t>系统共设置</w:t>
      </w:r>
      <w:r>
        <w:rPr>
          <w:rFonts w:asciiTheme="minorEastAsia" w:hAnsiTheme="minorEastAsia" w:eastAsiaTheme="minorEastAsia"/>
          <w:u w:val="single"/>
        </w:rPr>
        <w:t xml:space="preserve">         </w:t>
      </w:r>
      <w:r>
        <w:rPr>
          <w:rFonts w:hint="eastAsia" w:asciiTheme="minorEastAsia" w:hAnsiTheme="minorEastAsia" w:eastAsiaTheme="minorEastAsia"/>
        </w:rPr>
        <w:t>套，共计</w:t>
      </w:r>
      <w:r>
        <w:rPr>
          <w:rFonts w:asciiTheme="minorEastAsia" w:hAnsiTheme="minorEastAsia" w:eastAsiaTheme="minorEastAsia"/>
          <w:u w:val="single"/>
        </w:rPr>
        <w:t xml:space="preserve">          </w:t>
      </w:r>
      <w:r>
        <w:rPr>
          <w:rFonts w:hint="eastAsia" w:asciiTheme="minorEastAsia" w:hAnsiTheme="minorEastAsia" w:eastAsiaTheme="minorEastAsia"/>
        </w:rPr>
        <w:t>kW制冷量。总装机制冷容量与负荷比值为</w:t>
      </w:r>
      <w:r>
        <w:rPr>
          <w:rFonts w:hint="eastAsia" w:asciiTheme="minorEastAsia" w:hAnsiTheme="minorEastAsia" w:eastAsiaTheme="minorEastAsia"/>
          <w:u w:val="single"/>
        </w:rPr>
        <w:t xml:space="preserve">      ％。</w:t>
      </w:r>
    </w:p>
    <w:p>
      <w:pPr>
        <w:pStyle w:val="89"/>
        <w:spacing w:line="400" w:lineRule="exact"/>
        <w:ind w:leftChars="0" w:hanging="567" w:firstLineChars="0"/>
        <w:rPr>
          <w:rFonts w:asciiTheme="minorEastAsia" w:hAnsiTheme="minorEastAsia" w:eastAsiaTheme="minorEastAsia"/>
        </w:rPr>
      </w:pPr>
      <w:r>
        <w:rPr>
          <w:rFonts w:asciiTheme="minorEastAsia" w:hAnsiTheme="minorEastAsia" w:eastAsiaTheme="minorEastAsia"/>
        </w:rPr>
        <w:t>VRF</w:t>
      </w:r>
      <w:r>
        <w:rPr>
          <w:rFonts w:hint="eastAsia" w:asciiTheme="minorEastAsia" w:hAnsiTheme="minorEastAsia" w:eastAsiaTheme="minorEastAsia"/>
        </w:rPr>
        <w:t>系统室内外机最大配比率为</w:t>
      </w:r>
      <w:r>
        <w:rPr>
          <w:rFonts w:asciiTheme="minorEastAsia" w:hAnsiTheme="minorEastAsia" w:eastAsiaTheme="minorEastAsia"/>
          <w:u w:val="single"/>
        </w:rPr>
        <w:t xml:space="preserve">           </w:t>
      </w:r>
      <w:r>
        <w:rPr>
          <w:rFonts w:hint="eastAsia" w:asciiTheme="minorEastAsia" w:hAnsiTheme="minorEastAsia" w:eastAsiaTheme="minorEastAsia"/>
        </w:rPr>
        <w:t>。供冷量等效长度修正系数不小于</w:t>
      </w:r>
      <w:r>
        <w:rPr>
          <w:rFonts w:hint="eastAsia" w:asciiTheme="minorEastAsia" w:hAnsiTheme="minorEastAsia" w:eastAsiaTheme="minorEastAsia"/>
          <w:u w:val="single"/>
        </w:rPr>
        <w:t xml:space="preserve">    </w:t>
      </w:r>
      <w:r>
        <w:rPr>
          <w:rFonts w:hint="eastAsia" w:asciiTheme="minorEastAsia" w:hAnsiTheme="minorEastAsia" w:eastAsiaTheme="minorEastAsia"/>
        </w:rPr>
        <w:t>；系统冷媒管等效长度满足对应制冷工况下满负荷的性能系数不低于</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ind w:left="992" w:leftChars="0" w:hanging="567" w:firstLineChars="0"/>
        <w:rPr>
          <w:rFonts w:asciiTheme="minorEastAsia" w:hAnsiTheme="minorEastAsia" w:eastAsiaTheme="minorEastAsia"/>
        </w:rPr>
      </w:pPr>
      <w:r>
        <w:rPr>
          <w:rFonts w:asciiTheme="minorEastAsia" w:hAnsiTheme="minorEastAsia" w:eastAsiaTheme="minorEastAsia"/>
        </w:rPr>
        <w:t>VRF</w:t>
      </w:r>
      <w:r>
        <w:rPr>
          <w:rFonts w:hint="eastAsia" w:asciiTheme="minorEastAsia" w:hAnsiTheme="minorEastAsia" w:eastAsiaTheme="minorEastAsia"/>
        </w:rPr>
        <w:t>机组全年</w:t>
      </w:r>
      <w:r>
        <w:rPr>
          <w:rFonts w:asciiTheme="minorEastAsia" w:hAnsiTheme="minorEastAsia" w:eastAsiaTheme="minorEastAsia"/>
        </w:rPr>
        <w:t>性能系数</w:t>
      </w:r>
      <w:r>
        <w:rPr>
          <w:rFonts w:hint="eastAsia" w:asciiTheme="minorEastAsia" w:hAnsiTheme="minorEastAsia" w:eastAsiaTheme="minorEastAsia"/>
        </w:rPr>
        <w:t>（</w:t>
      </w:r>
      <w:r>
        <w:rPr>
          <w:rFonts w:asciiTheme="minorEastAsia" w:hAnsiTheme="minorEastAsia" w:eastAsiaTheme="minorEastAsia"/>
        </w:rPr>
        <w:t>APF</w:t>
      </w:r>
      <w:r>
        <w:rPr>
          <w:rFonts w:hint="eastAsia" w:asciiTheme="minorEastAsia" w:hAnsiTheme="minorEastAsia" w:eastAsiaTheme="minorEastAsia"/>
        </w:rPr>
        <w:t>）符合下表要求,比现行国家标准《建筑节能与可再生能源利用通用规范》GB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，且不低于《多联式</w:t>
      </w:r>
      <w:r>
        <w:rPr>
          <w:rFonts w:asciiTheme="minorEastAsia" w:hAnsiTheme="minorEastAsia" w:eastAsiaTheme="minorEastAsia"/>
        </w:rPr>
        <w:t>空调（热泵）机组</w:t>
      </w:r>
      <w:r>
        <w:rPr>
          <w:rFonts w:hint="eastAsia" w:asciiTheme="minorEastAsia" w:hAnsiTheme="minorEastAsia" w:eastAsiaTheme="minorEastAsia"/>
        </w:rPr>
        <w:t>能效限定值及能效等级》GB</w:t>
      </w:r>
      <w:r>
        <w:rPr>
          <w:rFonts w:asciiTheme="minorEastAsia" w:hAnsiTheme="minorEastAsia" w:eastAsiaTheme="minorEastAsia"/>
        </w:rPr>
        <w:t>21454</w:t>
      </w:r>
      <w:r>
        <w:rPr>
          <w:rFonts w:hint="eastAsia" w:asciiTheme="minorEastAsia" w:hAnsiTheme="minorEastAsia" w:eastAsiaTheme="minorEastAsia"/>
        </w:rPr>
        <w:t>中</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级能效的要求。</w:t>
      </w:r>
    </w:p>
    <w:tbl>
      <w:tblPr>
        <w:tblStyle w:val="44"/>
        <w:tblW w:w="43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93"/>
        <w:gridCol w:w="2837"/>
        <w:gridCol w:w="28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vMerge w:val="restar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制冷量CC（KW</w:t>
            </w:r>
            <w:r>
              <w:rPr>
                <w:rFonts w:asciiTheme="minorEastAsia" w:hAnsiTheme="minorEastAsia" w:eastAsiaTheme="minorEastAsia"/>
              </w:rPr>
              <w:t>)</w:t>
            </w:r>
          </w:p>
        </w:tc>
        <w:tc>
          <w:tcPr>
            <w:tcW w:w="3273" w:type="pct"/>
            <w:gridSpan w:val="2"/>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全年性能系数APF（W.h/W.h)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vMerge w:val="continue"/>
          </w:tcPr>
          <w:p>
            <w:pPr>
              <w:pStyle w:val="89"/>
              <w:numPr>
                <w:ilvl w:val="0"/>
                <w:numId w:val="0"/>
              </w:numPr>
              <w:spacing w:line="400" w:lineRule="exact"/>
              <w:jc w:val="center"/>
              <w:rPr>
                <w:rFonts w:asciiTheme="minorEastAsia" w:hAnsiTheme="minorEastAsia" w:eastAsiaTheme="minorEastAsia"/>
              </w:rPr>
            </w:pPr>
          </w:p>
        </w:tc>
        <w:tc>
          <w:tcPr>
            <w:tcW w:w="163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9"/>
              <w:numPr>
                <w:ilvl w:val="0"/>
                <w:numId w:val="0"/>
              </w:numPr>
              <w:spacing w:line="400" w:lineRule="exact"/>
              <w:jc w:val="center"/>
              <w:rPr>
                <w:rFonts w:asciiTheme="minorEastAsia" w:hAnsiTheme="minorEastAsia" w:eastAsiaTheme="minorEastAsia"/>
              </w:rPr>
            </w:pPr>
            <w:r>
              <w:rPr>
                <w:rFonts w:hint="eastAsia" w:cs="宋体" w:asciiTheme="minorEastAsia" w:hAnsiTheme="minorEastAsia" w:eastAsiaTheme="minorEastAsia"/>
              </w:rPr>
              <w:t>参数要求</w:t>
            </w:r>
          </w:p>
        </w:tc>
        <w:tc>
          <w:tcPr>
            <w:tcW w:w="1636" w:type="pct"/>
            <w:tcBorders>
              <w:top w:val="single" w:color="auto" w:sz="4" w:space="0"/>
              <w:left w:val="single" w:color="auto" w:sz="4" w:space="0"/>
              <w:bottom w:val="single" w:color="auto" w:sz="4" w:space="0"/>
              <w:right w:val="single" w:color="auto" w:sz="4" w:space="0"/>
            </w:tcBorders>
            <w:vAlign w:val="center"/>
          </w:tcPr>
          <w:p>
            <w:pPr>
              <w:pStyle w:val="89"/>
              <w:numPr>
                <w:ilvl w:val="0"/>
                <w:numId w:val="0"/>
              </w:numPr>
              <w:spacing w:line="400" w:lineRule="exact"/>
              <w:jc w:val="center"/>
              <w:rPr>
                <w:rFonts w:asciiTheme="minorEastAsia" w:hAnsiTheme="minorEastAsia" w:eastAsiaTheme="minorEastAsia"/>
              </w:rPr>
            </w:pPr>
            <w:r>
              <w:rPr>
                <w:rFonts w:hint="eastAsia" w:cs="宋体" w:asciiTheme="minorEastAsia" w:hAnsiTheme="minorEastAsia" w:eastAsiaTheme="minorEastAsia"/>
              </w:rPr>
              <w:t>设计值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CC</w:t>
            </w:r>
            <w:r>
              <w:rPr>
                <w:rFonts w:hint="eastAsia" w:asciiTheme="minorEastAsia" w:hAnsiTheme="minorEastAsia" w:eastAsiaTheme="minorEastAsia"/>
              </w:rPr>
              <w:t>≤</w:t>
            </w:r>
            <w:r>
              <w:rPr>
                <w:rFonts w:asciiTheme="minorEastAsia" w:hAnsiTheme="minorEastAsia" w:eastAsiaTheme="minorEastAsia"/>
              </w:rPr>
              <w:t>14</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14&lt;CC</w:t>
            </w:r>
            <w:r>
              <w:rPr>
                <w:rFonts w:hint="eastAsia" w:asciiTheme="minorEastAsia" w:hAnsiTheme="minorEastAsia" w:eastAsiaTheme="minorEastAsia"/>
              </w:rPr>
              <w:t>≤</w:t>
            </w:r>
            <w:r>
              <w:rPr>
                <w:rFonts w:asciiTheme="minorEastAsia" w:hAnsiTheme="minorEastAsia" w:eastAsiaTheme="minorEastAsia"/>
              </w:rPr>
              <w:t>28</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28</w:t>
            </w:r>
            <w:r>
              <w:rPr>
                <w:rFonts w:hint="eastAsia" w:asciiTheme="minorEastAsia" w:hAnsiTheme="minorEastAsia" w:eastAsiaTheme="minorEastAsia"/>
              </w:rPr>
              <w:t>&lt;CC≤</w:t>
            </w:r>
            <w:r>
              <w:rPr>
                <w:rFonts w:asciiTheme="minorEastAsia" w:hAnsiTheme="minorEastAsia" w:eastAsiaTheme="minorEastAsia"/>
              </w:rPr>
              <w:t>50</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50</w:t>
            </w:r>
            <w:r>
              <w:rPr>
                <w:rFonts w:hint="eastAsia" w:asciiTheme="minorEastAsia" w:hAnsiTheme="minorEastAsia" w:eastAsiaTheme="minorEastAsia"/>
              </w:rPr>
              <w:t>&lt;CC≤</w:t>
            </w:r>
            <w:r>
              <w:rPr>
                <w:rFonts w:asciiTheme="minorEastAsia" w:hAnsiTheme="minorEastAsia" w:eastAsiaTheme="minorEastAsia"/>
              </w:rPr>
              <w:t>68</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CC&gt;68</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bl>
    <w:p>
      <w:pPr>
        <w:pStyle w:val="88"/>
        <w:rPr>
          <w:rFonts w:asciiTheme="minorEastAsia" w:hAnsiTheme="minorEastAsia" w:eastAsiaTheme="minorEastAsia"/>
        </w:rPr>
      </w:pPr>
      <w:r>
        <w:rPr>
          <w:rFonts w:hint="eastAsia" w:asciiTheme="minorEastAsia" w:hAnsiTheme="minorEastAsia" w:eastAsiaTheme="minorEastAsia"/>
        </w:rPr>
        <w:t xml:space="preserve">本项目：□未采用分体空调；□ </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区域，设置分体式房间空调器。</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rPr>
        <w:t>本项目空调所用的房间空调器所采用的产品应取得中标认证中心节能产品认证，能效等级不低于国家标准《房间空气调节器能效限定值及能效等级》</w:t>
      </w:r>
      <w:r>
        <w:rPr>
          <w:rFonts w:asciiTheme="minorEastAsia" w:hAnsiTheme="minorEastAsia" w:eastAsiaTheme="minorEastAsia"/>
        </w:rPr>
        <w:t>GB21455-2019中</w:t>
      </w:r>
      <w:r>
        <w:rPr>
          <w:rFonts w:hint="eastAsia" w:asciiTheme="minorEastAsia" w:hAnsiTheme="minorEastAsia" w:eastAsiaTheme="minorEastAsia"/>
          <w:u w:val="single"/>
        </w:rPr>
        <w:t xml:space="preserve">   </w:t>
      </w:r>
      <w:r>
        <w:rPr>
          <w:rFonts w:asciiTheme="minorEastAsia" w:hAnsiTheme="minorEastAsia" w:eastAsiaTheme="minorEastAsia"/>
        </w:rPr>
        <w:t>级的要求。</w:t>
      </w:r>
      <w:r>
        <w:rPr>
          <w:rFonts w:hint="eastAsia" w:asciiTheme="minorEastAsia" w:hAnsiTheme="minorEastAsia" w:eastAsiaTheme="minorEastAsia"/>
        </w:rPr>
        <w:t>室外机安装要求满足浙江省《绿色建筑设计标准》</w:t>
      </w:r>
      <w:r>
        <w:rPr>
          <w:rFonts w:asciiTheme="minorEastAsia" w:hAnsiTheme="minorEastAsia" w:eastAsiaTheme="minorEastAsia"/>
        </w:rPr>
        <w:t>DB 33/1092</w:t>
      </w:r>
      <w:r>
        <w:rPr>
          <w:rFonts w:hint="eastAsia" w:asciiTheme="minorEastAsia" w:hAnsiTheme="minorEastAsia" w:eastAsiaTheme="minorEastAsia"/>
        </w:rPr>
        <w:t>-</w:t>
      </w:r>
      <w:r>
        <w:rPr>
          <w:rFonts w:asciiTheme="minorEastAsia" w:hAnsiTheme="minorEastAsia" w:eastAsiaTheme="minorEastAsia"/>
        </w:rPr>
        <w:t>2021</w:t>
      </w:r>
      <w:r>
        <w:rPr>
          <w:rFonts w:hint="eastAsia" w:asciiTheme="minorEastAsia" w:hAnsiTheme="minorEastAsia" w:eastAsiaTheme="minorEastAsia"/>
        </w:rPr>
        <w:t>，通风散热良好。</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本项目：□未采用电机驱动压缩机的单元式空气调节机，风管送风式空气调节机组或屋顶式空气调节机组；</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u w:val="single"/>
        </w:rPr>
        <w:t xml:space="preserve">       </w:t>
      </w:r>
      <w:r>
        <w:rPr>
          <w:rFonts w:hint="eastAsia" w:asciiTheme="minorEastAsia" w:hAnsiTheme="minorEastAsia" w:eastAsiaTheme="minorEastAsia"/>
        </w:rPr>
        <w:t>区域设置电机驱动压缩机的□单元式空气调节机□风管送风式空气调节机组□屋顶式空气调节机组。</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□单元式空气调节机□风管送风式空气调节机组□屋顶式空气调节机组共设置</w:t>
      </w:r>
      <w:r>
        <w:rPr>
          <w:rFonts w:asciiTheme="minorEastAsia" w:hAnsiTheme="minorEastAsia" w:eastAsiaTheme="minorEastAsia"/>
          <w:u w:val="single"/>
        </w:rPr>
        <w:t xml:space="preserve">        </w:t>
      </w:r>
      <w:r>
        <w:rPr>
          <w:rFonts w:asciiTheme="minorEastAsia" w:hAnsiTheme="minorEastAsia" w:eastAsiaTheme="minorEastAsia"/>
        </w:rPr>
        <w:t xml:space="preserve"> </w:t>
      </w:r>
      <w:r>
        <w:rPr>
          <w:rFonts w:hint="eastAsia" w:asciiTheme="minorEastAsia" w:hAnsiTheme="minorEastAsia" w:eastAsiaTheme="minorEastAsia"/>
        </w:rPr>
        <w:t>套。总名义装机制冷量</w:t>
      </w:r>
      <w:r>
        <w:rPr>
          <w:rFonts w:asciiTheme="minorEastAsia" w:hAnsiTheme="minorEastAsia" w:eastAsiaTheme="minorEastAsia"/>
          <w:u w:val="single"/>
        </w:rPr>
        <w:t xml:space="preserve">        </w:t>
      </w:r>
      <w:r>
        <w:rPr>
          <w:rFonts w:hint="eastAsia" w:asciiTheme="minorEastAsia" w:hAnsiTheme="minorEastAsia" w:eastAsiaTheme="minorEastAsia"/>
        </w:rPr>
        <w:t>k</w:t>
      </w:r>
      <w:r>
        <w:rPr>
          <w:rFonts w:asciiTheme="minorEastAsia" w:hAnsiTheme="minorEastAsia" w:eastAsiaTheme="minorEastAsia"/>
        </w:rPr>
        <w:t>W</w:t>
      </w:r>
      <w:r>
        <w:rPr>
          <w:rFonts w:hint="eastAsia" w:asciiTheme="minorEastAsia" w:hAnsiTheme="minorEastAsia" w:eastAsiaTheme="minorEastAsia"/>
        </w:rPr>
        <w:t>。室外机安装要求满足</w:t>
      </w:r>
      <w:r>
        <w:rPr>
          <w:rFonts w:hint="eastAsia" w:cs="宋体" w:asciiTheme="minorEastAsia" w:hAnsiTheme="minorEastAsia" w:eastAsiaTheme="minorEastAsia"/>
        </w:rPr>
        <w:t>浙江省《绿色建筑设计标准》DB</w:t>
      </w:r>
      <w:r>
        <w:rPr>
          <w:rFonts w:cs="宋体" w:asciiTheme="minorEastAsia" w:hAnsiTheme="minorEastAsia" w:eastAsiaTheme="minorEastAsia"/>
        </w:rPr>
        <w:t xml:space="preserve"> </w:t>
      </w:r>
      <w:r>
        <w:rPr>
          <w:rFonts w:hint="eastAsia" w:cs="宋体" w:asciiTheme="minorEastAsia" w:hAnsiTheme="minorEastAsia" w:eastAsiaTheme="minorEastAsia"/>
        </w:rPr>
        <w:t>33/1092</w:t>
      </w:r>
      <w:r>
        <w:rPr>
          <w:rFonts w:hint="eastAsia" w:asciiTheme="minorEastAsia" w:hAnsiTheme="minorEastAsia" w:eastAsiaTheme="minorEastAsia"/>
        </w:rPr>
        <w:t>-</w:t>
      </w:r>
      <w:r>
        <w:rPr>
          <w:rFonts w:asciiTheme="minorEastAsia" w:hAnsiTheme="minorEastAsia" w:eastAsiaTheme="minorEastAsia"/>
        </w:rPr>
        <w:t>2021</w:t>
      </w:r>
      <w:r>
        <w:rPr>
          <w:rFonts w:hint="eastAsia" w:asciiTheme="minorEastAsia" w:hAnsiTheme="minorEastAsia" w:eastAsiaTheme="minorEastAsia"/>
        </w:rPr>
        <w:t>，通风散热良好。</w:t>
      </w:r>
    </w:p>
    <w:p>
      <w:pPr>
        <w:pStyle w:val="89"/>
        <w:ind w:left="992" w:leftChars="0" w:hanging="567" w:firstLineChars="0"/>
        <w:rPr>
          <w:rFonts w:asciiTheme="minorEastAsia" w:hAnsiTheme="minorEastAsia" w:eastAsiaTheme="minorEastAsia"/>
        </w:rPr>
      </w:pPr>
      <w:r>
        <w:rPr>
          <w:rFonts w:hint="eastAsia" w:asciiTheme="minorEastAsia" w:hAnsiTheme="minorEastAsia" w:eastAsiaTheme="minorEastAsia"/>
        </w:rPr>
        <w:t>□单元式空气调节机□风管送风式空气调节机组□屋顶式空气调节机组在名义制冷工况和规定条件下，其能效比（</w:t>
      </w:r>
      <w:r>
        <w:rPr>
          <w:rFonts w:asciiTheme="minorEastAsia" w:hAnsiTheme="minorEastAsia" w:eastAsiaTheme="minorEastAsia"/>
        </w:rPr>
        <w:t>EER</w:t>
      </w:r>
      <w:r>
        <w:rPr>
          <w:rFonts w:hint="eastAsia" w:asciiTheme="minorEastAsia" w:hAnsiTheme="minorEastAsia" w:eastAsiaTheme="minorEastAsia"/>
        </w:rPr>
        <w:t>）符合下表要求，比现行国家标准《建筑节能与可再生能源利用通用规范》GB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，且不低于国家现行</w:t>
      </w:r>
      <w:r>
        <w:rPr>
          <w:rFonts w:asciiTheme="minorEastAsia" w:hAnsiTheme="minorEastAsia" w:eastAsiaTheme="minorEastAsia"/>
        </w:rPr>
        <w:t>有关标准</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级能效的要求。</w:t>
      </w:r>
      <w:r>
        <w:rPr>
          <w:rFonts w:asciiTheme="minorEastAsia" w:hAnsiTheme="minorEastAsia" w:eastAsiaTheme="minorEastAsia"/>
        </w:rPr>
        <w:t xml:space="preserve"> </w:t>
      </w:r>
    </w:p>
    <w:tbl>
      <w:tblPr>
        <w:tblStyle w:val="44"/>
        <w:tblW w:w="8505" w:type="dxa"/>
        <w:jc w:val="center"/>
        <w:tblLayout w:type="autofit"/>
        <w:tblCellMar>
          <w:top w:w="0" w:type="dxa"/>
          <w:left w:w="108" w:type="dxa"/>
          <w:bottom w:w="0" w:type="dxa"/>
          <w:right w:w="108" w:type="dxa"/>
        </w:tblCellMar>
      </w:tblPr>
      <w:tblGrid>
        <w:gridCol w:w="939"/>
        <w:gridCol w:w="1172"/>
        <w:gridCol w:w="1460"/>
        <w:gridCol w:w="2378"/>
        <w:gridCol w:w="2556"/>
      </w:tblGrid>
      <w:tr>
        <w:tblPrEx>
          <w:tblCellMar>
            <w:top w:w="0" w:type="dxa"/>
            <w:left w:w="108" w:type="dxa"/>
            <w:bottom w:w="0" w:type="dxa"/>
            <w:right w:w="108" w:type="dxa"/>
          </w:tblCellMar>
        </w:tblPrEx>
        <w:trPr>
          <w:trHeight w:val="20" w:hRule="atLeast"/>
          <w:jc w:val="center"/>
        </w:trPr>
        <w:tc>
          <w:tcPr>
            <w:tcW w:w="0" w:type="auto"/>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类型</w:t>
            </w:r>
          </w:p>
        </w:tc>
        <w:tc>
          <w:tcPr>
            <w:tcW w:w="0" w:type="auto"/>
            <w:tcBorders>
              <w:top w:val="single" w:color="auto" w:sz="4" w:space="0"/>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名义制冷量</w:t>
            </w:r>
          </w:p>
        </w:tc>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热泵式机组全年性能系数</w:t>
            </w:r>
            <w:r>
              <w:rPr>
                <w:rFonts w:asciiTheme="minorEastAsia" w:hAnsiTheme="minorEastAsia" w:eastAsiaTheme="minorEastAsia"/>
                <w:sz w:val="21"/>
                <w:szCs w:val="21"/>
                <w:lang w:eastAsia="zh-CN"/>
              </w:rPr>
              <w:t>APF[(W</w:t>
            </w:r>
            <w:r>
              <w:rPr>
                <w:rFonts w:hint="eastAsia" w:ascii="MS Mincho" w:hAnsi="MS Mincho" w:eastAsia="MS Mincho" w:cs="MS Mincho"/>
                <w:sz w:val="21"/>
                <w:szCs w:val="21"/>
                <w:lang w:eastAsia="zh-CN"/>
              </w:rPr>
              <w:t>・</w:t>
            </w:r>
            <w:r>
              <w:rPr>
                <w:rFonts w:asciiTheme="minorEastAsia" w:hAnsiTheme="minorEastAsia" w:eastAsiaTheme="minorEastAsia"/>
                <w:sz w:val="21"/>
                <w:szCs w:val="21"/>
                <w:lang w:eastAsia="zh-CN"/>
              </w:rPr>
              <w:t>h)/(W</w:t>
            </w:r>
            <w:r>
              <w:rPr>
                <w:rFonts w:hint="eastAsia" w:ascii="MS Mincho" w:hAnsi="MS Mincho" w:eastAsia="MS Mincho" w:cs="MS Mincho"/>
                <w:sz w:val="21"/>
                <w:szCs w:val="21"/>
                <w:lang w:eastAsia="zh-CN"/>
              </w:rPr>
              <w:t>・</w:t>
            </w:r>
            <w:r>
              <w:rPr>
                <w:rFonts w:asciiTheme="minorEastAsia" w:hAnsiTheme="minorEastAsia" w:eastAsiaTheme="minorEastAsia"/>
                <w:sz w:val="21"/>
                <w:szCs w:val="21"/>
                <w:lang w:eastAsia="zh-CN"/>
              </w:rPr>
              <w:t>h)]</w:t>
            </w:r>
          </w:p>
        </w:tc>
      </w:tr>
      <w:tr>
        <w:tblPrEx>
          <w:tblCellMar>
            <w:top w:w="0" w:type="dxa"/>
            <w:left w:w="108" w:type="dxa"/>
            <w:bottom w:w="0" w:type="dxa"/>
            <w:right w:w="108" w:type="dxa"/>
          </w:tblCellMar>
        </w:tblPrEx>
        <w:trPr>
          <w:trHeight w:val="20"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CC（kW）</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参数要求</w:t>
            </w:r>
          </w:p>
        </w:tc>
        <w:tc>
          <w:tcPr>
            <w:tcW w:w="255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设计值</w:t>
            </w:r>
          </w:p>
        </w:tc>
      </w:tr>
      <w:tr>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风冷式</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不接风管</w:t>
            </w:r>
          </w:p>
        </w:tc>
        <w:tc>
          <w:tcPr>
            <w:tcW w:w="0" w:type="auto"/>
            <w:tcBorders>
              <w:top w:val="single" w:color="auto" w:sz="4" w:space="0"/>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14</w:t>
            </w:r>
            <w:r>
              <w:rPr>
                <w:rFonts w:hint="eastAsia"/>
              </w:rPr>
              <w:t>＜</w:t>
            </w:r>
            <w:r>
              <w:t>CC</w:t>
            </w:r>
            <w:r>
              <w:rPr>
                <w:rFonts w:hint="eastAsia" w:hAnsi="宋体" w:eastAsia="宋体" w:cs="宋体"/>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接风管</w:t>
            </w: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14</w:t>
            </w:r>
            <w:r>
              <w:rPr>
                <w:rFonts w:hint="eastAsia"/>
              </w:rPr>
              <w:t>＜</w:t>
            </w:r>
            <w:r>
              <w:t>CC</w:t>
            </w:r>
            <w:r>
              <w:rPr>
                <w:rFonts w:hint="eastAsia" w:hAnsi="宋体" w:eastAsia="宋体" w:cs="宋体"/>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bl>
    <w:p>
      <w:pPr>
        <w:ind w:firstLine="420"/>
      </w:pPr>
    </w:p>
    <w:tbl>
      <w:tblPr>
        <w:tblStyle w:val="44"/>
        <w:tblW w:w="8505" w:type="dxa"/>
        <w:jc w:val="center"/>
        <w:tblLayout w:type="autofit"/>
        <w:tblCellMar>
          <w:top w:w="0" w:type="dxa"/>
          <w:left w:w="108" w:type="dxa"/>
          <w:bottom w:w="0" w:type="dxa"/>
          <w:right w:w="108" w:type="dxa"/>
        </w:tblCellMar>
      </w:tblPr>
      <w:tblGrid>
        <w:gridCol w:w="847"/>
        <w:gridCol w:w="1192"/>
        <w:gridCol w:w="1500"/>
        <w:gridCol w:w="2410"/>
        <w:gridCol w:w="2556"/>
      </w:tblGrid>
      <w:tr>
        <w:tblPrEx>
          <w:tblCellMar>
            <w:top w:w="0" w:type="dxa"/>
            <w:left w:w="108" w:type="dxa"/>
            <w:bottom w:w="0" w:type="dxa"/>
            <w:right w:w="108" w:type="dxa"/>
          </w:tblCellMar>
        </w:tblPrEx>
        <w:trPr>
          <w:trHeight w:val="20" w:hRule="atLeast"/>
          <w:jc w:val="center"/>
        </w:trPr>
        <w:tc>
          <w:tcPr>
            <w:tcW w:w="203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类型</w:t>
            </w:r>
          </w:p>
        </w:tc>
        <w:tc>
          <w:tcPr>
            <w:tcW w:w="1500" w:type="dxa"/>
            <w:tcBorders>
              <w:top w:val="single" w:color="auto" w:sz="4" w:space="0"/>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名义制冷量</w:t>
            </w:r>
          </w:p>
        </w:tc>
        <w:tc>
          <w:tcPr>
            <w:tcW w:w="49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综合部分负荷性能系数IPLV</w:t>
            </w:r>
          </w:p>
        </w:tc>
      </w:tr>
      <w:tr>
        <w:tblPrEx>
          <w:tblCellMar>
            <w:top w:w="0" w:type="dxa"/>
            <w:left w:w="108" w:type="dxa"/>
            <w:bottom w:w="0" w:type="dxa"/>
            <w:right w:w="108" w:type="dxa"/>
          </w:tblCellMar>
        </w:tblPrEx>
        <w:trPr>
          <w:trHeight w:val="20" w:hRule="atLeast"/>
          <w:jc w:val="center"/>
        </w:trPr>
        <w:tc>
          <w:tcPr>
            <w:tcW w:w="2039" w:type="dxa"/>
            <w:gridSpan w:val="2"/>
            <w:vMerge w:val="continue"/>
            <w:tcBorders>
              <w:top w:val="single" w:color="auto" w:sz="4" w:space="0"/>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500" w:type="dxa"/>
            <w:tcBorders>
              <w:top w:val="nil"/>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CC（kW）</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参数要求</w:t>
            </w:r>
          </w:p>
        </w:tc>
        <w:tc>
          <w:tcPr>
            <w:tcW w:w="255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设计值</w:t>
            </w:r>
          </w:p>
        </w:tc>
      </w:tr>
      <w:tr>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水冷式</w:t>
            </w:r>
          </w:p>
        </w:tc>
        <w:tc>
          <w:tcPr>
            <w:tcW w:w="1191" w:type="dxa"/>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不接风管</w:t>
            </w:r>
          </w:p>
        </w:tc>
        <w:tc>
          <w:tcPr>
            <w:tcW w:w="1500" w:type="dxa"/>
            <w:tcBorders>
              <w:top w:val="single" w:color="auto" w:sz="4" w:space="0"/>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191" w:type="dxa"/>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500" w:type="dxa"/>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191" w:type="dxa"/>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接风管</w:t>
            </w:r>
          </w:p>
        </w:tc>
        <w:tc>
          <w:tcPr>
            <w:tcW w:w="1500" w:type="dxa"/>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191" w:type="dxa"/>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500" w:type="dxa"/>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ind w:firstLine="420"/>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空调末端：</w:t>
      </w:r>
    </w:p>
    <w:p>
      <w:pPr>
        <w:pStyle w:val="88"/>
        <w:numPr>
          <w:ilvl w:val="1"/>
          <w:numId w:val="48"/>
        </w:numPr>
        <w:spacing w:before="156" w:beforeLines="50"/>
        <w:rPr>
          <w:rFonts w:asciiTheme="minorEastAsia" w:hAnsiTheme="minorEastAsia" w:eastAsiaTheme="minorEastAsia"/>
        </w:rPr>
      </w:pPr>
      <w:r>
        <w:rPr>
          <w:rFonts w:hint="eastAsia" w:asciiTheme="minorEastAsia" w:hAnsiTheme="minorEastAsia" w:eastAsiaTheme="minorEastAsia"/>
        </w:rPr>
        <w:t>本项目采用全空气一次回风送风单风道系统：□是；□否。</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电机功率不小于3kW的全空气空调系统风机采用变频调速技术：□是；□否。</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设置</w:t>
      </w:r>
      <w:r>
        <w:rPr>
          <w:rFonts w:hint="eastAsia" w:asciiTheme="minorEastAsia" w:hAnsiTheme="minorEastAsia" w:eastAsiaTheme="minorEastAsia"/>
          <w:u w:val="single"/>
        </w:rPr>
        <w:t xml:space="preserve">     </w:t>
      </w:r>
      <w:r>
        <w:rPr>
          <w:rFonts w:hint="eastAsia" w:asciiTheme="minorEastAsia" w:hAnsiTheme="minorEastAsia" w:eastAsiaTheme="minorEastAsia"/>
        </w:rPr>
        <w:t>集中回风口，经回风风管接入设备。空调箱漏风率要求不大于1％：□是；□否。</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设置CO2浓度检测装置：□是 □否。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u w:val="single"/>
        </w:rPr>
        <w:t xml:space="preserve">       </w:t>
      </w:r>
      <w:r>
        <w:rPr>
          <w:rFonts w:hint="eastAsia" w:asciiTheme="minorEastAsia" w:hAnsiTheme="minorEastAsia" w:eastAsiaTheme="minorEastAsia"/>
        </w:rPr>
        <w:t>区域全空气系统设置CO2浓度检测装置，并联动控制空调通风系统。</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全空气系统可实现变新风比工况运行，</w:t>
      </w:r>
      <w:r>
        <w:rPr>
          <w:rFonts w:asciiTheme="minorEastAsia" w:hAnsiTheme="minorEastAsia" w:eastAsiaTheme="minorEastAsia"/>
        </w:rPr>
        <w:t>最大</w:t>
      </w:r>
      <w:r>
        <w:rPr>
          <w:rFonts w:hint="eastAsia" w:asciiTheme="minorEastAsia" w:hAnsiTheme="minorEastAsia" w:eastAsiaTheme="minorEastAsia"/>
        </w:rPr>
        <w:t>总新风比不低于</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本项目采用风机盘管或室内机</w:t>
      </w:r>
      <w:r>
        <w:rPr>
          <w:rFonts w:asciiTheme="minorEastAsia" w:hAnsiTheme="minorEastAsia" w:eastAsiaTheme="minorEastAsia"/>
        </w:rPr>
        <w:t>+</w:t>
      </w:r>
      <w:r>
        <w:rPr>
          <w:rFonts w:hint="eastAsia" w:asciiTheme="minorEastAsia" w:hAnsiTheme="minorEastAsia" w:eastAsiaTheme="minorEastAsia"/>
        </w:rPr>
        <w:t>新风的空调系统：□是；□否。</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内外区相对分隔，分别设置风机盘管机组或室内机，能够独立开启，并进行温湿度、风速调节：□是；□否。</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风机盘管或室内机</w:t>
      </w:r>
      <w:r>
        <w:rPr>
          <w:rFonts w:asciiTheme="minorEastAsia" w:hAnsiTheme="minorEastAsia" w:eastAsiaTheme="minorEastAsia"/>
        </w:rPr>
        <w:t>+</w:t>
      </w:r>
      <w:r>
        <w:rPr>
          <w:rFonts w:hint="eastAsia" w:asciiTheme="minorEastAsia" w:hAnsiTheme="minorEastAsia" w:eastAsiaTheme="minorEastAsia"/>
        </w:rPr>
        <w:t>新风的系统，除图中特殊注明的情况外，新风均直接送入各空调区：□是；□否。</w:t>
      </w:r>
    </w:p>
    <w:p>
      <w:pPr>
        <w:pStyle w:val="89"/>
        <w:ind w:left="992" w:leftChars="0" w:hanging="567" w:firstLineChars="0"/>
      </w:pPr>
      <w:r>
        <w:rPr>
          <w:rFonts w:hint="eastAsia"/>
        </w:rPr>
        <w:t>设置CO2浓度检测装置</w:t>
      </w:r>
      <w:r>
        <w:rPr>
          <w:rFonts w:hint="eastAsia" w:asciiTheme="minorEastAsia" w:hAnsiTheme="minorEastAsia" w:eastAsiaTheme="minorEastAsia"/>
        </w:rPr>
        <w:t>：□是 □否。</w:t>
      </w:r>
    </w:p>
    <w:p>
      <w:pPr>
        <w:pStyle w:val="89"/>
        <w:numPr>
          <w:ilvl w:val="0"/>
          <w:numId w:val="0"/>
        </w:numPr>
        <w:ind w:left="992"/>
      </w:pPr>
      <w:r>
        <w:rPr>
          <w:rFonts w:hint="eastAsia"/>
          <w:u w:val="single"/>
        </w:rPr>
        <w:t xml:space="preserve">        </w:t>
      </w:r>
      <w:r>
        <w:rPr>
          <w:rFonts w:hint="eastAsia"/>
        </w:rPr>
        <w:t>区域单一空间独立新风系统设置CO2浓度检测装置，并联动控制空调通风系统。其新风及相应排风</w:t>
      </w:r>
      <w:r>
        <w:t>风机采用</w:t>
      </w:r>
      <w:r>
        <w:rPr>
          <w:rFonts w:hint="eastAsia"/>
        </w:rPr>
        <w:t>变频调速</w:t>
      </w:r>
      <w:r>
        <w:t>技术</w:t>
      </w:r>
      <w:r>
        <w:rPr>
          <w:rFonts w:hint="eastAsia"/>
        </w:rPr>
        <w:t>：□是 □否</w:t>
      </w:r>
      <w:r>
        <w:t>。</w:t>
      </w:r>
    </w:p>
    <w:p>
      <w:pPr>
        <w:pStyle w:val="88"/>
        <w:numPr>
          <w:ilvl w:val="1"/>
          <w:numId w:val="48"/>
        </w:numPr>
        <w:rPr>
          <w:rFonts w:asciiTheme="minorEastAsia" w:hAnsiTheme="minorEastAsia" w:eastAsiaTheme="minorEastAsia"/>
        </w:rPr>
      </w:pPr>
      <w:r>
        <w:rPr>
          <w:rFonts w:hint="eastAsia" w:asciiTheme="minorEastAsia" w:hAnsiTheme="minorEastAsia" w:eastAsiaTheme="minorEastAsia"/>
        </w:rPr>
        <w:t>本项目采用排风热回收系统：□是；□否。</w:t>
      </w:r>
    </w:p>
    <w:p>
      <w:pPr>
        <w:pStyle w:val="88"/>
        <w:numPr>
          <w:ilvl w:val="0"/>
          <w:numId w:val="0"/>
        </w:numPr>
        <w:ind w:left="992"/>
        <w:rPr>
          <w:rFonts w:asciiTheme="minorEastAsia" w:hAnsiTheme="minorEastAsia" w:eastAsiaTheme="minorEastAsia"/>
        </w:rPr>
      </w:pPr>
      <w:r>
        <w:rPr>
          <w:rFonts w:asciiTheme="minorEastAsia" w:hAnsiTheme="minorEastAsia" w:eastAsiaTheme="minorEastAsia"/>
          <w:u w:val="single"/>
        </w:rPr>
        <w:t xml:space="preserve">        </w:t>
      </w:r>
      <w:r>
        <w:rPr>
          <w:rFonts w:hint="eastAsia" w:asciiTheme="minorEastAsia" w:hAnsiTheme="minorEastAsia" w:eastAsiaTheme="minorEastAsia"/>
        </w:rPr>
        <w:t>区域采用□全热 □显热 排风热回收系统对排风进行冷热量回收，总回收风量</w:t>
      </w:r>
      <w:r>
        <w:rPr>
          <w:rFonts w:asciiTheme="minorEastAsia" w:hAnsiTheme="minorEastAsia" w:eastAsiaTheme="minorEastAsia"/>
          <w:u w:val="single"/>
        </w:rPr>
        <w:t xml:space="preserve">           </w:t>
      </w:r>
      <w:r>
        <w:rPr>
          <w:rFonts w:asciiTheme="minorEastAsia" w:hAnsiTheme="minorEastAsia" w:eastAsiaTheme="minorEastAsia"/>
        </w:rPr>
        <w:t>m³</w:t>
      </w:r>
      <w:r>
        <w:rPr>
          <w:rFonts w:hint="eastAsia" w:asciiTheme="minorEastAsia" w:hAnsiTheme="minorEastAsia" w:eastAsiaTheme="minorEastAsia"/>
        </w:rPr>
        <w:t>/h，热回收效率不低于</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本项目</w:t>
      </w:r>
      <w:r>
        <w:rPr>
          <w:rFonts w:asciiTheme="minorEastAsia" w:hAnsiTheme="minorEastAsia" w:eastAsiaTheme="minorEastAsia"/>
        </w:rPr>
        <w:t>空调系统的新风和回风</w:t>
      </w:r>
      <w:r>
        <w:rPr>
          <w:rFonts w:hint="eastAsia" w:asciiTheme="minorEastAsia" w:hAnsiTheme="minorEastAsia" w:eastAsiaTheme="minorEastAsia"/>
        </w:rPr>
        <w:t>配置净化设施或初效加中效过滤：□是；□否。</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u w:val="single"/>
        </w:rPr>
        <w:t xml:space="preserve">         </w:t>
      </w:r>
      <w:r>
        <w:rPr>
          <w:rFonts w:hint="eastAsia" w:asciiTheme="minorEastAsia" w:hAnsiTheme="minorEastAsia" w:eastAsiaTheme="minorEastAsia"/>
        </w:rPr>
        <w:t>系统（设备）设置过滤处理，过滤设施为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本项目新风取风口距离室外吸烟区直线距离不小于</w:t>
      </w:r>
      <w:r>
        <w:rPr>
          <w:rFonts w:hint="eastAsia" w:asciiTheme="minorEastAsia" w:hAnsiTheme="minorEastAsia" w:eastAsiaTheme="minorEastAsia"/>
          <w:u w:val="single"/>
        </w:rPr>
        <w:t xml:space="preserve">    </w:t>
      </w:r>
      <w:r>
        <w:rPr>
          <w:rFonts w:hint="eastAsia" w:asciiTheme="minorEastAsia" w:hAnsiTheme="minorEastAsia" w:eastAsiaTheme="minorEastAsia"/>
        </w:rPr>
        <w:t>m。</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管道与输配系统：</w:t>
      </w:r>
    </w:p>
    <w:p>
      <w:pPr>
        <w:pStyle w:val="88"/>
        <w:numPr>
          <w:ilvl w:val="1"/>
          <w:numId w:val="52"/>
        </w:numPr>
        <w:rPr>
          <w:rFonts w:asciiTheme="minorEastAsia" w:hAnsiTheme="minorEastAsia" w:eastAsiaTheme="minorEastAsia"/>
        </w:rPr>
      </w:pPr>
      <w:r>
        <w:rPr>
          <w:rFonts w:hint="eastAsia" w:asciiTheme="minorEastAsia" w:hAnsiTheme="minorEastAsia" w:eastAsiaTheme="minorEastAsia"/>
        </w:rPr>
        <w:t>本项目空调箱风机效率不小于</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；新风机组效率不小于</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；平时通风风机效率不小于</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w:t>
      </w:r>
      <w:r>
        <w:rPr>
          <w:rFonts w:hint="eastAsia" w:asciiTheme="minorEastAsia" w:hAnsiTheme="minorEastAsia" w:eastAsiaTheme="minorEastAsia"/>
          <w:u w:val="single"/>
        </w:rPr>
        <w:t>；</w:t>
      </w:r>
      <w:r>
        <w:rPr>
          <w:rFonts w:asciiTheme="minorEastAsia" w:hAnsiTheme="minorEastAsia" w:eastAsiaTheme="minorEastAsia"/>
        </w:rPr>
        <w:t>风机</w:t>
      </w:r>
      <w:r>
        <w:rPr>
          <w:rFonts w:hint="eastAsia" w:asciiTheme="minorEastAsia" w:hAnsiTheme="minorEastAsia" w:eastAsiaTheme="minorEastAsia"/>
        </w:rPr>
        <w:t>能效</w:t>
      </w:r>
      <w:r>
        <w:rPr>
          <w:rFonts w:asciiTheme="minorEastAsia" w:hAnsiTheme="minorEastAsia" w:eastAsiaTheme="minorEastAsia"/>
        </w:rPr>
        <w:t>满足</w:t>
      </w:r>
      <w:r>
        <w:rPr>
          <w:rFonts w:hint="eastAsia" w:asciiTheme="minorEastAsia" w:hAnsiTheme="minorEastAsia" w:eastAsiaTheme="minorEastAsia"/>
        </w:rPr>
        <w:t>《通风机</w:t>
      </w:r>
      <w:r>
        <w:rPr>
          <w:rFonts w:asciiTheme="minorEastAsia" w:hAnsiTheme="minorEastAsia" w:eastAsiaTheme="minorEastAsia"/>
        </w:rPr>
        <w:t>能效限定值及能效等级</w:t>
      </w:r>
      <w:r>
        <w:rPr>
          <w:rFonts w:hint="eastAsia" w:asciiTheme="minorEastAsia" w:hAnsiTheme="minorEastAsia" w:eastAsiaTheme="minorEastAsia"/>
        </w:rPr>
        <w:t>》GB 19761-2020中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hint="eastAsia" w:asciiTheme="minorEastAsia" w:hAnsiTheme="minorEastAsia" w:eastAsiaTheme="minorEastAsia"/>
        </w:rPr>
        <w:t>级</w:t>
      </w:r>
      <w:r>
        <w:rPr>
          <w:rFonts w:asciiTheme="minorEastAsia" w:hAnsiTheme="minorEastAsia" w:eastAsiaTheme="minorEastAsia"/>
        </w:rPr>
        <w:t>能效要求</w:t>
      </w:r>
      <w:r>
        <w:rPr>
          <w:rFonts w:hint="eastAsia" w:asciiTheme="minorEastAsia" w:hAnsiTheme="minorEastAsia" w:eastAsiaTheme="minorEastAsia"/>
        </w:rPr>
        <w:t>。新风系统单位风量耗功率最大值为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W/(m³/h）；全空气系统单位风量耗功率最大值为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W/(m³/h）；平时通风系统单位风量耗功率最大值为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W/(m³/h）；比现行国家标准《公共建筑节能设计标准》GB50189的规定降低</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本项目设置空调水系统：□是；□否</w:t>
      </w:r>
      <w:r>
        <w:rPr>
          <w:rFonts w:hint="eastAsia" w:cs="宋体" w:asciiTheme="minorEastAsia" w:hAnsiTheme="minorEastAsia" w:eastAsiaTheme="minorEastAsia"/>
        </w:rPr>
        <w:t>。</w:t>
      </w:r>
    </w:p>
    <w:p>
      <w:pPr>
        <w:pStyle w:val="88"/>
        <w:numPr>
          <w:ilvl w:val="0"/>
          <w:numId w:val="0"/>
        </w:numPr>
        <w:ind w:left="992"/>
        <w:rPr>
          <w:rFonts w:asciiTheme="minorEastAsia" w:hAnsiTheme="minorEastAsia" w:eastAsiaTheme="minorEastAsia"/>
          <w:u w:val="single"/>
        </w:rPr>
      </w:pPr>
      <w:r>
        <w:rPr>
          <w:rFonts w:hint="eastAsia" w:asciiTheme="minorEastAsia" w:hAnsiTheme="minorEastAsia" w:eastAsiaTheme="minorEastAsia"/>
        </w:rPr>
        <w:t>空调水系统为 □二管制 □四管制 □二管制局部四管制。空调水系统最远环路总长度</w:t>
      </w:r>
      <w:r>
        <w:rPr>
          <w:rFonts w:hint="eastAsia" w:asciiTheme="minorEastAsia" w:hAnsiTheme="minorEastAsia" w:eastAsiaTheme="minorEastAsia"/>
          <w:u w:val="single"/>
        </w:rPr>
        <w:t xml:space="preserve">    </w:t>
      </w:r>
      <w:r>
        <w:rPr>
          <w:rFonts w:hint="eastAsia" w:asciiTheme="minorEastAsia" w:hAnsiTheme="minorEastAsia" w:eastAsiaTheme="minorEastAsia"/>
        </w:rPr>
        <w:t>m，采用□</w:t>
      </w:r>
      <w:r>
        <w:rPr>
          <w:rFonts w:hint="eastAsia" w:asciiTheme="minorEastAsia" w:hAnsiTheme="minorEastAsia" w:eastAsiaTheme="minorEastAsia"/>
          <w:u w:val="single"/>
        </w:rPr>
        <w:t>一级泵□二级泵□多级泵</w:t>
      </w:r>
      <w:r>
        <w:rPr>
          <w:rFonts w:hint="eastAsia" w:asciiTheme="minorEastAsia" w:hAnsiTheme="minorEastAsia" w:eastAsiaTheme="minorEastAsia"/>
        </w:rPr>
        <w:t>系统，单台水泵功率分别为</w:t>
      </w:r>
      <w:r>
        <w:rPr>
          <w:rFonts w:hint="eastAsia" w:asciiTheme="minorEastAsia" w:hAnsiTheme="minorEastAsia" w:eastAsiaTheme="minorEastAsia"/>
          <w:u w:val="single"/>
        </w:rPr>
        <w:t xml:space="preserve">         </w:t>
      </w:r>
      <w:r>
        <w:rPr>
          <w:rFonts w:hint="eastAsia" w:asciiTheme="minorEastAsia" w:hAnsiTheme="minorEastAsia" w:eastAsiaTheme="minorEastAsia"/>
        </w:rPr>
        <w:t>kW，水泵□变频 □定频 且系统通过供回水干管的压差旁通阀变流量运行。</w:t>
      </w:r>
    </w:p>
    <w:p>
      <w:pPr>
        <w:pStyle w:val="88"/>
      </w:pPr>
      <w:r>
        <w:rPr>
          <w:rFonts w:hint="eastAsia"/>
        </w:rPr>
        <w:t>空调水系统原则采用 □异程式 □同程式机械循环，异程处设置压差平衡阀。空调冷水供水温度为</w:t>
      </w:r>
      <w:r>
        <w:rPr>
          <w:u w:val="single"/>
        </w:rPr>
        <w:t xml:space="preserve">  </w:t>
      </w:r>
      <w:r>
        <w:rPr>
          <w:rFonts w:hint="eastAsia"/>
          <w:u w:val="single"/>
        </w:rPr>
        <w:t xml:space="preserve">  </w:t>
      </w:r>
      <w:r>
        <w:rPr>
          <w:u w:val="single"/>
        </w:rPr>
        <w:t xml:space="preserve"> </w:t>
      </w:r>
      <w:r>
        <w:rPr>
          <w:rFonts w:hint="eastAsia"/>
        </w:rPr>
        <w:t>℃，空调冷水回水温度为</w:t>
      </w:r>
      <w:r>
        <w:rPr>
          <w:u w:val="single"/>
        </w:rPr>
        <w:t xml:space="preserve">  </w:t>
      </w:r>
      <w:r>
        <w:rPr>
          <w:rFonts w:hint="eastAsia"/>
          <w:u w:val="single"/>
        </w:rPr>
        <w:t xml:space="preserve">  </w:t>
      </w:r>
      <w:r>
        <w:rPr>
          <w:u w:val="single"/>
        </w:rPr>
        <w:t xml:space="preserve"> </w:t>
      </w:r>
      <w:r>
        <w:rPr>
          <w:rFonts w:hint="eastAsia"/>
        </w:rPr>
        <w:t>℃；空调热水供水温度为</w:t>
      </w:r>
      <w:r>
        <w:rPr>
          <w:u w:val="single"/>
        </w:rPr>
        <w:t xml:space="preserve"> </w:t>
      </w:r>
      <w:r>
        <w:rPr>
          <w:rFonts w:hint="eastAsia"/>
          <w:u w:val="single"/>
        </w:rPr>
        <w:t xml:space="preserve">  </w:t>
      </w:r>
      <w:r>
        <w:rPr>
          <w:u w:val="single"/>
        </w:rPr>
        <w:t xml:space="preserve">  </w:t>
      </w:r>
      <w:r>
        <w:rPr>
          <w:rFonts w:hint="eastAsia"/>
        </w:rPr>
        <w:t>℃，空调热水回水温度为</w:t>
      </w:r>
      <w:r>
        <w:rPr>
          <w:u w:val="single"/>
        </w:rPr>
        <w:t xml:space="preserve"> </w:t>
      </w:r>
      <w:r>
        <w:rPr>
          <w:rFonts w:hint="eastAsia"/>
          <w:u w:val="single"/>
        </w:rPr>
        <w:t xml:space="preserve">  </w:t>
      </w:r>
      <w:r>
        <w:rPr>
          <w:u w:val="single"/>
        </w:rPr>
        <w:t xml:space="preserve">  </w:t>
      </w:r>
      <w:r>
        <w:rPr>
          <w:rFonts w:hint="eastAsia"/>
        </w:rPr>
        <w:t>℃。冷热水泵 □分设 □合设。水泵效率不小于</w:t>
      </w:r>
      <w:r>
        <w:rPr>
          <w:u w:val="single"/>
        </w:rPr>
        <w:t xml:space="preserve">     </w:t>
      </w:r>
      <w:r>
        <w:t>％</w:t>
      </w:r>
      <w:r>
        <w:rPr>
          <w:rFonts w:hint="eastAsia"/>
        </w:rPr>
        <w:t>；</w:t>
      </w:r>
      <w:r>
        <w:rPr>
          <w:rFonts w:hint="eastAsia" w:asciiTheme="minorEastAsia" w:hAnsiTheme="minorEastAsia" w:eastAsiaTheme="minorEastAsia"/>
        </w:rPr>
        <w:t>水泵能效满足《清水离心泵能效</w:t>
      </w:r>
      <w:r>
        <w:rPr>
          <w:rFonts w:asciiTheme="minorEastAsia" w:hAnsiTheme="minorEastAsia" w:eastAsiaTheme="minorEastAsia"/>
        </w:rPr>
        <w:t>限定值及节能评价值</w:t>
      </w:r>
      <w:r>
        <w:rPr>
          <w:rFonts w:hint="eastAsia" w:asciiTheme="minorEastAsia" w:hAnsiTheme="minorEastAsia" w:eastAsiaTheme="minorEastAsia"/>
        </w:rPr>
        <w:t xml:space="preserve">》GB </w:t>
      </w:r>
      <w:r>
        <w:rPr>
          <w:rFonts w:asciiTheme="minorEastAsia" w:hAnsiTheme="minorEastAsia" w:eastAsiaTheme="minorEastAsia"/>
        </w:rPr>
        <w:t>19762</w:t>
      </w:r>
      <w:r>
        <w:rPr>
          <w:rFonts w:hint="eastAsia" w:asciiTheme="minorEastAsia" w:hAnsiTheme="minorEastAsia" w:eastAsiaTheme="minorEastAsia"/>
        </w:rPr>
        <w:t>-20</w:t>
      </w:r>
      <w:r>
        <w:rPr>
          <w:rFonts w:asciiTheme="minorEastAsia" w:hAnsiTheme="minorEastAsia" w:eastAsiaTheme="minorEastAsia"/>
        </w:rPr>
        <w:t>07</w:t>
      </w:r>
      <w:r>
        <w:rPr>
          <w:rFonts w:hint="eastAsia" w:asciiTheme="minorEastAsia" w:hAnsiTheme="minorEastAsia" w:eastAsiaTheme="minorEastAsia"/>
        </w:rPr>
        <w:t>中节能评价值要求。</w:t>
      </w:r>
      <w:r>
        <w:rPr>
          <w:rFonts w:hint="eastAsia"/>
        </w:rPr>
        <w:t>循环水泵耗电输冷比计算值</w:t>
      </w:r>
      <w:r>
        <w:rPr>
          <w:u w:val="single"/>
        </w:rPr>
        <w:t xml:space="preserve">      </w:t>
      </w:r>
      <w:r>
        <w:rPr>
          <w:rFonts w:hint="eastAsia"/>
        </w:rPr>
        <w:t>，判定值</w:t>
      </w:r>
      <w:r>
        <w:rPr>
          <w:u w:val="single"/>
        </w:rPr>
        <w:t xml:space="preserve">     </w:t>
      </w:r>
      <w:r>
        <w:rPr>
          <w:rFonts w:hint="eastAsia"/>
        </w:rPr>
        <w:t>；耗电输热比计算值</w:t>
      </w:r>
      <w:r>
        <w:rPr>
          <w:u w:val="single"/>
        </w:rPr>
        <w:t xml:space="preserve">     </w:t>
      </w:r>
      <w:r>
        <w:rPr>
          <w:rFonts w:hint="eastAsia"/>
        </w:rPr>
        <w:t>，</w:t>
      </w:r>
      <w:r>
        <w:t>判定值</w:t>
      </w:r>
      <w:r>
        <w:rPr>
          <w:u w:val="single"/>
        </w:rPr>
        <w:t xml:space="preserve">     </w:t>
      </w:r>
      <w:r>
        <w:rPr>
          <w:rFonts w:hint="eastAsia"/>
        </w:rPr>
        <w:t>。</w:t>
      </w:r>
    </w:p>
    <w:p>
      <w:pPr>
        <w:pStyle w:val="88"/>
      </w:pPr>
      <w:r>
        <w:rPr>
          <w:rFonts w:hint="eastAsia"/>
        </w:rPr>
        <w:t>本项目空调系统电制冷性能系数SCOP≥</w:t>
      </w:r>
      <w:r>
        <w:rPr>
          <w:u w:val="single"/>
        </w:rPr>
        <w:t xml:space="preserve">       </w:t>
      </w:r>
      <w:r>
        <w:t>W/W</w:t>
      </w:r>
      <w:r>
        <w:rPr>
          <w:rFonts w:hint="eastAsia"/>
        </w:rPr>
        <w:t>，满足</w:t>
      </w:r>
      <w:r>
        <w:rPr>
          <w:rFonts w:hint="eastAsia" w:asciiTheme="minorEastAsia" w:hAnsiTheme="minorEastAsia" w:eastAsiaTheme="minorEastAsia"/>
        </w:rPr>
        <w:tab/>
      </w:r>
      <w:r>
        <w:rPr>
          <w:rFonts w:hint="eastAsia" w:asciiTheme="minorEastAsia" w:hAnsiTheme="minorEastAsia" w:eastAsiaTheme="minorEastAsia"/>
        </w:rPr>
        <w:t>浙江省《绿色建筑设计标准》 DB 33/1092-2021</w:t>
      </w:r>
      <w:r>
        <w:rPr>
          <w:rFonts w:hint="eastAsia"/>
        </w:rPr>
        <w:t>的规定。</w:t>
      </w:r>
    </w:p>
    <w:p>
      <w:pPr>
        <w:pStyle w:val="88"/>
        <w:rPr>
          <w:rFonts w:asciiTheme="minorEastAsia" w:hAnsiTheme="minorEastAsia" w:eastAsiaTheme="minorEastAsia"/>
        </w:rPr>
      </w:pPr>
      <w:r>
        <w:rPr>
          <w:rFonts w:asciiTheme="minorEastAsia" w:hAnsiTheme="minorEastAsia" w:eastAsiaTheme="minorEastAsia"/>
        </w:rPr>
        <w:t>循环冷却水系统及空调冷、热水系统设置</w:t>
      </w:r>
      <w:r>
        <w:rPr>
          <w:rFonts w:hint="eastAsia" w:asciiTheme="minorEastAsia" w:hAnsiTheme="minorEastAsia" w:eastAsiaTheme="minorEastAsia"/>
          <w:u w:val="single"/>
        </w:rPr>
        <w:t xml:space="preserve">            </w:t>
      </w:r>
      <w:r>
        <w:rPr>
          <w:rFonts w:asciiTheme="minorEastAsia" w:hAnsiTheme="minorEastAsia" w:eastAsiaTheme="minorEastAsia"/>
        </w:rPr>
        <w:t>水处理设施。</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保温与隔热：</w:t>
      </w:r>
    </w:p>
    <w:p>
      <w:pPr>
        <w:pStyle w:val="88"/>
        <w:numPr>
          <w:ilvl w:val="1"/>
          <w:numId w:val="40"/>
        </w:numPr>
        <w:rPr>
          <w:rFonts w:asciiTheme="minorEastAsia" w:hAnsiTheme="minorEastAsia" w:eastAsiaTheme="minorEastAsia"/>
        </w:rPr>
      </w:pPr>
      <w:r>
        <w:rPr>
          <w:rFonts w:hint="eastAsia" w:asciiTheme="minorEastAsia" w:hAnsiTheme="minorEastAsia" w:eastAsiaTheme="minorEastAsia"/>
        </w:rPr>
        <w:t>空调风管采用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材料保温，保温热阻</w:t>
      </w:r>
      <w:r>
        <w:rPr>
          <w:rFonts w:hint="eastAsia" w:cs="宋体" w:asciiTheme="minorEastAsia" w:hAnsiTheme="minorEastAsia" w:eastAsiaTheme="minorEastAsia"/>
        </w:rPr>
        <w:t>≥</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m²·K/W，</w:t>
      </w:r>
      <w:r>
        <w:rPr>
          <w:rFonts w:hint="eastAsia" w:asciiTheme="minorEastAsia" w:hAnsiTheme="minorEastAsia" w:eastAsiaTheme="minorEastAsia"/>
        </w:rPr>
        <w:t>保温厚度为</w:t>
      </w:r>
      <w:r>
        <w:rPr>
          <w:rFonts w:hint="eastAsia" w:asciiTheme="minorEastAsia" w:hAnsiTheme="minorEastAsia" w:eastAsiaTheme="minorEastAsia"/>
          <w:u w:val="single"/>
        </w:rPr>
        <w:t xml:space="preserve">       </w:t>
      </w:r>
      <w:r>
        <w:rPr>
          <w:rFonts w:hint="eastAsia" w:asciiTheme="minorEastAsia" w:hAnsiTheme="minorEastAsia" w:eastAsiaTheme="minorEastAsia"/>
        </w:rPr>
        <w:t>mm。</w:t>
      </w:r>
    </w:p>
    <w:p>
      <w:pPr>
        <w:pStyle w:val="88"/>
        <w:rPr>
          <w:rFonts w:asciiTheme="minorEastAsia" w:hAnsiTheme="minorEastAsia" w:eastAsiaTheme="minorEastAsia"/>
        </w:rPr>
      </w:pPr>
      <w:r>
        <w:rPr>
          <w:rFonts w:hint="eastAsia" w:asciiTheme="minorEastAsia" w:hAnsiTheme="minorEastAsia" w:eastAsiaTheme="minorEastAsia"/>
        </w:rPr>
        <w:t>空调水管采用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材料保温，保温厚度见下表：</w:t>
      </w:r>
    </w:p>
    <w:tbl>
      <w:tblPr>
        <w:tblStyle w:val="4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1633"/>
        <w:gridCol w:w="1111"/>
        <w:gridCol w:w="2050"/>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tcBorders>
              <w:tl2br w:val="single" w:color="auto" w:sz="4" w:space="0"/>
            </w:tcBorders>
            <w:vAlign w:val="bottom"/>
          </w:tcPr>
          <w:p>
            <w:pPr>
              <w:spacing w:line="400" w:lineRule="exact"/>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绝热材料</w:t>
            </w:r>
          </w:p>
          <w:p>
            <w:pPr>
              <w:spacing w:line="400" w:lineRule="exact"/>
              <w:ind w:firstLine="420"/>
              <w:rPr>
                <w:rFonts w:cs="宋体" w:asciiTheme="minorEastAsia" w:hAnsiTheme="minorEastAsia" w:eastAsiaTheme="minorEastAsia"/>
                <w:szCs w:val="21"/>
              </w:rPr>
            </w:pPr>
            <w:r>
              <w:rPr>
                <w:rFonts w:cs="宋体" w:asciiTheme="minorEastAsia" w:hAnsiTheme="minorEastAsia" w:eastAsiaTheme="minorEastAsia"/>
                <w:szCs w:val="21"/>
              </w:rPr>
              <w:t>管道类型</w:t>
            </w:r>
          </w:p>
        </w:tc>
        <w:tc>
          <w:tcPr>
            <w:tcW w:w="2835" w:type="dxa"/>
            <w:gridSpan w:val="2"/>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玻璃棉管壳</w:t>
            </w:r>
          </w:p>
        </w:tc>
        <w:tc>
          <w:tcPr>
            <w:tcW w:w="3489" w:type="dxa"/>
            <w:gridSpan w:val="2"/>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柔性泡沫橡塑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tcBorders>
              <w:tl2br w:val="single" w:color="auto" w:sz="4" w:space="0"/>
            </w:tcBorders>
            <w:vAlign w:val="center"/>
          </w:tcPr>
          <w:p>
            <w:pPr>
              <w:spacing w:line="400" w:lineRule="exact"/>
              <w:ind w:firstLine="420"/>
              <w:jc w:val="center"/>
              <w:rPr>
                <w:rFonts w:cs="宋体" w:asciiTheme="minorEastAsia" w:hAnsiTheme="minorEastAsia" w:eastAsiaTheme="minorEastAsia"/>
                <w:szCs w:val="21"/>
              </w:rPr>
            </w:pPr>
          </w:p>
        </w:tc>
        <w:tc>
          <w:tcPr>
            <w:tcW w:w="1701"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公称管径（mm）</w:t>
            </w:r>
          </w:p>
        </w:tc>
        <w:tc>
          <w:tcPr>
            <w:tcW w:w="1134"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厚度（mm）</w:t>
            </w:r>
          </w:p>
        </w:tc>
        <w:tc>
          <w:tcPr>
            <w:tcW w:w="2155"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公称管径（mm）</w:t>
            </w:r>
          </w:p>
        </w:tc>
        <w:tc>
          <w:tcPr>
            <w:tcW w:w="1334"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厚度（mm）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vAlign w:val="center"/>
          </w:tcPr>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单冷管道</w:t>
            </w:r>
          </w:p>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（管内介质温度</w:t>
            </w:r>
            <w:r>
              <w:rPr>
                <w:rFonts w:hint="eastAsia" w:cs="宋体" w:asciiTheme="minorEastAsia" w:hAnsiTheme="minorEastAsia" w:eastAsiaTheme="minorEastAsia"/>
                <w:szCs w:val="21"/>
                <w:u w:val="single"/>
              </w:rPr>
              <w:t>5℃</w:t>
            </w:r>
            <w:r>
              <w:rPr>
                <w:rFonts w:cs="宋体" w:asciiTheme="minorEastAsia" w:hAnsiTheme="minorEastAsia" w:eastAsiaTheme="minorEastAsia"/>
                <w:szCs w:val="21"/>
                <w:u w:val="single"/>
              </w:rPr>
              <w:t>~常温）</w:t>
            </w: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vAlign w:val="center"/>
          </w:tcPr>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热或冷热合用管道</w:t>
            </w:r>
          </w:p>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（管内介质温度5</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60</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w:t>
            </w: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u w:val="single"/>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right="-105" w:rightChars="-50"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u w:val="single"/>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u w:val="single"/>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2155" w:type="dxa"/>
            <w:vAlign w:val="center"/>
          </w:tcPr>
          <w:p>
            <w:pPr>
              <w:spacing w:line="400" w:lineRule="exact"/>
              <w:ind w:firstLine="420"/>
              <w:jc w:val="center"/>
              <w:rPr>
                <w:rFonts w:cs="宋体" w:asciiTheme="minorEastAsia" w:hAnsiTheme="minorEastAsia" w:eastAsiaTheme="minorEastAsia"/>
                <w:szCs w:val="21"/>
              </w:rPr>
            </w:pPr>
          </w:p>
        </w:tc>
        <w:tc>
          <w:tcPr>
            <w:tcW w:w="1334" w:type="dxa"/>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vAlign w:val="center"/>
          </w:tcPr>
          <w:p>
            <w:pPr>
              <w:spacing w:line="400" w:lineRule="exact"/>
              <w:jc w:val="center"/>
              <w:rPr>
                <w:rFonts w:cs="宋体" w:asciiTheme="minorEastAsia" w:hAnsiTheme="minorEastAsia" w:eastAsiaTheme="minorEastAsia"/>
                <w:szCs w:val="21"/>
                <w:u w:val="single"/>
              </w:rPr>
            </w:pPr>
            <w:r>
              <w:rPr>
                <w:rFonts w:hint="eastAsia" w:cs="宋体" w:asciiTheme="minorEastAsia" w:hAnsiTheme="minorEastAsia" w:eastAsiaTheme="minorEastAsia"/>
                <w:szCs w:val="21"/>
                <w:u w:val="single"/>
              </w:rPr>
              <w:t>热或冷热合用管道</w:t>
            </w:r>
          </w:p>
          <w:p>
            <w:pPr>
              <w:spacing w:line="400" w:lineRule="exact"/>
              <w:jc w:val="center"/>
              <w:rPr>
                <w:rFonts w:cs="宋体" w:asciiTheme="minorEastAsia" w:hAnsiTheme="minorEastAsia" w:eastAsiaTheme="minorEastAsia"/>
                <w:szCs w:val="21"/>
                <w:u w:val="single"/>
              </w:rPr>
            </w:pPr>
            <w:r>
              <w:rPr>
                <w:rFonts w:hint="eastAsia" w:cs="宋体" w:asciiTheme="minorEastAsia" w:hAnsiTheme="minorEastAsia" w:eastAsiaTheme="minorEastAsia"/>
                <w:szCs w:val="21"/>
                <w:u w:val="single"/>
              </w:rPr>
              <w:t>（管内介质温度</w:t>
            </w:r>
            <w:r>
              <w:rPr>
                <w:rFonts w:cs="宋体" w:asciiTheme="minorEastAsia" w:hAnsiTheme="minorEastAsia" w:eastAsiaTheme="minorEastAsia"/>
                <w:szCs w:val="21"/>
                <w:u w:val="single"/>
              </w:rPr>
              <w:t>0</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95</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w:t>
            </w: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3489" w:type="dxa"/>
            <w:gridSpan w:val="2"/>
            <w:vMerge w:val="restart"/>
            <w:vAlign w:val="center"/>
          </w:tcPr>
          <w:p>
            <w:pPr>
              <w:spacing w:line="400" w:lineRule="exact"/>
              <w:ind w:firstLine="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u w:val="single"/>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3489" w:type="dxa"/>
            <w:gridSpan w:val="2"/>
            <w:vMerge w:val="continue"/>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u w:val="single"/>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3489" w:type="dxa"/>
            <w:gridSpan w:val="2"/>
            <w:vMerge w:val="continue"/>
            <w:vAlign w:val="center"/>
          </w:tcPr>
          <w:p>
            <w:pPr>
              <w:spacing w:line="400" w:lineRule="exact"/>
              <w:ind w:firstLine="420"/>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ind w:firstLine="420"/>
              <w:jc w:val="center"/>
              <w:rPr>
                <w:rFonts w:cs="宋体" w:asciiTheme="minorEastAsia" w:hAnsiTheme="minorEastAsia" w:eastAsiaTheme="minorEastAsia"/>
                <w:szCs w:val="21"/>
                <w:u w:val="single"/>
              </w:rPr>
            </w:pPr>
          </w:p>
        </w:tc>
        <w:tc>
          <w:tcPr>
            <w:tcW w:w="1701" w:type="dxa"/>
            <w:vAlign w:val="center"/>
          </w:tcPr>
          <w:p>
            <w:pPr>
              <w:spacing w:line="400" w:lineRule="exact"/>
              <w:ind w:firstLine="420"/>
              <w:jc w:val="center"/>
              <w:rPr>
                <w:rFonts w:cs="宋体" w:asciiTheme="minorEastAsia" w:hAnsiTheme="minorEastAsia" w:eastAsiaTheme="minorEastAsia"/>
                <w:szCs w:val="21"/>
              </w:rPr>
            </w:pPr>
          </w:p>
        </w:tc>
        <w:tc>
          <w:tcPr>
            <w:tcW w:w="1134" w:type="dxa"/>
            <w:vAlign w:val="center"/>
          </w:tcPr>
          <w:p>
            <w:pPr>
              <w:spacing w:line="400" w:lineRule="exact"/>
              <w:ind w:firstLine="420"/>
              <w:jc w:val="center"/>
              <w:rPr>
                <w:rFonts w:cs="宋体" w:asciiTheme="minorEastAsia" w:hAnsiTheme="minorEastAsia" w:eastAsiaTheme="minorEastAsia"/>
                <w:szCs w:val="21"/>
                <w:u w:val="single"/>
              </w:rPr>
            </w:pPr>
          </w:p>
        </w:tc>
        <w:tc>
          <w:tcPr>
            <w:tcW w:w="3489" w:type="dxa"/>
            <w:gridSpan w:val="2"/>
            <w:vAlign w:val="center"/>
          </w:tcPr>
          <w:p>
            <w:pPr>
              <w:spacing w:line="400" w:lineRule="exact"/>
              <w:ind w:firstLine="420"/>
              <w:jc w:val="center"/>
              <w:rPr>
                <w:rFonts w:cs="宋体" w:asciiTheme="minorEastAsia" w:hAnsiTheme="minorEastAsia" w:eastAsiaTheme="minorEastAsia"/>
                <w:szCs w:val="21"/>
                <w:u w:val="single"/>
              </w:rPr>
            </w:pPr>
          </w:p>
        </w:tc>
      </w:tr>
    </w:tbl>
    <w:p>
      <w:pPr>
        <w:pStyle w:val="70"/>
        <w:spacing w:line="400" w:lineRule="exact"/>
        <w:ind w:firstLine="945" w:firstLineChars="450"/>
        <w:jc w:val="left"/>
        <w:rPr>
          <w:rFonts w:asciiTheme="minorEastAsia" w:hAnsiTheme="minorEastAsia" w:eastAsiaTheme="minorEastAsia"/>
          <w:kern w:val="24"/>
          <w:szCs w:val="21"/>
        </w:rPr>
      </w:pPr>
      <w:r>
        <w:rPr>
          <w:rFonts w:hint="eastAsia" w:asciiTheme="minorEastAsia" w:hAnsiTheme="minorEastAsia" w:eastAsiaTheme="minorEastAsia"/>
          <w:kern w:val="24"/>
          <w:szCs w:val="21"/>
        </w:rPr>
        <w:t>注：对于潮湿环境下及室外的的水管保温厚度根据表中数据加厚一档设置。</w:t>
      </w:r>
    </w:p>
    <w:p>
      <w:pPr>
        <w:pStyle w:val="88"/>
        <w:rPr>
          <w:rFonts w:asciiTheme="minorEastAsia" w:hAnsiTheme="minorEastAsia" w:eastAsiaTheme="minorEastAsia"/>
        </w:rPr>
      </w:pPr>
      <w:r>
        <w:rPr>
          <w:rFonts w:hint="eastAsia" w:asciiTheme="minorEastAsia" w:hAnsiTheme="minorEastAsia" w:eastAsiaTheme="minorEastAsia"/>
        </w:rPr>
        <w:t>冷媒管采用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材料保温，其导热系数</w:t>
      </w:r>
      <w:r>
        <w:rPr>
          <w:rFonts w:hint="eastAsia" w:asciiTheme="minorEastAsia" w:hAnsiTheme="minorEastAsia" w:eastAsiaTheme="minorEastAsia"/>
          <w:u w:val="single"/>
        </w:rPr>
        <w:t xml:space="preserve">     </w:t>
      </w:r>
      <w:r>
        <w:rPr>
          <w:rFonts w:hint="eastAsia" w:asciiTheme="minorEastAsia" w:hAnsiTheme="minorEastAsia" w:eastAsiaTheme="minorEastAsia"/>
        </w:rPr>
        <w:t>，保温厚度为</w:t>
      </w:r>
      <w:r>
        <w:rPr>
          <w:rFonts w:hint="eastAsia" w:asciiTheme="minorEastAsia" w:hAnsiTheme="minorEastAsia" w:eastAsiaTheme="minorEastAsia"/>
          <w:u w:val="single"/>
        </w:rPr>
        <w:t xml:space="preserve">       </w:t>
      </w:r>
      <w:r>
        <w:rPr>
          <w:rFonts w:hint="eastAsia" w:asciiTheme="minorEastAsia" w:hAnsiTheme="minorEastAsia" w:eastAsiaTheme="minorEastAsia"/>
        </w:rPr>
        <w:t>mm。</w:t>
      </w:r>
    </w:p>
    <w:p>
      <w:pPr>
        <w:pStyle w:val="88"/>
        <w:rPr>
          <w:rFonts w:asciiTheme="minorEastAsia" w:hAnsiTheme="minorEastAsia" w:eastAsiaTheme="minorEastAsia"/>
        </w:rPr>
      </w:pPr>
      <w:r>
        <w:rPr>
          <w:rFonts w:hint="eastAsia" w:asciiTheme="minorEastAsia" w:hAnsiTheme="minorEastAsia" w:eastAsiaTheme="minorEastAsia"/>
        </w:rPr>
        <w:t>空调冷凝水管采用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材料保温，其导热系数</w:t>
      </w:r>
      <w:r>
        <w:rPr>
          <w:rFonts w:hint="eastAsia" w:asciiTheme="minorEastAsia" w:hAnsiTheme="minorEastAsia" w:eastAsiaTheme="minorEastAsia"/>
          <w:u w:val="single"/>
        </w:rPr>
        <w:t xml:space="preserve">     </w:t>
      </w:r>
      <w:r>
        <w:rPr>
          <w:rFonts w:hint="eastAsia" w:asciiTheme="minorEastAsia" w:hAnsiTheme="minorEastAsia" w:eastAsiaTheme="minorEastAsia"/>
        </w:rPr>
        <w:t>，保温厚度为</w:t>
      </w:r>
      <w:r>
        <w:rPr>
          <w:rFonts w:hint="eastAsia" w:asciiTheme="minorEastAsia" w:hAnsiTheme="minorEastAsia" w:eastAsiaTheme="minorEastAsia"/>
          <w:u w:val="single"/>
        </w:rPr>
        <w:t xml:space="preserve">       </w:t>
      </w:r>
      <w:r>
        <w:rPr>
          <w:rFonts w:hint="eastAsia" w:asciiTheme="minorEastAsia" w:hAnsiTheme="minorEastAsia" w:eastAsiaTheme="minorEastAsia"/>
        </w:rPr>
        <w:t>mm。</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空调系统控制：</w:t>
      </w:r>
    </w:p>
    <w:p>
      <w:pPr>
        <w:pStyle w:val="88"/>
        <w:rPr>
          <w:rFonts w:asciiTheme="minorEastAsia" w:hAnsiTheme="minorEastAsia" w:eastAsiaTheme="minorEastAsia"/>
        </w:rPr>
      </w:pPr>
      <w:r>
        <w:rPr>
          <w:rFonts w:hint="eastAsia" w:asciiTheme="minorEastAsia" w:hAnsiTheme="minorEastAsia" w:eastAsiaTheme="minorEastAsia"/>
        </w:rPr>
        <w:t>本项目空调冷热源中心设置机组群控系统：□是；□否。当采用群控方式时，控制系统能根据负荷变化、系统特性来进行优化运行控制。</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空调冷、热源系统的控制应满足下列基本要求：</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冷水机组采用冷量优化控制运行台数的方式：□是；□否。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冷水机组或热交换器、水泵、冷却塔的风机等设备连锁启停：□是；□否。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对供、回水温度及压差进行监测：□是；□否。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对设备运行状态进行监测及故障报警：□是；□否。</w:t>
      </w:r>
    </w:p>
    <w:p>
      <w:pPr>
        <w:pStyle w:val="89"/>
        <w:numPr>
          <w:ilvl w:val="0"/>
          <w:numId w:val="0"/>
        </w:numPr>
        <w:spacing w:line="400" w:lineRule="exact"/>
        <w:ind w:left="987"/>
        <w:rPr>
          <w:rFonts w:asciiTheme="minorEastAsia" w:hAnsiTheme="minorEastAsia" w:eastAsiaTheme="minorEastAsia"/>
        </w:rPr>
      </w:pPr>
      <w:r>
        <w:rPr>
          <w:rFonts w:asciiTheme="minorEastAsia" w:hAnsiTheme="minorEastAsia" w:eastAsiaTheme="minorEastAsia"/>
        </w:rPr>
        <w:t>根据末端需求进行水泵台数和转速的控制</w:t>
      </w:r>
      <w:r>
        <w:rPr>
          <w:rFonts w:hint="eastAsia" w:asciiTheme="minorEastAsia" w:hAnsiTheme="minorEastAsia" w:eastAsiaTheme="minorEastAsia"/>
        </w:rPr>
        <w:t>：□是；□否。</w:t>
      </w:r>
    </w:p>
    <w:p>
      <w:pPr>
        <w:pStyle w:val="89"/>
        <w:spacing w:line="400" w:lineRule="exact"/>
        <w:ind w:leftChars="0" w:hanging="567" w:firstLineChars="0"/>
        <w:rPr>
          <w:rFonts w:asciiTheme="minorEastAsia" w:hAnsiTheme="minorEastAsia" w:eastAsiaTheme="minorEastAsia"/>
        </w:rPr>
      </w:pPr>
      <w:r>
        <w:rPr>
          <w:rFonts w:hint="eastAsia" w:asciiTheme="minorEastAsia" w:hAnsiTheme="minorEastAsia" w:eastAsiaTheme="minorEastAsia"/>
        </w:rPr>
        <w:t>空调风系统应满足下列基本控制要求：</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空气温、湿度的监测和控制：□是；□否。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风机、风阀的启停连锁控制：□是；□否。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全空气系统风机采用变速控制方式：□是；□否。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全空气系统通过室内外焓值比较，来确定采用变新风比运行：□是；□否。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设备运行状态的监测及故障报警：□是；□否。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过滤器超压报警或显示：□是；□否。</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多联式空调（热泵）系统□不设置 □设置集中控制系统。</w:t>
      </w:r>
    </w:p>
    <w:p>
      <w:pPr>
        <w:pStyle w:val="88"/>
        <w:rPr>
          <w:rFonts w:asciiTheme="minorEastAsia" w:hAnsiTheme="minorEastAsia" w:eastAsiaTheme="minorEastAsia"/>
        </w:rPr>
      </w:pPr>
      <w:r>
        <w:rPr>
          <w:rFonts w:hint="eastAsia" w:asciiTheme="minorEastAsia" w:hAnsiTheme="minorEastAsia" w:eastAsiaTheme="minorEastAsia"/>
        </w:rPr>
        <w:t>锅炉房及换热机房 □不设置 □设置 供热量控制装置。锅炉房、换热机房和制冷机房对燃料的消耗量、耗电量、集中供热系统的供热量、补水量以及集中空调系统冷源的供冷量设置计量，循环水泵耗电量单独计量。</w:t>
      </w:r>
    </w:p>
    <w:p>
      <w:pPr>
        <w:pStyle w:val="88"/>
        <w:rPr>
          <w:rFonts w:asciiTheme="minorEastAsia" w:hAnsiTheme="minorEastAsia" w:eastAsiaTheme="minorEastAsia"/>
        </w:rPr>
      </w:pPr>
      <w:r>
        <w:rPr>
          <w:rFonts w:hint="eastAsia" w:asciiTheme="minorEastAsia" w:hAnsiTheme="minorEastAsia" w:eastAsiaTheme="minorEastAsia"/>
        </w:rPr>
        <w:t>地下车库□不设置 □设置与排风设备联动的一氧化碳浓度监测装置。CO浓度监控系统监测点每个防烟分区设置</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个，敷设于车库行车通道两侧的结构柱上并远离车库出入口，监测点距离车库地面完成面1.5m。当CO短时间接触浓度（15分钟的时间加权平均浓度）大于20mg/m3时启动该防烟分区排风机及其联动的进风机运行。</w:t>
      </w:r>
    </w:p>
    <w:p>
      <w:pPr>
        <w:pStyle w:val="88"/>
        <w:rPr>
          <w:rFonts w:asciiTheme="minorEastAsia" w:hAnsiTheme="minorEastAsia" w:eastAsiaTheme="minorEastAsia"/>
        </w:rPr>
      </w:pPr>
      <w:r>
        <w:rPr>
          <w:rFonts w:hint="eastAsia" w:asciiTheme="minorEastAsia" w:hAnsiTheme="minorEastAsia" w:eastAsiaTheme="minorEastAsia"/>
        </w:rPr>
        <w:t>本项目</w:t>
      </w:r>
      <w:r>
        <w:rPr>
          <w:rFonts w:asciiTheme="minorEastAsia" w:hAnsiTheme="minorEastAsia" w:eastAsiaTheme="minorEastAsia"/>
        </w:rPr>
        <w:t>空调系统</w:t>
      </w:r>
      <w:r>
        <w:rPr>
          <w:rFonts w:hint="eastAsia" w:asciiTheme="minorEastAsia" w:hAnsiTheme="minorEastAsia" w:eastAsiaTheme="minorEastAsia"/>
        </w:rPr>
        <w:t>□不设置  □设置包含 CO2、PM2.5及PM10的测量功能的室内空气质量监测系统，并具备定时连续测量、显示、记录和数据传输功能，监测系统对污染物的采样周期不得长于10min。</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其它：</w:t>
      </w:r>
    </w:p>
    <w:p>
      <w:pPr>
        <w:pStyle w:val="88"/>
        <w:numPr>
          <w:ilvl w:val="1"/>
          <w:numId w:val="53"/>
        </w:numPr>
        <w:rPr>
          <w:rFonts w:asciiTheme="minorEastAsia" w:hAnsiTheme="minorEastAsia" w:eastAsiaTheme="minorEastAsia"/>
        </w:rPr>
      </w:pPr>
      <w:r>
        <w:rPr>
          <w:rFonts w:hint="eastAsia" w:asciiTheme="minorEastAsia" w:hAnsiTheme="minorEastAsia" w:eastAsiaTheme="minorEastAsia"/>
        </w:rPr>
        <w:t>供暖、通风与空调系统能耗降低幅度经过模拟优化且被评审认定。□否；□是，供暖、通风与空调系统能耗降低幅度</w:t>
      </w:r>
      <w:r>
        <w:rPr>
          <w:rFonts w:hint="eastAsia" w:asciiTheme="minorEastAsia" w:hAnsiTheme="minorEastAsia" w:eastAsiaTheme="minorEastAsia"/>
          <w:u w:val="single"/>
        </w:rPr>
        <w:t xml:space="preserve">          。</w:t>
      </w:r>
    </w:p>
    <w:p>
      <w:pPr>
        <w:pStyle w:val="88"/>
        <w:rPr>
          <w:rFonts w:asciiTheme="minorEastAsia" w:hAnsiTheme="minorEastAsia" w:eastAsiaTheme="minorEastAsia"/>
        </w:rPr>
      </w:pPr>
      <w:r>
        <w:rPr>
          <w:rFonts w:hint="eastAsia" w:asciiTheme="minorEastAsia" w:hAnsiTheme="minorEastAsia" w:eastAsiaTheme="minorEastAsia"/>
        </w:rPr>
        <w:t>其它说明的内容</w:t>
      </w:r>
      <w:r>
        <w:rPr>
          <w:rFonts w:hint="eastAsia" w:asciiTheme="minorEastAsia" w:hAnsiTheme="minorEastAsia" w:eastAsiaTheme="minorEastAsia"/>
          <w:b/>
        </w:rPr>
        <w:t>（表中内容罗列了常见暖通空调系统填写内容，对于实际项目中，应根据实际设计中采取的技术措施相应增加与减少对应的条款。）</w:t>
      </w:r>
    </w:p>
    <w:p>
      <w:pPr>
        <w:snapToGrid w:val="0"/>
        <w:spacing w:line="360" w:lineRule="auto"/>
        <w:jc w:val="left"/>
        <w:rPr>
          <w:rFonts w:ascii="Times New Roman" w:cs="宋体"/>
          <w:color w:val="000000"/>
          <w:kern w:val="0"/>
          <w:sz w:val="24"/>
          <w:lang w:val="en-GB"/>
        </w:rPr>
        <w:sectPr>
          <w:headerReference r:id="rId15" w:type="default"/>
          <w:pgSz w:w="23811" w:h="16838" w:orient="landscape"/>
          <w:pgMar w:top="1440" w:right="1800" w:bottom="1440" w:left="1800" w:header="851" w:footer="992" w:gutter="0"/>
          <w:cols w:space="630" w:num="2"/>
          <w:docGrid w:type="lines" w:linePitch="312" w:charSpace="0"/>
        </w:sectPr>
      </w:pPr>
    </w:p>
    <w:p>
      <w:pPr>
        <w:pStyle w:val="63"/>
        <w:ind w:firstLine="0"/>
        <w:rPr>
          <w:rFonts w:asciiTheme="minorEastAsia" w:hAnsiTheme="minorEastAsia" w:eastAsiaTheme="minorEastAsia"/>
          <w:b/>
        </w:rPr>
      </w:pPr>
      <w:bookmarkStart w:id="18" w:name="_Toc109325295"/>
      <w:bookmarkStart w:id="19" w:name="_Toc109325931"/>
      <w:r>
        <w:rPr>
          <w:rFonts w:hint="eastAsia" w:asciiTheme="minorEastAsia" w:hAnsiTheme="minorEastAsia" w:eastAsiaTheme="minorEastAsia"/>
          <w:b/>
        </w:rPr>
        <w:t>一、电气及智能化主要设计依据：</w:t>
      </w:r>
      <w:bookmarkEnd w:id="18"/>
      <w:bookmarkEnd w:id="19"/>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《浙江省绿色建筑条例》 ；</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r>
        <w:rPr>
          <w:rFonts w:asciiTheme="minorEastAsia" w:hAnsiTheme="minorEastAsia" w:eastAsiaTheme="minorEastAsia"/>
          <w:szCs w:val="21"/>
        </w:rPr>
        <w:t xml:space="preserve"> ；</w:t>
      </w:r>
    </w:p>
    <w:p>
      <w:pPr>
        <w:numPr>
          <w:ilvl w:val="0"/>
          <w:numId w:val="54"/>
        </w:numPr>
        <w:autoSpaceDE w:val="0"/>
        <w:autoSpaceDN w:val="0"/>
        <w:adjustRightInd w:val="0"/>
        <w:spacing w:line="400" w:lineRule="exact"/>
        <w:ind w:left="426"/>
        <w:jc w:val="left"/>
        <w:rPr>
          <w:rFonts w:asciiTheme="minorEastAsia" w:hAnsiTheme="minorEastAsia" w:eastAsiaTheme="minorEastAsia"/>
          <w:szCs w:val="21"/>
        </w:rPr>
      </w:pPr>
      <w:r>
        <w:rPr>
          <w:rFonts w:hint="eastAsia" w:asciiTheme="minorEastAsia" w:hAnsiTheme="minorEastAsia" w:eastAsiaTheme="minorEastAsia"/>
          <w:szCs w:val="21"/>
        </w:rPr>
        <w:t>《建筑节能与可再生能源利用通用规范》</w:t>
      </w:r>
      <w:r>
        <w:rPr>
          <w:rFonts w:asciiTheme="minorEastAsia" w:hAnsiTheme="minorEastAsia" w:eastAsiaTheme="minorEastAsia"/>
          <w:szCs w:val="21"/>
        </w:rPr>
        <w:t>GB 55015-2021</w:t>
      </w:r>
      <w:r>
        <w:rPr>
          <w:rFonts w:hint="eastAsia" w:asciiTheme="minorEastAsia" w:hAnsiTheme="minorEastAsia" w:eastAsiaTheme="minorEastAsia"/>
          <w:szCs w:val="21"/>
        </w:rPr>
        <w:t>；</w:t>
      </w:r>
    </w:p>
    <w:p>
      <w:pPr>
        <w:numPr>
          <w:ilvl w:val="0"/>
          <w:numId w:val="54"/>
        </w:numPr>
        <w:autoSpaceDE w:val="0"/>
        <w:autoSpaceDN w:val="0"/>
        <w:adjustRightInd w:val="0"/>
        <w:spacing w:line="400" w:lineRule="exact"/>
        <w:ind w:left="426"/>
        <w:jc w:val="left"/>
        <w:rPr>
          <w:rFonts w:asciiTheme="minorEastAsia" w:hAnsiTheme="minorEastAsia" w:eastAsiaTheme="minorEastAsia"/>
          <w:szCs w:val="21"/>
        </w:rPr>
      </w:pPr>
      <w:r>
        <w:rPr>
          <w:rFonts w:hint="eastAsia" w:asciiTheme="minorEastAsia" w:hAnsiTheme="minorEastAsia" w:eastAsiaTheme="minorEastAsia"/>
          <w:szCs w:val="21"/>
        </w:rPr>
        <w:t>《建筑环境通用规范》</w:t>
      </w:r>
      <w:r>
        <w:rPr>
          <w:rFonts w:asciiTheme="minorEastAsia" w:hAnsiTheme="minorEastAsia" w:eastAsiaTheme="minorEastAsia"/>
          <w:szCs w:val="21"/>
        </w:rPr>
        <w:t>GB 55016-2021</w:t>
      </w:r>
      <w:r>
        <w:rPr>
          <w:rFonts w:hint="eastAsia" w:asciiTheme="minorEastAsia" w:hAnsiTheme="minorEastAsia" w:eastAsiaTheme="minorEastAsia"/>
          <w:szCs w:val="21"/>
        </w:rPr>
        <w:t>；</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《公共建筑节能设计标准》</w:t>
      </w:r>
      <w:r>
        <w:rPr>
          <w:rFonts w:asciiTheme="minorEastAsia" w:hAnsiTheme="minorEastAsia" w:eastAsiaTheme="minorEastAsia"/>
          <w:szCs w:val="21"/>
        </w:rPr>
        <w:t xml:space="preserve"> GB 50189-2015；</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《绿色建筑评价标准》</w:t>
      </w:r>
      <w:r>
        <w:rPr>
          <w:rFonts w:asciiTheme="minorEastAsia" w:hAnsiTheme="minorEastAsia" w:eastAsiaTheme="minorEastAsia"/>
          <w:szCs w:val="21"/>
        </w:rPr>
        <w:t xml:space="preserve"> GB/T 50378-2019</w:t>
      </w:r>
      <w:r>
        <w:rPr>
          <w:rFonts w:hint="eastAsia" w:asciiTheme="minorEastAsia" w:hAnsiTheme="minorEastAsia" w:eastAsiaTheme="minorEastAsia"/>
          <w:szCs w:val="21"/>
        </w:rPr>
        <w:t>；</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《供配电系统设计规范》</w:t>
      </w:r>
      <w:r>
        <w:rPr>
          <w:rFonts w:asciiTheme="minorEastAsia" w:hAnsiTheme="minorEastAsia" w:eastAsiaTheme="minorEastAsia"/>
          <w:szCs w:val="21"/>
        </w:rPr>
        <w:t xml:space="preserve"> GB 50052-2009；</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《电能质量</w:t>
      </w:r>
      <w:r>
        <w:rPr>
          <w:rFonts w:asciiTheme="minorEastAsia" w:hAnsiTheme="minorEastAsia" w:eastAsiaTheme="minorEastAsia"/>
          <w:szCs w:val="21"/>
        </w:rPr>
        <w:t xml:space="preserve"> </w:t>
      </w:r>
      <w:r>
        <w:rPr>
          <w:rFonts w:hint="eastAsia" w:asciiTheme="minorEastAsia" w:hAnsiTheme="minorEastAsia" w:eastAsiaTheme="minorEastAsia"/>
          <w:szCs w:val="21"/>
        </w:rPr>
        <w:t>公共电网谐波》</w:t>
      </w:r>
      <w:r>
        <w:rPr>
          <w:rFonts w:asciiTheme="minorEastAsia" w:hAnsiTheme="minorEastAsia" w:eastAsiaTheme="minorEastAsia"/>
          <w:szCs w:val="21"/>
        </w:rPr>
        <w:t xml:space="preserve"> GB/ T14549-1993；</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《建筑照明设计标准》</w:t>
      </w:r>
      <w:r>
        <w:rPr>
          <w:rFonts w:asciiTheme="minorEastAsia" w:hAnsiTheme="minorEastAsia" w:eastAsiaTheme="minorEastAsia"/>
          <w:szCs w:val="21"/>
        </w:rPr>
        <w:t xml:space="preserve"> GB 50034-2013；</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《城市夜景照明设计规范》</w:t>
      </w:r>
      <w:r>
        <w:rPr>
          <w:rFonts w:asciiTheme="minorEastAsia" w:hAnsiTheme="minorEastAsia" w:eastAsiaTheme="minorEastAsia"/>
          <w:szCs w:val="21"/>
        </w:rPr>
        <w:t xml:space="preserve"> JGJ/T 163-2008；</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《智能建筑设计标准》</w:t>
      </w:r>
      <w:r>
        <w:rPr>
          <w:rFonts w:asciiTheme="minorEastAsia" w:hAnsiTheme="minorEastAsia" w:eastAsiaTheme="minorEastAsia"/>
          <w:szCs w:val="21"/>
        </w:rPr>
        <w:t xml:space="preserve"> GB 50314-2015；</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浙江省《民用建筑项目节能评估技术导则》；</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浙江省《绿色建筑设计标准》 DB</w:t>
      </w:r>
      <w:r>
        <w:rPr>
          <w:rFonts w:asciiTheme="minorEastAsia" w:hAnsiTheme="minorEastAsia" w:eastAsiaTheme="minorEastAsia"/>
          <w:szCs w:val="21"/>
        </w:rPr>
        <w:t xml:space="preserve"> </w:t>
      </w:r>
      <w:r>
        <w:rPr>
          <w:rFonts w:hint="eastAsia" w:asciiTheme="minorEastAsia" w:hAnsiTheme="minorEastAsia" w:eastAsiaTheme="minorEastAsia"/>
          <w:szCs w:val="21"/>
        </w:rPr>
        <w:t>33/1092-</w:t>
      </w:r>
      <w:r>
        <w:rPr>
          <w:rFonts w:asciiTheme="minorEastAsia" w:hAnsiTheme="minorEastAsia" w:eastAsiaTheme="minorEastAsia"/>
          <w:szCs w:val="21"/>
        </w:rPr>
        <w:t>2021</w:t>
      </w:r>
      <w:r>
        <w:rPr>
          <w:rFonts w:hint="eastAsia" w:asciiTheme="minorEastAsia" w:hAnsiTheme="minorEastAsia" w:eastAsiaTheme="minorEastAsia"/>
          <w:szCs w:val="21"/>
        </w:rPr>
        <w:t>；</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浙江省《公共建筑节能设计标准》</w:t>
      </w:r>
      <w:r>
        <w:rPr>
          <w:rFonts w:asciiTheme="minorEastAsia" w:hAnsiTheme="minorEastAsia" w:eastAsiaTheme="minorEastAsia"/>
          <w:szCs w:val="21"/>
        </w:rPr>
        <w:t xml:space="preserve"> DB 33/1036-2021；</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浙江省《公共建筑用电分项分区计量系统设计标准》 DB</w:t>
      </w:r>
      <w:r>
        <w:rPr>
          <w:rFonts w:asciiTheme="minorEastAsia" w:hAnsiTheme="minorEastAsia" w:eastAsiaTheme="minorEastAsia"/>
          <w:szCs w:val="21"/>
        </w:rPr>
        <w:t xml:space="preserve"> </w:t>
      </w:r>
      <w:r>
        <w:rPr>
          <w:rFonts w:hint="eastAsia" w:asciiTheme="minorEastAsia" w:hAnsiTheme="minorEastAsia" w:eastAsiaTheme="minorEastAsia"/>
          <w:szCs w:val="21"/>
        </w:rPr>
        <w:t>33/1090-20</w:t>
      </w:r>
      <w:r>
        <w:rPr>
          <w:rFonts w:asciiTheme="minorEastAsia" w:hAnsiTheme="minorEastAsia" w:eastAsiaTheme="minorEastAsia"/>
          <w:szCs w:val="21"/>
        </w:rPr>
        <w:t>22</w:t>
      </w:r>
      <w:r>
        <w:rPr>
          <w:rFonts w:hint="eastAsia" w:asciiTheme="minorEastAsia" w:hAnsiTheme="minorEastAsia" w:eastAsiaTheme="minorEastAsia"/>
          <w:szCs w:val="21"/>
        </w:rPr>
        <w:t>；</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浙江省《环境照明工程技术规范》</w:t>
      </w:r>
      <w:r>
        <w:rPr>
          <w:rFonts w:asciiTheme="minorEastAsia" w:hAnsiTheme="minorEastAsia" w:eastAsiaTheme="minorEastAsia"/>
          <w:szCs w:val="21"/>
        </w:rPr>
        <w:t xml:space="preserve"> DB 33/T 1055-2018；</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浙江省</w:t>
      </w:r>
      <w:r>
        <w:rPr>
          <w:rFonts w:asciiTheme="minorEastAsia" w:hAnsiTheme="minorEastAsia" w:eastAsiaTheme="minorEastAsia"/>
          <w:szCs w:val="21"/>
        </w:rPr>
        <w:t>《</w:t>
      </w:r>
      <w:r>
        <w:rPr>
          <w:rFonts w:hint="eastAsia" w:asciiTheme="minorEastAsia" w:hAnsiTheme="minorEastAsia" w:eastAsiaTheme="minorEastAsia"/>
          <w:szCs w:val="21"/>
        </w:rPr>
        <w:t>民</w:t>
      </w:r>
      <w:r>
        <w:rPr>
          <w:rFonts w:asciiTheme="minorEastAsia" w:hAnsiTheme="minorEastAsia" w:eastAsiaTheme="minorEastAsia"/>
          <w:szCs w:val="21"/>
        </w:rPr>
        <w:t>用建筑电动汽车充电设施配置与设计规范》 DB 33/1121-2016；</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hint="eastAsia" w:asciiTheme="minorEastAsia" w:hAnsiTheme="minorEastAsia" w:eastAsiaTheme="minorEastAsia"/>
          <w:szCs w:val="21"/>
        </w:rPr>
        <w:t>建设单位提供的文件资料要求；</w:t>
      </w:r>
    </w:p>
    <w:p>
      <w:pPr>
        <w:numPr>
          <w:ilvl w:val="0"/>
          <w:numId w:val="54"/>
        </w:numPr>
        <w:autoSpaceDE w:val="0"/>
        <w:autoSpaceDN w:val="0"/>
        <w:adjustRightInd w:val="0"/>
        <w:spacing w:line="400" w:lineRule="exact"/>
        <w:ind w:left="0" w:firstLine="4" w:firstLineChars="2"/>
        <w:jc w:val="left"/>
        <w:rPr>
          <w:rFonts w:asciiTheme="minorEastAsia" w:hAnsiTheme="minorEastAsia" w:eastAsiaTheme="minorEastAsia"/>
          <w:szCs w:val="21"/>
        </w:rPr>
      </w:pPr>
      <w:r>
        <w:rPr>
          <w:rFonts w:asciiTheme="minorEastAsia" w:hAnsiTheme="minorEastAsia" w:eastAsiaTheme="minorEastAsia"/>
          <w:szCs w:val="21"/>
        </w:rPr>
        <w:t>现行国家、</w:t>
      </w:r>
      <w:r>
        <w:rPr>
          <w:rFonts w:hint="eastAsia" w:asciiTheme="minorEastAsia" w:hAnsiTheme="minorEastAsia" w:eastAsiaTheme="minorEastAsia"/>
          <w:szCs w:val="21"/>
        </w:rPr>
        <w:t>行业、地方</w:t>
      </w:r>
      <w:r>
        <w:rPr>
          <w:rFonts w:asciiTheme="minorEastAsia" w:hAnsiTheme="minorEastAsia" w:eastAsiaTheme="minorEastAsia"/>
          <w:szCs w:val="21"/>
        </w:rPr>
        <w:t>相关</w:t>
      </w:r>
      <w:r>
        <w:rPr>
          <w:rFonts w:hint="eastAsia" w:asciiTheme="minorEastAsia" w:hAnsiTheme="minorEastAsia" w:eastAsiaTheme="minorEastAsia"/>
          <w:szCs w:val="21"/>
        </w:rPr>
        <w:t>绿色建筑与</w:t>
      </w:r>
      <w:r>
        <w:rPr>
          <w:rFonts w:asciiTheme="minorEastAsia" w:hAnsiTheme="minorEastAsia" w:eastAsiaTheme="minorEastAsia"/>
          <w:szCs w:val="21"/>
        </w:rPr>
        <w:t>节能</w:t>
      </w:r>
      <w:r>
        <w:rPr>
          <w:rFonts w:hint="eastAsia" w:asciiTheme="minorEastAsia" w:hAnsiTheme="minorEastAsia" w:eastAsiaTheme="minorEastAsia"/>
          <w:szCs w:val="21"/>
        </w:rPr>
        <w:t>的</w:t>
      </w:r>
      <w:r>
        <w:rPr>
          <w:rFonts w:asciiTheme="minorEastAsia" w:hAnsiTheme="minorEastAsia" w:eastAsiaTheme="minorEastAsia"/>
          <w:szCs w:val="21"/>
        </w:rPr>
        <w:t>法律、法规</w:t>
      </w:r>
      <w:r>
        <w:rPr>
          <w:rFonts w:hint="eastAsia" w:asciiTheme="minorEastAsia" w:hAnsiTheme="minorEastAsia" w:eastAsiaTheme="minorEastAsia"/>
          <w:szCs w:val="21"/>
        </w:rPr>
        <w:t>和规范性文件。</w:t>
      </w:r>
    </w:p>
    <w:p>
      <w:pPr>
        <w:spacing w:line="360" w:lineRule="auto"/>
        <w:ind w:left="284" w:firstLine="4" w:firstLineChars="2"/>
        <w:rPr>
          <w:rFonts w:asciiTheme="minorEastAsia" w:hAnsiTheme="minorEastAsia" w:eastAsiaTheme="minorEastAsia"/>
          <w:b/>
          <w:bCs/>
          <w:kern w:val="0"/>
          <w:sz w:val="24"/>
        </w:rPr>
      </w:pPr>
    </w:p>
    <w:p>
      <w:pPr>
        <w:pStyle w:val="63"/>
        <w:ind w:firstLine="0"/>
        <w:rPr>
          <w:rFonts w:asciiTheme="minorEastAsia" w:hAnsiTheme="minorEastAsia" w:eastAsiaTheme="minorEastAsia"/>
          <w:b/>
        </w:rPr>
      </w:pPr>
      <w:bookmarkStart w:id="20" w:name="_Toc109325932"/>
      <w:bookmarkStart w:id="21" w:name="_Toc109325296"/>
      <w:r>
        <w:rPr>
          <w:rFonts w:hint="eastAsia" w:asciiTheme="minorEastAsia" w:hAnsiTheme="minorEastAsia" w:eastAsiaTheme="minorEastAsia"/>
          <w:b/>
        </w:rPr>
        <w:t>二、电气</w:t>
      </w:r>
      <w:r>
        <w:rPr>
          <w:rFonts w:asciiTheme="minorEastAsia" w:hAnsiTheme="minorEastAsia" w:eastAsiaTheme="minorEastAsia"/>
          <w:b/>
        </w:rPr>
        <w:t>设计技术措施</w:t>
      </w:r>
      <w:r>
        <w:rPr>
          <w:rFonts w:hint="eastAsia" w:asciiTheme="minorEastAsia" w:hAnsiTheme="minorEastAsia" w:eastAsiaTheme="minorEastAsia"/>
          <w:b/>
        </w:rPr>
        <w:t>：</w:t>
      </w:r>
      <w:bookmarkEnd w:id="20"/>
      <w:bookmarkEnd w:id="21"/>
    </w:p>
    <w:p>
      <w:pPr>
        <w:spacing w:line="360" w:lineRule="auto"/>
        <w:ind w:left="284" w:firstLine="482"/>
        <w:rPr>
          <w:rFonts w:asciiTheme="minorEastAsia" w:hAnsiTheme="minorEastAsia" w:eastAsiaTheme="minorEastAsia"/>
          <w:b/>
          <w:bCs/>
          <w:kern w:val="0"/>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一</w:t>
      </w:r>
      <w:r>
        <w:rPr>
          <w:rFonts w:asciiTheme="minorEastAsia" w:hAnsiTheme="minorEastAsia" w:eastAsiaTheme="minorEastAsia"/>
          <w:b/>
          <w:sz w:val="24"/>
        </w:rPr>
        <w:t>星级</w:t>
      </w:r>
      <w:r>
        <w:rPr>
          <w:rFonts w:hint="eastAsia" w:asciiTheme="minorEastAsia" w:hAnsiTheme="minorEastAsia" w:eastAsiaTheme="minorEastAsia"/>
          <w:b/>
          <w:sz w:val="24"/>
        </w:rPr>
        <w:t>；</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rPr>
        <w:t>电气</w:t>
      </w:r>
      <w:r>
        <w:rPr>
          <w:rFonts w:hint="eastAsia" w:asciiTheme="minorEastAsia" w:hAnsiTheme="minorEastAsia" w:eastAsiaTheme="minorEastAsia"/>
          <w:b/>
          <w:sz w:val="24"/>
          <w:lang w:val="en-GB"/>
        </w:rPr>
        <w:t>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55"/>
        </w:numPr>
        <w:rPr>
          <w:rFonts w:asciiTheme="minorEastAsia" w:hAnsiTheme="minorEastAsia" w:eastAsiaTheme="minorEastAsia"/>
          <w:lang w:val="en-GB"/>
        </w:rPr>
      </w:pPr>
      <w:r>
        <w:rPr>
          <w:rFonts w:hint="eastAsia" w:asciiTheme="minorEastAsia" w:hAnsiTheme="minorEastAsia" w:eastAsiaTheme="minorEastAsia"/>
          <w:lang w:val="en-GB"/>
        </w:rPr>
        <w:t>负荷计算采用</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法；负荷的总计算容量为</w:t>
      </w:r>
      <w:r>
        <w:rPr>
          <w:rFonts w:asciiTheme="minorEastAsia" w:hAnsiTheme="minorEastAsia" w:eastAsiaTheme="minorEastAsia"/>
          <w:u w:val="single"/>
          <w:lang w:val="en-GB"/>
        </w:rPr>
        <w:t xml:space="preserve">        </w:t>
      </w:r>
      <w:r>
        <w:rPr>
          <w:rFonts w:asciiTheme="minorEastAsia" w:hAnsiTheme="minorEastAsia" w:eastAsiaTheme="minorEastAsia"/>
          <w:lang w:val="en-GB"/>
        </w:rPr>
        <w:t>kW；</w:t>
      </w:r>
    </w:p>
    <w:p>
      <w:pPr>
        <w:pStyle w:val="90"/>
        <w:ind w:left="420"/>
        <w:rPr>
          <w:rFonts w:asciiTheme="minorEastAsia" w:hAnsiTheme="minorEastAsia" w:eastAsiaTheme="minorEastAsia"/>
          <w:lang w:val="en-GB"/>
        </w:rPr>
      </w:pPr>
      <w:r>
        <w:rPr>
          <w:rFonts w:hint="eastAsia" w:asciiTheme="minorEastAsia" w:hAnsiTheme="minorEastAsia" w:eastAsiaTheme="minorEastAsia"/>
          <w:lang w:val="en-GB"/>
        </w:rPr>
        <w:t>供电电压等级：</w:t>
      </w:r>
      <w:r>
        <w:rPr>
          <w:rFonts w:asciiTheme="minorEastAsia" w:hAnsiTheme="minorEastAsia" w:eastAsiaTheme="minorEastAsia"/>
          <w:u w:val="single"/>
          <w:lang w:val="en-GB"/>
        </w:rPr>
        <w:t xml:space="preserve">        </w:t>
      </w:r>
      <w:r>
        <w:rPr>
          <w:rFonts w:asciiTheme="minorEastAsia" w:hAnsiTheme="minorEastAsia" w:eastAsiaTheme="minorEastAsia"/>
          <w:lang w:val="en-GB"/>
        </w:rPr>
        <w:t xml:space="preserve"> kV </w:t>
      </w:r>
      <w:r>
        <w:rPr>
          <w:rFonts w:hint="eastAsia" w:asciiTheme="minorEastAsia" w:hAnsiTheme="minorEastAsia" w:eastAsiaTheme="minorEastAsia"/>
          <w:lang w:val="en-GB"/>
        </w:rPr>
        <w:t>，变压器容量共</w:t>
      </w:r>
      <w:r>
        <w:rPr>
          <w:rFonts w:asciiTheme="minorEastAsia" w:hAnsiTheme="minorEastAsia" w:eastAsiaTheme="minorEastAsia"/>
          <w:u w:val="single"/>
          <w:lang w:val="en-GB"/>
        </w:rPr>
        <w:t xml:space="preserve">        </w:t>
      </w:r>
      <w:r>
        <w:rPr>
          <w:rFonts w:asciiTheme="minorEastAsia" w:hAnsiTheme="minorEastAsia" w:eastAsiaTheme="minorEastAsia"/>
          <w:lang w:val="en-GB"/>
        </w:rPr>
        <w:t xml:space="preserve"> kVA</w:t>
      </w:r>
      <w:r>
        <w:rPr>
          <w:rFonts w:hint="eastAsia" w:asciiTheme="minorEastAsia" w:hAnsiTheme="minorEastAsia" w:eastAsiaTheme="minorEastAsia"/>
          <w:lang w:val="en-GB"/>
        </w:rPr>
        <w:t>；</w:t>
      </w:r>
    </w:p>
    <w:p>
      <w:pPr>
        <w:pStyle w:val="90"/>
        <w:ind w:left="420"/>
        <w:rPr>
          <w:rFonts w:asciiTheme="minorEastAsia" w:hAnsiTheme="minorEastAsia" w:eastAsiaTheme="minorEastAsia"/>
          <w:lang w:val="en-GB"/>
        </w:rPr>
      </w:pPr>
      <w:r>
        <w:rPr>
          <w:rFonts w:hint="eastAsia" w:asciiTheme="minorEastAsia" w:hAnsiTheme="minorEastAsia" w:eastAsiaTheme="minorEastAsia"/>
          <w:lang w:val="en-GB"/>
        </w:rPr>
        <w:t>变配电所靠近负荷中心，供配电线路的敷设路径设计合理</w:t>
      </w:r>
      <w:r>
        <w:rPr>
          <w:rFonts w:asciiTheme="minorEastAsia" w:hAnsiTheme="minorEastAsia" w:eastAsiaTheme="minorEastAsia"/>
          <w:lang w:val="en-GB"/>
        </w:rPr>
        <w:t>。</w:t>
      </w:r>
    </w:p>
    <w:p>
      <w:pPr>
        <w:pStyle w:val="90"/>
        <w:numPr>
          <w:ilvl w:val="0"/>
          <w:numId w:val="55"/>
        </w:numPr>
        <w:rPr>
          <w:rFonts w:asciiTheme="minorEastAsia" w:hAnsiTheme="minorEastAsia" w:eastAsiaTheme="minorEastAsia"/>
          <w:lang w:val="en-GB"/>
        </w:rPr>
      </w:pPr>
      <w:r>
        <w:rPr>
          <w:rFonts w:hint="eastAsia" w:asciiTheme="minorEastAsia" w:hAnsiTheme="minorEastAsia" w:eastAsiaTheme="minorEastAsia"/>
          <w:lang w:val="en-GB"/>
        </w:rPr>
        <w:t>用户系统的功率因数、无功补偿满足电力部门的要求；</w:t>
      </w:r>
    </w:p>
    <w:p>
      <w:pPr>
        <w:pStyle w:val="90"/>
        <w:ind w:left="420"/>
        <w:rPr>
          <w:rFonts w:asciiTheme="minorEastAsia" w:hAnsiTheme="minorEastAsia" w:eastAsiaTheme="minorEastAsia"/>
          <w:lang w:val="en-GB"/>
        </w:rPr>
      </w:pPr>
      <w:r>
        <w:rPr>
          <w:rFonts w:hint="eastAsia" w:asciiTheme="minorEastAsia" w:hAnsiTheme="minorEastAsia" w:eastAsiaTheme="minorEastAsia"/>
          <w:lang w:val="en-GB"/>
        </w:rPr>
        <w:t>供配电系统向公共电网注入的谐波电流满足《电能质量</w:t>
      </w:r>
      <w:r>
        <w:rPr>
          <w:rFonts w:asciiTheme="minorEastAsia" w:hAnsiTheme="minorEastAsia" w:eastAsiaTheme="minorEastAsia"/>
          <w:lang w:val="en-GB"/>
        </w:rPr>
        <w:t xml:space="preserve"> </w:t>
      </w:r>
      <w:r>
        <w:rPr>
          <w:rFonts w:hint="eastAsia" w:asciiTheme="minorEastAsia" w:hAnsiTheme="minorEastAsia" w:eastAsiaTheme="minorEastAsia"/>
          <w:lang w:val="en-GB"/>
        </w:rPr>
        <w:t>公共电网谐波》</w:t>
      </w:r>
      <w:r>
        <w:rPr>
          <w:rFonts w:asciiTheme="minorEastAsia" w:hAnsiTheme="minorEastAsia" w:eastAsiaTheme="minorEastAsia"/>
          <w:lang w:val="en-GB"/>
        </w:rPr>
        <w:t>GB/T14549的规定。</w:t>
      </w:r>
    </w:p>
    <w:p>
      <w:pPr>
        <w:pStyle w:val="90"/>
        <w:numPr>
          <w:ilvl w:val="0"/>
          <w:numId w:val="55"/>
        </w:numPr>
        <w:rPr>
          <w:rFonts w:asciiTheme="minorEastAsia" w:hAnsiTheme="minorEastAsia" w:eastAsiaTheme="minorEastAsia"/>
          <w:lang w:val="en-GB"/>
        </w:rPr>
      </w:pPr>
      <w:r>
        <w:rPr>
          <w:rFonts w:asciiTheme="minorEastAsia" w:hAnsiTheme="minorEastAsia" w:eastAsiaTheme="minorEastAsia"/>
          <w:lang w:val="en-GB"/>
        </w:rPr>
        <w:t>电动汽车充电设施</w:t>
      </w:r>
      <w:r>
        <w:rPr>
          <w:rFonts w:hint="eastAsia" w:asciiTheme="minorEastAsia" w:hAnsiTheme="minorEastAsia" w:eastAsiaTheme="minorEastAsia"/>
          <w:lang w:val="en-GB"/>
        </w:rPr>
        <w:t>的供配电设计满足</w:t>
      </w:r>
      <w:r>
        <w:rPr>
          <w:rFonts w:asciiTheme="minorEastAsia" w:hAnsiTheme="minorEastAsia" w:eastAsiaTheme="minorEastAsia"/>
          <w:lang w:val="en-GB"/>
        </w:rPr>
        <w:t>《</w:t>
      </w:r>
      <w:r>
        <w:rPr>
          <w:rFonts w:hint="eastAsia" w:asciiTheme="minorEastAsia" w:hAnsiTheme="minorEastAsia" w:eastAsiaTheme="minorEastAsia"/>
          <w:lang w:val="en-GB"/>
        </w:rPr>
        <w:t>民</w:t>
      </w:r>
      <w:r>
        <w:rPr>
          <w:rFonts w:asciiTheme="minorEastAsia" w:hAnsiTheme="minorEastAsia" w:eastAsiaTheme="minorEastAsia"/>
          <w:lang w:val="en-GB"/>
        </w:rPr>
        <w:t>用建筑电动汽车充电设施配置与设计规范》DB 33/1121的</w:t>
      </w:r>
      <w:r>
        <w:rPr>
          <w:rFonts w:hint="eastAsia" w:asciiTheme="minorEastAsia" w:hAnsiTheme="minorEastAsia" w:eastAsiaTheme="minorEastAsia"/>
          <w:lang w:val="en-GB"/>
        </w:rPr>
        <w:t>要求。</w:t>
      </w:r>
    </w:p>
    <w:p>
      <w:pPr>
        <w:pStyle w:val="90"/>
        <w:numPr>
          <w:ilvl w:val="0"/>
          <w:numId w:val="55"/>
        </w:numPr>
        <w:rPr>
          <w:rFonts w:asciiTheme="minorEastAsia" w:hAnsiTheme="minorEastAsia" w:eastAsiaTheme="minorEastAsia"/>
          <w:lang w:val="en-GB"/>
        </w:rPr>
      </w:pPr>
      <w:r>
        <w:rPr>
          <w:rFonts w:hint="eastAsia" w:asciiTheme="minorEastAsia" w:hAnsiTheme="minorEastAsia" w:eastAsiaTheme="minorEastAsia"/>
          <w:lang w:val="en-GB"/>
        </w:rPr>
        <w:t>照明设计满足《建筑照明设计标准》</w:t>
      </w:r>
      <w:r>
        <w:rPr>
          <w:rFonts w:asciiTheme="minorEastAsia" w:hAnsiTheme="minorEastAsia" w:eastAsiaTheme="minorEastAsia"/>
          <w:lang w:val="en-GB"/>
        </w:rPr>
        <w:t>GB 50034规定的照度标准、均匀度、眩光值、显色指数；</w:t>
      </w:r>
    </w:p>
    <w:p>
      <w:pPr>
        <w:pStyle w:val="90"/>
        <w:ind w:left="420"/>
        <w:rPr>
          <w:rFonts w:asciiTheme="minorEastAsia" w:hAnsiTheme="minorEastAsia" w:eastAsiaTheme="minorEastAsia"/>
          <w:lang w:val="en-GB"/>
        </w:rPr>
      </w:pPr>
      <w:r>
        <w:rPr>
          <w:rFonts w:hint="eastAsia" w:asciiTheme="minorEastAsia" w:hAnsiTheme="minorEastAsia" w:eastAsiaTheme="minorEastAsia"/>
          <w:lang w:val="en-GB"/>
        </w:rPr>
        <w:t>各场所的照明功率密度值</w:t>
      </w:r>
      <w:r>
        <w:rPr>
          <w:rFonts w:hint="eastAsia" w:asciiTheme="minorEastAsia" w:hAnsiTheme="minorEastAsia"/>
        </w:rPr>
        <w:t>满足</w:t>
      </w:r>
      <w:r>
        <w:rPr>
          <w:rFonts w:asciiTheme="minorEastAsia" w:hAnsiTheme="minorEastAsia"/>
        </w:rPr>
        <w:t>《建筑节能与可再生能源利用通用规范》GB 55015</w:t>
      </w:r>
      <w:r>
        <w:rPr>
          <w:rFonts w:hint="eastAsia" w:asciiTheme="minorEastAsia" w:hAnsiTheme="minorEastAsia"/>
        </w:rPr>
        <w:t>的规定</w:t>
      </w:r>
      <w:r>
        <w:rPr>
          <w:rFonts w:hint="eastAsia" w:asciiTheme="minorEastAsia" w:hAnsiTheme="minorEastAsia" w:eastAsiaTheme="minorEastAsia"/>
          <w:lang w:val="en-GB"/>
        </w:rPr>
        <w:t>；</w:t>
      </w:r>
    </w:p>
    <w:p>
      <w:pPr>
        <w:pStyle w:val="90"/>
        <w:ind w:left="420"/>
        <w:rPr>
          <w:rFonts w:asciiTheme="minorEastAsia" w:hAnsiTheme="minorEastAsia" w:eastAsiaTheme="minorEastAsia"/>
        </w:rPr>
      </w:pPr>
      <w:r>
        <w:rPr>
          <w:rFonts w:hint="eastAsia" w:asciiTheme="minorEastAsia" w:hAnsiTheme="minorEastAsia" w:eastAsiaTheme="minorEastAsia"/>
          <w:lang w:val="en-GB"/>
        </w:rPr>
        <w:t>室内、外照明主要控制方式说明：</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w:t>
      </w:r>
    </w:p>
    <w:p>
      <w:pPr>
        <w:pStyle w:val="90"/>
        <w:ind w:left="420"/>
        <w:rPr>
          <w:rFonts w:asciiTheme="minorEastAsia" w:hAnsiTheme="minorEastAsia" w:eastAsiaTheme="minorEastAsia"/>
          <w:lang w:val="en-GB"/>
        </w:rPr>
      </w:pPr>
      <w:r>
        <w:rPr>
          <w:rFonts w:hint="eastAsia" w:asciiTheme="minorEastAsia" w:hAnsiTheme="minorEastAsia" w:eastAsiaTheme="minorEastAsia"/>
          <w:lang w:val="en-GB"/>
        </w:rPr>
        <w:t>人员长期停留的场所采用光生物安全性为“无危险类（</w:t>
      </w:r>
      <w:r>
        <w:rPr>
          <w:rFonts w:asciiTheme="minorEastAsia" w:hAnsiTheme="minorEastAsia" w:eastAsiaTheme="minorEastAsia"/>
          <w:lang w:val="en-GB"/>
        </w:rPr>
        <w:t>RG0）”的照明产品；</w:t>
      </w:r>
    </w:p>
    <w:p>
      <w:pPr>
        <w:pStyle w:val="90"/>
        <w:ind w:left="420"/>
        <w:rPr>
          <w:rFonts w:asciiTheme="minorEastAsia" w:hAnsiTheme="minorEastAsia" w:eastAsiaTheme="minorEastAsia"/>
          <w:lang w:val="en-GB"/>
        </w:rPr>
      </w:pPr>
      <w:r>
        <w:t>各场所选用光源和灯具的闪变指数（Pst</w:t>
      </w:r>
      <w:r>
        <w:rPr>
          <w:vertAlign w:val="superscript"/>
        </w:rPr>
        <w:t>LM</w:t>
      </w:r>
      <w:r>
        <w:t>）不大于1； 儿童及青少年长时间学习或活动的场所选用光源和灯具的频闪效应可视度（SVM）不大于1.0</w:t>
      </w:r>
      <w:r>
        <w:rPr>
          <w:rFonts w:hint="eastAsia"/>
        </w:rPr>
        <w:t>。</w:t>
      </w:r>
    </w:p>
    <w:p>
      <w:pPr>
        <w:pStyle w:val="90"/>
        <w:numPr>
          <w:ilvl w:val="0"/>
          <w:numId w:val="55"/>
        </w:numPr>
        <w:rPr>
          <w:rFonts w:asciiTheme="minorEastAsia" w:hAnsiTheme="minorEastAsia" w:eastAsiaTheme="minorEastAsia"/>
          <w:lang w:val="en-GB"/>
        </w:rPr>
      </w:pPr>
      <w:r>
        <w:rPr>
          <w:rFonts w:hint="eastAsia" w:asciiTheme="minorEastAsia" w:hAnsiTheme="minorEastAsia" w:eastAsiaTheme="minorEastAsia"/>
          <w:lang w:val="en-GB"/>
        </w:rPr>
        <w:t>用电分项</w:t>
      </w:r>
      <w:r>
        <w:rPr>
          <w:rFonts w:hint="eastAsia" w:asciiTheme="minorEastAsia" w:hAnsiTheme="minorEastAsia" w:eastAsiaTheme="minorEastAsia"/>
        </w:rPr>
        <w:t>、分区</w:t>
      </w:r>
      <w:r>
        <w:rPr>
          <w:rFonts w:hint="eastAsia" w:asciiTheme="minorEastAsia" w:hAnsiTheme="minorEastAsia" w:eastAsiaTheme="minorEastAsia"/>
          <w:lang w:val="en-GB"/>
        </w:rPr>
        <w:t>计量系统的设置满足《公共建筑用电分项</w:t>
      </w:r>
      <w:r>
        <w:rPr>
          <w:rFonts w:hint="eastAsia" w:asciiTheme="minorEastAsia" w:hAnsiTheme="minorEastAsia" w:eastAsiaTheme="minorEastAsia"/>
        </w:rPr>
        <w:t>分区</w:t>
      </w:r>
      <w:r>
        <w:rPr>
          <w:rFonts w:hint="eastAsia" w:asciiTheme="minorEastAsia" w:hAnsiTheme="minorEastAsia" w:eastAsiaTheme="minorEastAsia"/>
          <w:lang w:val="en-GB"/>
        </w:rPr>
        <w:t>计量系统设计标准》DB</w:t>
      </w:r>
      <w:r>
        <w:rPr>
          <w:rFonts w:asciiTheme="minorEastAsia" w:hAnsiTheme="minorEastAsia" w:eastAsiaTheme="minorEastAsia"/>
          <w:lang w:val="en-GB"/>
        </w:rPr>
        <w:t xml:space="preserve"> </w:t>
      </w:r>
      <w:r>
        <w:rPr>
          <w:rFonts w:hint="eastAsia" w:asciiTheme="minorEastAsia" w:hAnsiTheme="minorEastAsia" w:eastAsiaTheme="minorEastAsia"/>
          <w:lang w:val="en-GB"/>
        </w:rPr>
        <w:t>33/1090的要求。</w:t>
      </w:r>
    </w:p>
    <w:p>
      <w:pPr>
        <w:pStyle w:val="90"/>
        <w:numPr>
          <w:ilvl w:val="0"/>
          <w:numId w:val="55"/>
        </w:numPr>
        <w:rPr>
          <w:rFonts w:asciiTheme="minorEastAsia" w:hAnsiTheme="minorEastAsia" w:eastAsiaTheme="minorEastAsia"/>
          <w:lang w:val="en-GB"/>
        </w:rPr>
      </w:pPr>
      <w:r>
        <w:rPr>
          <w:rFonts w:hint="eastAsia" w:asciiTheme="minorEastAsia" w:hAnsiTheme="minorEastAsia" w:eastAsiaTheme="minorEastAsia"/>
          <w:lang w:val="en-GB"/>
        </w:rPr>
        <w:t>可再生能源发电系统与建筑同步设计，同步实施。</w:t>
      </w:r>
    </w:p>
    <w:p>
      <w:pPr>
        <w:pStyle w:val="90"/>
        <w:ind w:left="420"/>
        <w:rPr>
          <w:rFonts w:asciiTheme="minorEastAsia" w:hAnsiTheme="minorEastAsia" w:eastAsiaTheme="minorEastAsia"/>
          <w:lang w:val="en-GB"/>
        </w:rPr>
      </w:pP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56"/>
        </w:numPr>
        <w:rPr>
          <w:rFonts w:asciiTheme="minorEastAsia" w:hAnsiTheme="minorEastAsia" w:eastAsiaTheme="minorEastAsia"/>
          <w:lang w:val="en-GB"/>
        </w:rPr>
      </w:pPr>
      <w:r>
        <w:rPr>
          <w:rFonts w:hint="eastAsia" w:asciiTheme="minorEastAsia" w:hAnsiTheme="minorEastAsia" w:eastAsiaTheme="minorEastAsia"/>
          <w:lang w:val="en-GB"/>
        </w:rPr>
        <w:t>各变配电所低压最大供电半径约为：</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米。</w:t>
      </w:r>
    </w:p>
    <w:p>
      <w:pPr>
        <w:pStyle w:val="87"/>
        <w:rPr>
          <w:rFonts w:asciiTheme="minorEastAsia" w:hAnsiTheme="minorEastAsia" w:eastAsiaTheme="minorEastAsia"/>
          <w:lang w:val="en-GB"/>
        </w:rPr>
      </w:pPr>
      <w:r>
        <w:rPr>
          <w:rFonts w:asciiTheme="minorEastAsia" w:hAnsiTheme="minorEastAsia" w:eastAsiaTheme="minorEastAsia"/>
          <w:lang w:val="en-GB"/>
        </w:rPr>
        <w:t>变压器</w:t>
      </w:r>
      <w:r>
        <w:rPr>
          <w:rFonts w:hint="eastAsia" w:asciiTheme="minorEastAsia" w:hAnsiTheme="minorEastAsia" w:eastAsiaTheme="minorEastAsia"/>
          <w:lang w:val="en-GB"/>
        </w:rPr>
        <w:t>的</w:t>
      </w:r>
      <w:r>
        <w:rPr>
          <w:rFonts w:asciiTheme="minorEastAsia" w:hAnsiTheme="minorEastAsia" w:eastAsiaTheme="minorEastAsia"/>
          <w:lang w:val="en-GB"/>
        </w:rPr>
        <w:t>能效</w:t>
      </w:r>
      <w:r>
        <w:rPr>
          <w:rFonts w:hint="eastAsia" w:asciiTheme="minorEastAsia" w:hAnsiTheme="minorEastAsia" w:eastAsiaTheme="minorEastAsia"/>
          <w:lang w:val="en-GB"/>
        </w:rPr>
        <w:t>等级：</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级；变压器的接线组别：</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单相负荷经计算选择相位，最大相负荷不超过三相平均负荷的</w:t>
      </w:r>
      <w:r>
        <w:rPr>
          <w:rFonts w:asciiTheme="minorEastAsia" w:hAnsiTheme="minorEastAsia" w:eastAsiaTheme="minorEastAsia"/>
          <w:lang w:val="en-GB"/>
        </w:rPr>
        <w:t xml:space="preserve">115％，最小不小于85％： </w:t>
      </w:r>
      <w:r>
        <w:rPr>
          <w:rFonts w:hint="eastAsia" w:asciiTheme="minorEastAsia" w:hAnsiTheme="minorEastAsia" w:eastAsiaTheme="minorEastAsia"/>
        </w:rPr>
        <w:t>□是；□否。</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避免</w:t>
      </w:r>
      <w:r>
        <w:rPr>
          <w:rFonts w:asciiTheme="minorEastAsia" w:hAnsiTheme="minorEastAsia" w:eastAsiaTheme="minorEastAsia"/>
          <w:lang w:val="en-GB"/>
        </w:rPr>
        <w:t>同一类型的单相负荷集中</w:t>
      </w:r>
      <w:r>
        <w:rPr>
          <w:rFonts w:hint="eastAsia" w:asciiTheme="minorEastAsia" w:hAnsiTheme="minorEastAsia" w:eastAsiaTheme="minorEastAsia"/>
          <w:lang w:val="en-GB"/>
        </w:rPr>
        <w:t>设</w:t>
      </w:r>
      <w:r>
        <w:rPr>
          <w:rFonts w:asciiTheme="minorEastAsia" w:hAnsiTheme="minorEastAsia" w:eastAsiaTheme="minorEastAsia"/>
          <w:lang w:val="en-GB"/>
        </w:rPr>
        <w:t>于同一相上</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设置集中无功补偿：□高压侧集中补偿</w:t>
      </w:r>
      <w:r>
        <w:rPr>
          <w:rFonts w:asciiTheme="minorEastAsia" w:hAnsiTheme="minorEastAsia" w:eastAsiaTheme="minorEastAsia"/>
          <w:lang w:val="en-GB"/>
        </w:rPr>
        <w:t xml:space="preserve">  </w:t>
      </w:r>
      <w:r>
        <w:rPr>
          <w:rFonts w:hint="eastAsia" w:asciiTheme="minorEastAsia" w:hAnsiTheme="minorEastAsia" w:eastAsiaTheme="minorEastAsia"/>
          <w:lang w:val="en-GB"/>
        </w:rPr>
        <w:t>□低压侧集中补偿</w:t>
      </w:r>
      <w:r>
        <w:rPr>
          <w:rFonts w:asciiTheme="minorEastAsia" w:hAnsiTheme="minorEastAsia" w:eastAsiaTheme="minorEastAsia"/>
          <w:lang w:val="en-GB"/>
        </w:rPr>
        <w:t xml:space="preserve">   </w:t>
      </w:r>
      <w:r>
        <w:rPr>
          <w:rFonts w:hint="eastAsia" w:asciiTheme="minorEastAsia" w:hAnsiTheme="minorEastAsia" w:eastAsiaTheme="minorEastAsia"/>
          <w:lang w:val="en-GB"/>
        </w:rPr>
        <w:t>□未设集中补偿；</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设置适当容量的分相无功补偿：</w:t>
      </w:r>
      <w:r>
        <w:rPr>
          <w:rFonts w:asciiTheme="minorEastAsia" w:hAnsiTheme="minorEastAsia" w:eastAsiaTheme="minorEastAsia"/>
          <w:lang w:val="en-GB"/>
        </w:rPr>
        <w:t xml:space="preserve"> </w:t>
      </w:r>
      <w:r>
        <w:rPr>
          <w:rFonts w:hint="eastAsia" w:asciiTheme="minorEastAsia" w:hAnsiTheme="minorEastAsia" w:eastAsiaTheme="minorEastAsia"/>
        </w:rPr>
        <w:sym w:font="Wingdings 2" w:char="00A3"/>
      </w:r>
      <w:r>
        <w:rPr>
          <w:rFonts w:hint="eastAsia" w:asciiTheme="minorEastAsia" w:hAnsiTheme="minorEastAsia" w:eastAsiaTheme="minorEastAsia"/>
        </w:rPr>
        <w:t>是；□否。</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 xml:space="preserve">设置就地无功补偿： </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谐波防治：</w:t>
      </w:r>
    </w:p>
    <w:p>
      <w:pPr>
        <w:pStyle w:val="88"/>
        <w:numPr>
          <w:ilvl w:val="1"/>
          <w:numId w:val="47"/>
        </w:numPr>
        <w:rPr>
          <w:rFonts w:asciiTheme="minorEastAsia" w:hAnsiTheme="minorEastAsia" w:eastAsiaTheme="minorEastAsia"/>
          <w:lang w:val="en-GB"/>
        </w:rPr>
      </w:pPr>
      <w:r>
        <w:rPr>
          <w:rFonts w:asciiTheme="minorEastAsia" w:hAnsiTheme="minorEastAsia" w:eastAsiaTheme="minorEastAsia"/>
          <w:lang w:val="en-GB"/>
        </w:rPr>
        <w:t>选用用电设备的谐波电流限值满足《电磁兼容限值谐波电流发射限值</w:t>
      </w:r>
      <w:r>
        <w:rPr>
          <w:rFonts w:hint="eastAsia" w:asciiTheme="minorEastAsia" w:hAnsiTheme="minorEastAsia" w:eastAsiaTheme="minorEastAsia"/>
          <w:lang w:val="en-GB"/>
        </w:rPr>
        <w:t>（设备每相输入电流≤</w:t>
      </w:r>
      <w:r>
        <w:rPr>
          <w:rFonts w:asciiTheme="minorEastAsia" w:hAnsiTheme="minorEastAsia" w:eastAsiaTheme="minorEastAsia"/>
          <w:lang w:val="en-GB"/>
        </w:rPr>
        <w:t>16A）》GB 17625.1的要求</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8"/>
        <w:rPr>
          <w:rFonts w:asciiTheme="minorEastAsia" w:hAnsiTheme="minorEastAsia" w:eastAsiaTheme="minorEastAsia"/>
          <w:lang w:val="en-GB"/>
        </w:rPr>
      </w:pPr>
      <w:r>
        <w:rPr>
          <w:rFonts w:hint="eastAsia" w:asciiTheme="minorEastAsia" w:hAnsiTheme="minorEastAsia" w:eastAsiaTheme="minorEastAsia"/>
          <w:lang w:val="en-GB"/>
        </w:rPr>
        <w:t>在</w:t>
      </w:r>
      <w:r>
        <w:rPr>
          <w:rFonts w:asciiTheme="minorEastAsia" w:hAnsiTheme="minorEastAsia" w:eastAsiaTheme="minorEastAsia"/>
          <w:lang w:val="en-GB"/>
        </w:rPr>
        <w:t>变电所对供电系统进行谐波监测</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sym w:font="Wingdings 2" w:char="00A3"/>
      </w:r>
      <w:r>
        <w:rPr>
          <w:rFonts w:hint="eastAsia" w:asciiTheme="minorEastAsia" w:hAnsiTheme="minorEastAsia" w:eastAsiaTheme="minorEastAsia"/>
          <w:lang w:val="en-GB"/>
        </w:rPr>
        <w:t>未涉及。</w:t>
      </w:r>
    </w:p>
    <w:p>
      <w:pPr>
        <w:pStyle w:val="88"/>
        <w:rPr>
          <w:rFonts w:asciiTheme="minorEastAsia" w:hAnsiTheme="minorEastAsia" w:eastAsiaTheme="minorEastAsia"/>
          <w:lang w:val="en-GB"/>
        </w:rPr>
      </w:pPr>
      <w:r>
        <w:rPr>
          <w:rFonts w:asciiTheme="minorEastAsia" w:hAnsiTheme="minorEastAsia" w:eastAsiaTheme="minorEastAsia"/>
          <w:lang w:val="en-GB"/>
        </w:rPr>
        <w:t>无功补偿电容串接电抗器，防止谐波放大</w:t>
      </w:r>
      <w:r>
        <w:rPr>
          <w:rFonts w:hint="eastAsia" w:asciiTheme="minorEastAsia" w:hAnsiTheme="minorEastAsia" w:eastAsiaTheme="minorEastAsia"/>
          <w:lang w:val="en-GB"/>
        </w:rPr>
        <w:t>：</w:t>
      </w:r>
      <w:r>
        <w:rPr>
          <w:rFonts w:hint="eastAsia" w:asciiTheme="minorEastAsia" w:hAnsiTheme="minorEastAsia" w:eastAsiaTheme="minorEastAsia"/>
        </w:rPr>
        <w:t>□是；</w:t>
      </w:r>
      <w:r>
        <w:rPr>
          <w:rFonts w:hint="eastAsia" w:asciiTheme="minorEastAsia" w:hAnsiTheme="minorEastAsia" w:eastAsiaTheme="minorEastAsia"/>
        </w:rPr>
        <w:sym w:font="Wingdings 2" w:char="00A3"/>
      </w:r>
      <w:r>
        <w:rPr>
          <w:rFonts w:hint="eastAsia" w:asciiTheme="minorEastAsia" w:hAnsiTheme="minorEastAsia" w:eastAsiaTheme="minorEastAsia"/>
        </w:rPr>
        <w:t>否；</w:t>
      </w:r>
      <w:r>
        <w:rPr>
          <w:rFonts w:hint="eastAsia" w:asciiTheme="minorEastAsia" w:hAnsiTheme="minorEastAsia" w:eastAsiaTheme="minorEastAsia"/>
          <w:lang w:val="en-GB"/>
        </w:rPr>
        <w:t>□未涉及。</w:t>
      </w:r>
    </w:p>
    <w:p>
      <w:pPr>
        <w:pStyle w:val="88"/>
        <w:rPr>
          <w:rFonts w:asciiTheme="minorEastAsia" w:hAnsiTheme="minorEastAsia" w:eastAsiaTheme="minorEastAsia"/>
          <w:lang w:val="en-GB"/>
        </w:rPr>
      </w:pPr>
      <w:r>
        <w:rPr>
          <w:rFonts w:asciiTheme="minorEastAsia" w:hAnsiTheme="minorEastAsia" w:eastAsiaTheme="minorEastAsia"/>
          <w:lang w:val="en-GB"/>
        </w:rPr>
        <w:t>功率较大、谐波严重的设备，由变电所专线供电</w:t>
      </w:r>
      <w:r>
        <w:rPr>
          <w:rFonts w:hint="eastAsia" w:asciiTheme="minorEastAsia" w:hAnsiTheme="minorEastAsia" w:eastAsiaTheme="minorEastAsia"/>
          <w:lang w:val="en-GB"/>
        </w:rPr>
        <w:t>：</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8"/>
        <w:rPr>
          <w:rFonts w:asciiTheme="minorEastAsia" w:hAnsiTheme="minorEastAsia" w:eastAsiaTheme="minorEastAsia"/>
          <w:lang w:val="en-GB"/>
        </w:rPr>
      </w:pPr>
      <w:r>
        <w:rPr>
          <w:rFonts w:asciiTheme="minorEastAsia" w:hAnsiTheme="minorEastAsia" w:eastAsiaTheme="minorEastAsia"/>
          <w:lang w:val="en-GB"/>
        </w:rPr>
        <w:t>在变电所设置无/有源滤波器；或预留柜位，待系统正式运行</w:t>
      </w:r>
      <w:r>
        <w:rPr>
          <w:rFonts w:hint="eastAsia" w:asciiTheme="minorEastAsia" w:hAnsiTheme="minorEastAsia" w:eastAsiaTheme="minorEastAsia"/>
          <w:lang w:val="en-GB"/>
        </w:rPr>
        <w:t>、对谐波</w:t>
      </w:r>
      <w:r>
        <w:rPr>
          <w:rFonts w:asciiTheme="minorEastAsia" w:hAnsiTheme="minorEastAsia" w:eastAsiaTheme="minorEastAsia"/>
          <w:lang w:val="en-GB"/>
        </w:rPr>
        <w:t>实测</w:t>
      </w:r>
      <w:r>
        <w:rPr>
          <w:rFonts w:hint="eastAsia" w:asciiTheme="minorEastAsia" w:hAnsiTheme="minorEastAsia" w:eastAsiaTheme="minorEastAsia"/>
          <w:lang w:val="en-GB"/>
        </w:rPr>
        <w:t>后</w:t>
      </w:r>
      <w:r>
        <w:rPr>
          <w:rFonts w:asciiTheme="minorEastAsia" w:hAnsiTheme="minorEastAsia" w:eastAsiaTheme="minorEastAsia"/>
          <w:lang w:val="en-GB"/>
        </w:rPr>
        <w:t>确定型号规格</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8"/>
        <w:rPr>
          <w:rFonts w:asciiTheme="minorEastAsia" w:hAnsiTheme="minorEastAsia" w:eastAsiaTheme="minorEastAsia"/>
          <w:lang w:val="en-GB"/>
        </w:rPr>
      </w:pPr>
      <w:r>
        <w:rPr>
          <w:rFonts w:asciiTheme="minorEastAsia" w:hAnsiTheme="minorEastAsia" w:eastAsiaTheme="minorEastAsia"/>
          <w:lang w:val="en-GB"/>
        </w:rPr>
        <w:t>选用用电设备的谐波电流限值满足《电磁兼容限值对额定电流大于16A的设备在低压供电系统中产生的谐波电流的限制》GB/Z 17625.6</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8"/>
        <w:rPr>
          <w:rFonts w:asciiTheme="minorEastAsia" w:hAnsiTheme="minorEastAsia" w:eastAsiaTheme="minorEastAsia"/>
          <w:lang w:val="en-GB"/>
        </w:rPr>
      </w:pPr>
      <w:r>
        <w:rPr>
          <w:rFonts w:asciiTheme="minorEastAsia" w:hAnsiTheme="minorEastAsia" w:eastAsiaTheme="minorEastAsia"/>
          <w:lang w:val="en-GB"/>
        </w:rPr>
        <w:t>谐波源较大</w:t>
      </w:r>
      <w:r>
        <w:rPr>
          <w:rFonts w:hint="eastAsia" w:asciiTheme="minorEastAsia" w:hAnsiTheme="minorEastAsia" w:eastAsiaTheme="minorEastAsia"/>
          <w:lang w:val="en-GB"/>
        </w:rPr>
        <w:t>的</w:t>
      </w:r>
      <w:r>
        <w:rPr>
          <w:rFonts w:asciiTheme="minorEastAsia" w:hAnsiTheme="minorEastAsia" w:eastAsiaTheme="minorEastAsia"/>
          <w:lang w:val="en-GB"/>
        </w:rPr>
        <w:t>设备，就地设置谐波抑制装置</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8"/>
        <w:numPr>
          <w:ilvl w:val="0"/>
          <w:numId w:val="0"/>
        </w:numPr>
        <w:ind w:left="992"/>
        <w:rPr>
          <w:rFonts w:asciiTheme="minorEastAsia" w:hAnsiTheme="minorEastAsia" w:eastAsiaTheme="minorEastAsia"/>
          <w:u w:val="single"/>
          <w:lang w:val="en-GB"/>
        </w:rPr>
      </w:pPr>
      <w:r>
        <w:rPr>
          <w:rFonts w:hint="eastAsia" w:asciiTheme="minorEastAsia" w:hAnsiTheme="minorEastAsia" w:eastAsiaTheme="minorEastAsia"/>
          <w:lang w:val="en-GB"/>
        </w:rPr>
        <w:t>其它谐波防治措施简述：</w:t>
      </w:r>
      <w:r>
        <w:rPr>
          <w:rFonts w:asciiTheme="minorEastAsia" w:hAnsiTheme="minorEastAsia" w:eastAsiaTheme="minorEastAsia"/>
          <w:u w:val="single"/>
          <w:lang w:val="en-GB"/>
        </w:rPr>
        <w:t xml:space="preserve">                            </w:t>
      </w:r>
      <w:r>
        <w:rPr>
          <w:rFonts w:hint="eastAsia" w:asciiTheme="minorEastAsia" w:hAnsiTheme="minorEastAsia" w:eastAsiaTheme="minorEastAsia"/>
          <w:u w:val="single"/>
          <w:lang w:val="en-GB"/>
        </w:rPr>
        <w:t>。</w:t>
      </w:r>
    </w:p>
    <w:p>
      <w:pPr>
        <w:pStyle w:val="87"/>
        <w:rPr>
          <w:rFonts w:asciiTheme="minorEastAsia" w:hAnsiTheme="minorEastAsia" w:eastAsiaTheme="minorEastAsia"/>
        </w:rPr>
      </w:pPr>
      <w:r>
        <w:rPr>
          <w:rFonts w:hint="eastAsia" w:asciiTheme="minorEastAsia" w:hAnsiTheme="minorEastAsia" w:eastAsiaTheme="minorEastAsia"/>
        </w:rPr>
        <w:t>电气系统导体材料：</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rPr>
        <w:t>；采用低烟或无烟、低毒或无毒的阻燃型或不燃性线缆：□是；□否</w:t>
      </w:r>
      <w:r>
        <w:rPr>
          <w:rFonts w:hint="eastAsia" w:asciiTheme="minorEastAsia" w:hAnsiTheme="minorEastAsia" w:eastAsiaTheme="minorEastAsia"/>
          <w:lang w:val="en-GB"/>
        </w:rPr>
        <w:t>。</w:t>
      </w:r>
    </w:p>
    <w:p>
      <w:pPr>
        <w:pStyle w:val="87"/>
        <w:rPr>
          <w:lang w:val="en-GB"/>
        </w:rPr>
      </w:pPr>
      <w:r>
        <w:t>电气线路在穿越有保温隔热要求的墙体或楼板处，预埋穿线管并用保温材料进行密闭处理</w:t>
      </w:r>
      <w:r>
        <w:rPr>
          <w:rFonts w:hint="eastAsia" w:asciiTheme="minorEastAsia" w:hAnsiTheme="minorEastAsia" w:eastAsiaTheme="minorEastAsia"/>
        </w:rPr>
        <w:t>：□是；□否</w:t>
      </w:r>
      <w: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室内照明功率密度值满足《建筑照明设计标准》</w:t>
      </w:r>
      <w:r>
        <w:rPr>
          <w:rFonts w:asciiTheme="minorEastAsia" w:hAnsiTheme="minorEastAsia" w:eastAsiaTheme="minorEastAsia"/>
          <w:lang w:val="en-GB"/>
        </w:rPr>
        <w:t>GB50034规定的目标值：</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室外照明的光污染控制、</w:t>
      </w:r>
      <w:r>
        <w:rPr>
          <w:rFonts w:asciiTheme="minorEastAsia" w:hAnsiTheme="minorEastAsia" w:eastAsiaTheme="minorEastAsia"/>
          <w:lang w:val="en-GB"/>
        </w:rPr>
        <w:t>室外灯光对室内的影响</w:t>
      </w:r>
      <w:r>
        <w:rPr>
          <w:rFonts w:hint="eastAsia" w:asciiTheme="minorEastAsia" w:hAnsiTheme="minorEastAsia" w:eastAsiaTheme="minorEastAsia"/>
          <w:lang w:val="en-GB"/>
        </w:rPr>
        <w:t>满足《城市夜景照明设计规范》</w:t>
      </w:r>
      <w:r>
        <w:rPr>
          <w:rFonts w:asciiTheme="minorEastAsia" w:hAnsiTheme="minorEastAsia" w:eastAsiaTheme="minorEastAsia"/>
          <w:lang w:val="en-GB"/>
        </w:rPr>
        <w:t xml:space="preserve"> JGJ/T163及《环境照明工程技术规范》 DB33/T 1055的要求： </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步行道和非机动车道的照度标准值不低于《城市道路照明设计标准》</w:t>
      </w:r>
      <w:r>
        <w:rPr>
          <w:rFonts w:asciiTheme="minorEastAsia" w:hAnsiTheme="minorEastAsia" w:eastAsiaTheme="minorEastAsia"/>
          <w:lang w:val="en-GB"/>
        </w:rPr>
        <w:t>CJJ 45的相关要求：</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室外照度标准值、照明功率密度值满足《城市夜景照明设计规范》</w:t>
      </w:r>
      <w:r>
        <w:rPr>
          <w:rFonts w:asciiTheme="minorEastAsia" w:hAnsiTheme="minorEastAsia" w:eastAsiaTheme="minorEastAsia"/>
          <w:lang w:val="en-GB"/>
        </w:rPr>
        <w:t xml:space="preserve"> JGJ/T163及《环境照明工程技术规范》 DB33/T 1055的要求：□满足   □不满足   </w:t>
      </w:r>
      <w:r>
        <w:rPr>
          <w:rFonts w:hint="eastAsia" w:asciiTheme="minorEastAsia" w:hAnsiTheme="minorEastAsia" w:eastAsiaTheme="minorEastAsia"/>
          <w:lang w:val="en-GB"/>
        </w:rPr>
        <w:sym w:font="Wingdings 2" w:char="00A3"/>
      </w:r>
      <w:r>
        <w:rPr>
          <w:rFonts w:hint="eastAsia" w:asciiTheme="minorEastAsia" w:hAnsiTheme="minorEastAsia" w:eastAsiaTheme="minorEastAsia"/>
          <w:lang w:val="en-GB"/>
        </w:rPr>
        <w:t>未涉及。</w:t>
      </w:r>
    </w:p>
    <w:p>
      <w:pPr>
        <w:pStyle w:val="87"/>
        <w:rPr>
          <w:rFonts w:asciiTheme="minorEastAsia" w:hAnsiTheme="minorEastAsia" w:eastAsiaTheme="minorEastAsia"/>
          <w:lang w:val="en-GB"/>
        </w:rPr>
      </w:pPr>
      <w:r>
        <w:rPr>
          <w:rFonts w:hint="eastAsia" w:asciiTheme="minorEastAsia" w:hAnsiTheme="minorEastAsia" w:eastAsiaTheme="minorEastAsia"/>
          <w:lang w:val="en-GB"/>
        </w:rPr>
        <w:t>采用的主要照明方式：一般照明□</w:t>
      </w:r>
      <w:r>
        <w:rPr>
          <w:rFonts w:asciiTheme="minorEastAsia" w:hAnsiTheme="minorEastAsia" w:eastAsiaTheme="minorEastAsia"/>
          <w:lang w:val="en-GB"/>
        </w:rPr>
        <w:t xml:space="preserve">   </w:t>
      </w:r>
      <w:r>
        <w:rPr>
          <w:rFonts w:hint="eastAsia" w:asciiTheme="minorEastAsia" w:hAnsiTheme="minorEastAsia" w:eastAsiaTheme="minorEastAsia"/>
          <w:lang w:val="en-GB"/>
        </w:rPr>
        <w:t>分区一般照明□</w:t>
      </w:r>
      <w:r>
        <w:rPr>
          <w:rFonts w:asciiTheme="minorEastAsia" w:hAnsiTheme="minorEastAsia" w:eastAsiaTheme="minorEastAsia"/>
          <w:lang w:val="en-GB"/>
        </w:rPr>
        <w:t xml:space="preserve">   </w:t>
      </w:r>
      <w:r>
        <w:rPr>
          <w:rFonts w:hint="eastAsia" w:asciiTheme="minorEastAsia" w:hAnsiTheme="minorEastAsia" w:eastAsiaTheme="minorEastAsia"/>
          <w:lang w:val="en-GB"/>
        </w:rPr>
        <w:t>局部照明□</w:t>
      </w:r>
      <w:r>
        <w:rPr>
          <w:rFonts w:asciiTheme="minorEastAsia" w:hAnsiTheme="minorEastAsia" w:eastAsiaTheme="minorEastAsia"/>
          <w:lang w:val="en-GB"/>
        </w:rPr>
        <w:t xml:space="preserve">   </w:t>
      </w:r>
      <w:r>
        <w:rPr>
          <w:rFonts w:hint="eastAsia" w:asciiTheme="minorEastAsia" w:hAnsiTheme="minorEastAsia" w:eastAsiaTheme="minorEastAsia"/>
          <w:lang w:val="en-GB"/>
        </w:rPr>
        <w:t>直接照明□</w:t>
      </w:r>
      <w:r>
        <w:rPr>
          <w:rFonts w:asciiTheme="minorEastAsia" w:hAnsiTheme="minorEastAsia" w:eastAsiaTheme="minorEastAsia"/>
          <w:lang w:val="en-GB"/>
        </w:rPr>
        <w:t xml:space="preserve">   </w:t>
      </w:r>
      <w:r>
        <w:rPr>
          <w:rFonts w:hint="eastAsia" w:asciiTheme="minorEastAsia" w:hAnsiTheme="minorEastAsia" w:eastAsiaTheme="minorEastAsia"/>
          <w:lang w:val="en-GB"/>
        </w:rPr>
        <w:t>间接照明□。</w:t>
      </w:r>
    </w:p>
    <w:p>
      <w:pPr>
        <w:pStyle w:val="87"/>
        <w:rPr>
          <w:rFonts w:asciiTheme="minorEastAsia" w:hAnsiTheme="minorEastAsia" w:eastAsiaTheme="minorEastAsia"/>
          <w:lang w:val="en-GB"/>
        </w:rPr>
      </w:pPr>
      <w:r>
        <w:rPr>
          <w:rFonts w:hint="eastAsia" w:asciiTheme="minorEastAsia" w:hAnsiTheme="minorEastAsia" w:eastAsiaTheme="minorEastAsia"/>
          <w:lang w:val="en-GB"/>
        </w:rPr>
        <w:t>采用节能型光源：□是；□否。</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光源、驱动器或镇流器的能效等级满足相应能效标准的：</w:t>
      </w:r>
      <w:r>
        <w:rPr>
          <w:rFonts w:asciiTheme="minorEastAsia" w:hAnsiTheme="minorEastAsia" w:eastAsiaTheme="minorEastAsia"/>
          <w:lang w:val="en-GB"/>
        </w:rPr>
        <w:t xml:space="preserve"> </w:t>
      </w:r>
      <w:r>
        <w:rPr>
          <w:rFonts w:hint="eastAsia" w:asciiTheme="minorEastAsia" w:hAnsiTheme="minorEastAsia" w:eastAsiaTheme="minorEastAsia"/>
          <w:lang w:val="en-GB"/>
        </w:rPr>
        <w:t>□</w:t>
      </w:r>
      <w:r>
        <w:rPr>
          <w:rFonts w:asciiTheme="minorEastAsia" w:hAnsiTheme="minorEastAsia" w:eastAsiaTheme="minorEastAsia"/>
          <w:lang w:val="en-GB"/>
        </w:rPr>
        <w:t xml:space="preserve"> 3级   </w:t>
      </w:r>
      <w:r>
        <w:rPr>
          <w:rFonts w:hint="eastAsia" w:asciiTheme="minorEastAsia" w:hAnsiTheme="minorEastAsia" w:eastAsiaTheme="minorEastAsia"/>
          <w:lang w:val="en-GB"/>
        </w:rPr>
        <w:t>□</w:t>
      </w:r>
      <w:r>
        <w:rPr>
          <w:rFonts w:asciiTheme="minorEastAsia" w:hAnsiTheme="minorEastAsia" w:eastAsiaTheme="minorEastAsia"/>
          <w:lang w:val="en-GB"/>
        </w:rPr>
        <w:t xml:space="preserve"> 2级   </w:t>
      </w:r>
      <w:r>
        <w:rPr>
          <w:rFonts w:hint="eastAsia" w:asciiTheme="minorEastAsia" w:hAnsiTheme="minorEastAsia" w:eastAsiaTheme="minorEastAsia"/>
          <w:lang w:val="en-GB"/>
        </w:rPr>
        <w:t>□</w:t>
      </w:r>
      <w:r>
        <w:rPr>
          <w:rFonts w:asciiTheme="minorEastAsia" w:hAnsiTheme="minorEastAsia" w:eastAsiaTheme="minorEastAsia"/>
          <w:lang w:val="en-GB"/>
        </w:rPr>
        <w:t xml:space="preserve"> 1级 </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照明灯具效率、</w:t>
      </w:r>
      <w:r>
        <w:rPr>
          <w:rFonts w:asciiTheme="minorEastAsia" w:hAnsiTheme="minorEastAsia" w:eastAsiaTheme="minorEastAsia"/>
          <w:lang w:val="en-GB"/>
        </w:rPr>
        <w:t>LED</w:t>
      </w:r>
      <w:r>
        <w:rPr>
          <w:rFonts w:hint="eastAsia" w:asciiTheme="minorEastAsia" w:hAnsiTheme="minorEastAsia" w:eastAsiaTheme="minorEastAsia"/>
          <w:lang w:val="en-GB"/>
        </w:rPr>
        <w:t>灯具效能满足《建筑照明设计标准》</w:t>
      </w:r>
      <w:r>
        <w:rPr>
          <w:rFonts w:asciiTheme="minorEastAsia" w:hAnsiTheme="minorEastAsia" w:eastAsiaTheme="minorEastAsia"/>
          <w:lang w:val="en-GB"/>
        </w:rPr>
        <w:t>GB50034的要求：</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具有自然采光的区域，结合自然光布置灯具、控制照明：</w:t>
      </w:r>
      <w:r>
        <w:rPr>
          <w:rFonts w:hint="eastAsia" w:asciiTheme="minorEastAsia" w:hAnsiTheme="minorEastAsia" w:eastAsiaTheme="minorEastAsia"/>
        </w:rPr>
        <w:t>□是；□否；</w:t>
      </w:r>
      <w:r>
        <w:rPr>
          <w:rFonts w:hint="eastAsia" w:asciiTheme="minorEastAsia" w:hAnsiTheme="minorEastAsia" w:eastAsiaTheme="minorEastAsia"/>
          <w:lang w:val="en-GB"/>
        </w:rPr>
        <w:sym w:font="Wingdings 2" w:char="00A3"/>
      </w:r>
      <w:r>
        <w:rPr>
          <w:rFonts w:hint="eastAsia" w:asciiTheme="minorEastAsia" w:hAnsiTheme="minorEastAsia" w:eastAsiaTheme="minorEastAsia"/>
          <w:lang w:val="en-GB"/>
        </w:rPr>
        <w:t>未涉及。</w:t>
      </w:r>
    </w:p>
    <w:p>
      <w:pPr>
        <w:pStyle w:val="87"/>
        <w:rPr>
          <w:rFonts w:asciiTheme="minorEastAsia" w:hAnsiTheme="minorEastAsia" w:eastAsiaTheme="minorEastAsia"/>
          <w:lang w:val="en-GB"/>
        </w:rPr>
      </w:pPr>
      <w:r>
        <w:rPr>
          <w:rFonts w:hint="eastAsia" w:asciiTheme="minorEastAsia" w:hAnsiTheme="minorEastAsia" w:eastAsiaTheme="minorEastAsia"/>
          <w:lang w:val="en-GB"/>
        </w:rPr>
        <w:t>电动机、交流接触器的能效等级：</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级。</w:t>
      </w:r>
    </w:p>
    <w:p>
      <w:pPr>
        <w:pStyle w:val="87"/>
        <w:rPr>
          <w:rFonts w:asciiTheme="minorEastAsia" w:hAnsiTheme="minorEastAsia" w:eastAsiaTheme="minorEastAsia"/>
          <w:lang w:val="en-GB"/>
        </w:rPr>
      </w:pPr>
      <w:r>
        <w:rPr>
          <w:rFonts w:asciiTheme="minorEastAsia" w:hAnsiTheme="minorEastAsia" w:eastAsiaTheme="minorEastAsia"/>
        </w:rPr>
        <w:t>根据各专业动力设备的工艺要求，确定合理的电动机启、停、调速等控制方式：</w:t>
      </w:r>
      <w:r>
        <w:rPr>
          <w:rFonts w:hint="eastAsia" w:asciiTheme="minorEastAsia" w:hAnsiTheme="minorEastAsia" w:eastAsiaTheme="minorEastAsia"/>
        </w:rPr>
        <w:t>□是；□否；</w:t>
      </w:r>
      <w:r>
        <w:rPr>
          <w:rFonts w:hint="eastAsia" w:asciiTheme="minorEastAsia" w:hAnsiTheme="minorEastAsia" w:eastAsiaTheme="minorEastAsia"/>
          <w:lang w:val="en-GB"/>
        </w:rPr>
        <w:t>□未涉及</w:t>
      </w:r>
      <w:r>
        <w:rPr>
          <w:rFonts w:asciiTheme="minorEastAsia" w:hAnsiTheme="minorEastAsia" w:eastAsiaTheme="minorEastAsia"/>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选用配备高效电机及先进控制技术的电梯、自动扶梯、自动人行道，</w:t>
      </w:r>
      <w:r>
        <w:rPr>
          <w:rFonts w:asciiTheme="minorEastAsia" w:hAnsiTheme="minorEastAsia" w:eastAsiaTheme="minorEastAsia"/>
        </w:rPr>
        <w:t>具有节能运行、节能拖动功能</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当</w:t>
      </w:r>
      <w:r>
        <w:rPr>
          <w:rFonts w:asciiTheme="minorEastAsia" w:hAnsiTheme="minorEastAsia" w:eastAsiaTheme="minorEastAsia"/>
          <w:lang w:val="en-GB"/>
        </w:rPr>
        <w:t xml:space="preserve">2台及以上电梯集中布置时，具备群控的功能： </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7"/>
        <w:rPr>
          <w:rFonts w:asciiTheme="minorEastAsia" w:hAnsiTheme="minorEastAsia" w:eastAsiaTheme="minorEastAsia"/>
          <w:lang w:val="en-GB"/>
        </w:rPr>
      </w:pPr>
      <w:r>
        <w:rPr>
          <w:rFonts w:asciiTheme="minorEastAsia" w:hAnsiTheme="minorEastAsia" w:eastAsiaTheme="minorEastAsia"/>
          <w:lang w:val="en-GB"/>
        </w:rPr>
        <w:t>集中制备</w:t>
      </w:r>
      <w:r>
        <w:rPr>
          <w:rFonts w:hint="eastAsia" w:asciiTheme="minorEastAsia" w:hAnsiTheme="minorEastAsia" w:eastAsiaTheme="minorEastAsia"/>
          <w:lang w:val="en-GB"/>
        </w:rPr>
        <w:t>饮用热水</w:t>
      </w:r>
      <w:r>
        <w:rPr>
          <w:rFonts w:asciiTheme="minorEastAsia" w:hAnsiTheme="minorEastAsia" w:eastAsiaTheme="minorEastAsia"/>
          <w:lang w:val="en-GB"/>
        </w:rPr>
        <w:t>的电开水炉</w:t>
      </w:r>
      <w:r>
        <w:rPr>
          <w:rFonts w:hint="eastAsia" w:asciiTheme="minorEastAsia" w:hAnsiTheme="minorEastAsia" w:eastAsiaTheme="minorEastAsia"/>
          <w:lang w:val="en-GB"/>
        </w:rPr>
        <w:t>设</w:t>
      </w:r>
      <w:r>
        <w:rPr>
          <w:rFonts w:asciiTheme="minorEastAsia" w:hAnsiTheme="minorEastAsia" w:eastAsiaTheme="minorEastAsia"/>
          <w:lang w:val="en-GB"/>
        </w:rPr>
        <w:t>有根据温度</w:t>
      </w:r>
      <w:r>
        <w:rPr>
          <w:rFonts w:hint="eastAsia" w:asciiTheme="minorEastAsia" w:hAnsiTheme="minorEastAsia" w:eastAsiaTheme="minorEastAsia"/>
          <w:lang w:val="en-GB"/>
        </w:rPr>
        <w:t>及</w:t>
      </w:r>
      <w:r>
        <w:rPr>
          <w:rFonts w:asciiTheme="minorEastAsia" w:hAnsiTheme="minorEastAsia" w:eastAsiaTheme="minorEastAsia"/>
          <w:lang w:val="en-GB"/>
        </w:rPr>
        <w:t>时间</w:t>
      </w:r>
      <w:r>
        <w:rPr>
          <w:rFonts w:hint="eastAsia" w:asciiTheme="minorEastAsia" w:hAnsiTheme="minorEastAsia" w:eastAsiaTheme="minorEastAsia"/>
          <w:lang w:val="en-GB"/>
        </w:rPr>
        <w:t>的</w:t>
      </w:r>
      <w:r>
        <w:rPr>
          <w:rFonts w:asciiTheme="minorEastAsia" w:hAnsiTheme="minorEastAsia" w:eastAsiaTheme="minorEastAsia"/>
          <w:lang w:val="en-GB"/>
        </w:rPr>
        <w:t>控制措施</w:t>
      </w:r>
      <w:r>
        <w:rPr>
          <w:rFonts w:hint="eastAsia" w:asciiTheme="minorEastAsia" w:hAnsiTheme="minorEastAsia" w:eastAsiaTheme="minorEastAsia"/>
          <w:lang w:val="en-GB"/>
        </w:rPr>
        <w:t>：</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7"/>
        <w:rPr>
          <w:rFonts w:asciiTheme="minorEastAsia" w:hAnsiTheme="minorEastAsia" w:eastAsiaTheme="minorEastAsia"/>
          <w:lang w:val="en-GB"/>
        </w:rPr>
      </w:pPr>
      <w:r>
        <w:rPr>
          <w:rFonts w:hint="eastAsia" w:asciiTheme="minorEastAsia" w:hAnsiTheme="minorEastAsia" w:eastAsiaTheme="minorEastAsia"/>
          <w:lang w:val="en-GB"/>
        </w:rPr>
        <w:t>需独立考核用电量的功能区域设置用电计量：</w:t>
      </w:r>
      <w:r>
        <w:rPr>
          <w:rFonts w:hint="eastAsia" w:asciiTheme="minorEastAsia" w:hAnsiTheme="minorEastAsia" w:eastAsiaTheme="minorEastAsia"/>
        </w:rPr>
        <w:t>□是；□否。</w:t>
      </w:r>
    </w:p>
    <w:p>
      <w:pPr>
        <w:pStyle w:val="87"/>
        <w:rPr>
          <w:rFonts w:asciiTheme="minorEastAsia" w:hAnsiTheme="minorEastAsia" w:eastAsiaTheme="minorEastAsia"/>
          <w:lang w:val="en-GB"/>
        </w:rPr>
      </w:pPr>
      <w:r>
        <w:rPr>
          <w:rFonts w:hint="eastAsia" w:asciiTheme="minorEastAsia" w:hAnsiTheme="minorEastAsia" w:eastAsiaTheme="minorEastAsia"/>
          <w:lang w:val="en-GB"/>
        </w:rPr>
        <w:t>设置可再生能源发电系统：</w:t>
      </w:r>
      <w:r>
        <w:rPr>
          <w:rFonts w:asciiTheme="minorEastAsia" w:hAnsiTheme="minorEastAsia" w:eastAsiaTheme="minorEastAsia"/>
          <w:lang w:val="en-GB"/>
        </w:rPr>
        <w:t xml:space="preserve"> </w:t>
      </w:r>
      <w:r>
        <w:rPr>
          <w:rFonts w:hint="eastAsia" w:asciiTheme="minorEastAsia" w:hAnsiTheme="minorEastAsia" w:eastAsiaTheme="minorEastAsia"/>
          <w:lang w:val="en-GB"/>
        </w:rPr>
        <w:t>是□；否□；</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能源种类：</w:t>
      </w:r>
      <w:r>
        <w:rPr>
          <w:rFonts w:asciiTheme="minorEastAsia" w:hAnsiTheme="minorEastAsia" w:eastAsiaTheme="minorEastAsia"/>
          <w:lang w:val="en-GB"/>
        </w:rPr>
        <w:t xml:space="preserve"> </w:t>
      </w:r>
      <w:r>
        <w:rPr>
          <w:rFonts w:hint="eastAsia" w:asciiTheme="minorEastAsia" w:hAnsiTheme="minorEastAsia" w:eastAsiaTheme="minorEastAsia"/>
          <w:lang w:val="en-GB"/>
        </w:rPr>
        <w:t>太阳能□</w:t>
      </w:r>
      <w:r>
        <w:rPr>
          <w:rFonts w:asciiTheme="minorEastAsia" w:hAnsiTheme="minorEastAsia" w:eastAsiaTheme="minorEastAsia"/>
          <w:lang w:val="en-GB"/>
        </w:rPr>
        <w:t xml:space="preserve">   </w:t>
      </w:r>
      <w:r>
        <w:rPr>
          <w:rFonts w:hint="eastAsia" w:asciiTheme="minorEastAsia" w:hAnsiTheme="minorEastAsia" w:eastAsiaTheme="minorEastAsia"/>
          <w:lang w:val="en-GB"/>
        </w:rPr>
        <w:t>风能□</w:t>
      </w:r>
      <w:r>
        <w:rPr>
          <w:rFonts w:asciiTheme="minorEastAsia" w:hAnsiTheme="minorEastAsia" w:eastAsiaTheme="minorEastAsia"/>
          <w:lang w:val="en-GB"/>
        </w:rPr>
        <w:t xml:space="preserve">   </w:t>
      </w:r>
      <w:r>
        <w:rPr>
          <w:rFonts w:hint="eastAsia" w:asciiTheme="minorEastAsia" w:hAnsiTheme="minorEastAsia" w:eastAsiaTheme="minorEastAsia"/>
          <w:lang w:val="en-GB"/>
        </w:rPr>
        <w:t>生物质能□</w:t>
      </w:r>
      <w:r>
        <w:rPr>
          <w:rFonts w:asciiTheme="minorEastAsia" w:hAnsiTheme="minorEastAsia" w:eastAsiaTheme="minorEastAsia"/>
          <w:lang w:val="en-GB"/>
        </w:rPr>
        <w:t xml:space="preserve">   </w:t>
      </w:r>
      <w:r>
        <w:rPr>
          <w:rFonts w:hint="eastAsia" w:asciiTheme="minorEastAsia" w:hAnsiTheme="minorEastAsia" w:eastAsiaTheme="minorEastAsia"/>
          <w:lang w:val="en-GB"/>
        </w:rPr>
        <w:t>其它：</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设置位置：</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lang w:val="en-GB"/>
        </w:rPr>
        <w:t>采用并网系统：</w:t>
      </w:r>
      <w:r>
        <w:rPr>
          <w:rFonts w:asciiTheme="minorEastAsia" w:hAnsiTheme="minorEastAsia" w:eastAsiaTheme="minorEastAsia"/>
          <w:lang w:val="en-GB"/>
        </w:rPr>
        <w:t xml:space="preserve"> </w:t>
      </w:r>
      <w:r>
        <w:rPr>
          <w:rFonts w:hint="eastAsia" w:asciiTheme="minorEastAsia" w:hAnsiTheme="minorEastAsia" w:eastAsiaTheme="minorEastAsia"/>
          <w:lang w:val="en-GB"/>
        </w:rPr>
        <w:t>是□</w:t>
      </w:r>
      <w:r>
        <w:rPr>
          <w:rFonts w:asciiTheme="minorEastAsia" w:hAnsiTheme="minorEastAsia" w:eastAsiaTheme="minorEastAsia"/>
          <w:lang w:val="en-GB"/>
        </w:rPr>
        <w:t xml:space="preserve">   </w:t>
      </w:r>
      <w:r>
        <w:rPr>
          <w:rFonts w:hint="eastAsia" w:asciiTheme="minorEastAsia" w:hAnsiTheme="minorEastAsia" w:eastAsiaTheme="minorEastAsia"/>
          <w:lang w:val="en-GB"/>
        </w:rPr>
        <w:t>否□</w:t>
      </w:r>
      <w:r>
        <w:rPr>
          <w:rFonts w:asciiTheme="minorEastAsia" w:hAnsiTheme="minorEastAsia" w:eastAsiaTheme="minorEastAsia"/>
          <w:lang w:val="en-GB"/>
        </w:rPr>
        <w:t xml:space="preserve"> </w:t>
      </w:r>
      <w:r>
        <w:rPr>
          <w:rFonts w:hint="eastAsia" w:asciiTheme="minorEastAsia" w:hAnsiTheme="minorEastAsia" w:eastAsiaTheme="minorEastAsia"/>
          <w:lang w:val="en-GB"/>
        </w:rPr>
        <w:t>；</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系统峰值发电容量：</w:t>
      </w:r>
      <w:r>
        <w:rPr>
          <w:rFonts w:asciiTheme="minorEastAsia" w:hAnsiTheme="minorEastAsia" w:eastAsiaTheme="minorEastAsia"/>
          <w:u w:val="single"/>
          <w:lang w:val="en-GB"/>
        </w:rPr>
        <w:t xml:space="preserve">      </w:t>
      </w:r>
      <w:r>
        <w:rPr>
          <w:rFonts w:asciiTheme="minorEastAsia" w:hAnsiTheme="minorEastAsia" w:eastAsiaTheme="minorEastAsia"/>
          <w:lang w:val="en-GB"/>
        </w:rPr>
        <w:t>kWp ；</w:t>
      </w:r>
      <w:r>
        <w:rPr>
          <w:rFonts w:hint="eastAsia" w:asciiTheme="minorEastAsia" w:hAnsiTheme="minorEastAsia"/>
        </w:rPr>
        <w:t>设计年发电量</w:t>
      </w:r>
      <w:r>
        <w:rPr>
          <w:rFonts w:asciiTheme="minorEastAsia" w:hAnsiTheme="minorEastAsia"/>
          <w:u w:val="single"/>
        </w:rPr>
        <w:t xml:space="preserve">        </w:t>
      </w:r>
      <w:r>
        <w:rPr>
          <w:rFonts w:asciiTheme="minorEastAsia" w:hAnsiTheme="minorEastAsia"/>
        </w:rPr>
        <w:t xml:space="preserve">kWh </w:t>
      </w:r>
      <w:r>
        <w:rPr>
          <w:rFonts w:hint="eastAsia" w:asciiTheme="minorEastAsia" w:hAnsiTheme="minorEastAsia"/>
        </w:rPr>
        <w:t>；</w:t>
      </w:r>
    </w:p>
    <w:p>
      <w:pPr>
        <w:pStyle w:val="87"/>
        <w:numPr>
          <w:ilvl w:val="0"/>
          <w:numId w:val="0"/>
        </w:numPr>
        <w:ind w:left="425"/>
        <w:rPr>
          <w:rFonts w:asciiTheme="minorEastAsia" w:hAnsiTheme="minorEastAsia" w:eastAsiaTheme="minorEastAsia"/>
          <w:lang w:val="en-GB"/>
        </w:rPr>
      </w:pPr>
      <w:r>
        <w:rPr>
          <w:rFonts w:asciiTheme="minorEastAsia" w:hAnsiTheme="minorEastAsia" w:eastAsiaTheme="minorEastAsia"/>
          <w:lang w:val="en-GB"/>
        </w:rPr>
        <w:t>太阳能光伏电池的种类</w:t>
      </w:r>
      <w:r>
        <w:rPr>
          <w:rFonts w:hint="eastAsia" w:asciiTheme="minorEastAsia" w:hAnsiTheme="minorEastAsia" w:eastAsiaTheme="minorEastAsia"/>
          <w:lang w:val="en-GB"/>
        </w:rPr>
        <w:t>：</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；光伏与建筑结合类型：</w:t>
      </w:r>
      <w:r>
        <w:rPr>
          <w:rFonts w:asciiTheme="minorEastAsia" w:hAnsiTheme="minorEastAsia" w:eastAsiaTheme="minorEastAsia"/>
          <w:lang w:val="en-GB"/>
        </w:rPr>
        <w:t xml:space="preserve"> BIPV□   BAPV□。</w:t>
      </w:r>
    </w:p>
    <w:p>
      <w:pPr>
        <w:pStyle w:val="87"/>
        <w:rPr>
          <w:rFonts w:cs="宋体" w:asciiTheme="minorEastAsia" w:hAnsiTheme="minorEastAsia" w:eastAsiaTheme="minorEastAsia"/>
          <w:sz w:val="18"/>
          <w:szCs w:val="18"/>
          <w:lang w:val="en-GB"/>
        </w:rPr>
      </w:pPr>
      <w:r>
        <w:rPr>
          <w:rFonts w:hint="eastAsia" w:asciiTheme="minorEastAsia" w:hAnsiTheme="minorEastAsia" w:eastAsiaTheme="minorEastAsia"/>
          <w:lang w:val="en-GB"/>
        </w:rPr>
        <w:t>其它需说明的有关绿色（节能）的设计：</w:t>
      </w:r>
      <w:r>
        <w:rPr>
          <w:rFonts w:asciiTheme="minorEastAsia" w:hAnsiTheme="minorEastAsia" w:eastAsiaTheme="minorEastAsia"/>
          <w:u w:val="single"/>
          <w:lang w:val="en-GB"/>
        </w:rPr>
        <w:t xml:space="preserve">                               </w:t>
      </w:r>
      <w:r>
        <w:rPr>
          <w:rFonts w:hint="eastAsia" w:asciiTheme="minorEastAsia" w:hAnsiTheme="minorEastAsia" w:eastAsiaTheme="minorEastAsia"/>
          <w:u w:val="single"/>
          <w:lang w:val="en-GB"/>
        </w:rPr>
        <w:t>。</w:t>
      </w:r>
    </w:p>
    <w:p>
      <w:pPr>
        <w:pStyle w:val="87"/>
        <w:numPr>
          <w:ilvl w:val="0"/>
          <w:numId w:val="0"/>
        </w:numPr>
        <w:ind w:left="425"/>
        <w:rPr>
          <w:rFonts w:asciiTheme="minorEastAsia" w:hAnsiTheme="minorEastAsia" w:eastAsiaTheme="minorEastAsia"/>
          <w:lang w:val="en-GB"/>
        </w:rPr>
      </w:pPr>
    </w:p>
    <w:p>
      <w:pPr>
        <w:pStyle w:val="63"/>
        <w:ind w:firstLine="0"/>
        <w:rPr>
          <w:rFonts w:asciiTheme="minorEastAsia" w:hAnsiTheme="minorEastAsia" w:eastAsiaTheme="minorEastAsia"/>
          <w:b/>
        </w:rPr>
      </w:pPr>
      <w:bookmarkStart w:id="22" w:name="_Toc109325297"/>
      <w:bookmarkStart w:id="23" w:name="_Toc109325933"/>
      <w:r>
        <w:rPr>
          <w:rFonts w:hint="eastAsia" w:asciiTheme="minorEastAsia" w:hAnsiTheme="minorEastAsia" w:eastAsiaTheme="minorEastAsia"/>
          <w:b/>
        </w:rPr>
        <w:t>三、智能化</w:t>
      </w:r>
      <w:r>
        <w:rPr>
          <w:rFonts w:asciiTheme="minorEastAsia" w:hAnsiTheme="minorEastAsia" w:eastAsiaTheme="minorEastAsia"/>
          <w:b/>
        </w:rPr>
        <w:t>设计技术措施</w:t>
      </w:r>
      <w:r>
        <w:rPr>
          <w:rFonts w:hint="eastAsia" w:asciiTheme="minorEastAsia" w:hAnsiTheme="minorEastAsia" w:eastAsiaTheme="minorEastAsia"/>
          <w:b/>
        </w:rPr>
        <w:t>：</w:t>
      </w:r>
      <w:bookmarkEnd w:id="22"/>
      <w:bookmarkEnd w:id="23"/>
    </w:p>
    <w:p>
      <w:pPr>
        <w:spacing w:line="360" w:lineRule="auto"/>
        <w:ind w:left="284" w:firstLine="482"/>
        <w:rPr>
          <w:rFonts w:asciiTheme="minorEastAsia" w:hAnsiTheme="minorEastAsia" w:eastAsiaTheme="minorEastAsia"/>
          <w:b/>
          <w:bCs/>
          <w:kern w:val="0"/>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一</w:t>
      </w:r>
      <w:r>
        <w:rPr>
          <w:rFonts w:asciiTheme="minorEastAsia" w:hAnsiTheme="minorEastAsia" w:eastAsiaTheme="minorEastAsia"/>
          <w:b/>
          <w:sz w:val="24"/>
        </w:rPr>
        <w:t>星级</w:t>
      </w:r>
      <w:r>
        <w:rPr>
          <w:rFonts w:hint="eastAsia" w:asciiTheme="minorEastAsia" w:hAnsiTheme="minorEastAsia" w:eastAsiaTheme="minorEastAsia"/>
          <w:b/>
          <w:sz w:val="24"/>
        </w:rPr>
        <w:t>；</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rPr>
        <w:t>智能化</w:t>
      </w:r>
      <w:r>
        <w:rPr>
          <w:rFonts w:hint="eastAsia" w:asciiTheme="minorEastAsia" w:hAnsiTheme="minorEastAsia" w:eastAsiaTheme="minorEastAsia"/>
          <w:b/>
          <w:sz w:val="24"/>
          <w:lang w:val="en-GB"/>
        </w:rPr>
        <w:t>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57"/>
        </w:numPr>
        <w:rPr>
          <w:rFonts w:asciiTheme="minorEastAsia" w:hAnsiTheme="minorEastAsia" w:eastAsiaTheme="minorEastAsia"/>
          <w:lang w:val="en-GB"/>
        </w:rPr>
      </w:pPr>
      <w:r>
        <w:rPr>
          <w:rFonts w:hint="eastAsia" w:asciiTheme="minorEastAsia" w:hAnsiTheme="minorEastAsia" w:eastAsiaTheme="minorEastAsia"/>
          <w:lang w:val="en-GB"/>
        </w:rPr>
        <w:t>建筑设备具有自动监控管理功能</w:t>
      </w:r>
      <w:r>
        <w:rPr>
          <w:rFonts w:hint="eastAsia" w:asciiTheme="minorEastAsia" w:hAnsiTheme="minorEastAsia" w:eastAsiaTheme="minorEastAsia"/>
        </w:rPr>
        <w:t>。</w:t>
      </w:r>
    </w:p>
    <w:p>
      <w:pPr>
        <w:pStyle w:val="90"/>
        <w:numPr>
          <w:ilvl w:val="0"/>
          <w:numId w:val="57"/>
        </w:numPr>
        <w:rPr>
          <w:rFonts w:asciiTheme="minorEastAsia" w:hAnsiTheme="minorEastAsia" w:eastAsiaTheme="minorEastAsia"/>
          <w:lang w:val="en-GB"/>
        </w:rPr>
      </w:pPr>
      <w:r>
        <w:rPr>
          <w:rFonts w:hint="eastAsia" w:asciiTheme="minorEastAsia" w:hAnsiTheme="minorEastAsia" w:eastAsiaTheme="minorEastAsia"/>
          <w:lang w:val="en-GB"/>
        </w:rPr>
        <w:t>设有合理的信息网络系统。</w:t>
      </w:r>
    </w:p>
    <w:p>
      <w:pPr>
        <w:pStyle w:val="90"/>
        <w:numPr>
          <w:ilvl w:val="0"/>
          <w:numId w:val="57"/>
        </w:numPr>
        <w:rPr>
          <w:rFonts w:asciiTheme="minorEastAsia" w:hAnsiTheme="minorEastAsia" w:eastAsiaTheme="minorEastAsia"/>
          <w:lang w:val="en-GB"/>
        </w:rPr>
      </w:pPr>
      <w:r>
        <w:rPr>
          <w:rFonts w:hint="eastAsia" w:asciiTheme="minorEastAsia" w:hAnsiTheme="minorEastAsia" w:eastAsiaTheme="minorEastAsia"/>
          <w:lang w:val="en-GB"/>
        </w:rPr>
        <w:t>针对用电分项计量系统，实施数据远程传输与记录，并向主管部门监测平台上传数据。</w:t>
      </w:r>
    </w:p>
    <w:p>
      <w:pPr>
        <w:pStyle w:val="90"/>
        <w:ind w:left="420"/>
        <w:rPr>
          <w:rFonts w:asciiTheme="minorEastAsia" w:hAnsiTheme="minorEastAsia" w:eastAsiaTheme="minorEastAsia"/>
          <w:lang w:val="en-GB"/>
        </w:rPr>
      </w:pPr>
    </w:p>
    <w:p>
      <w:pPr>
        <w:pBdr>
          <w:top w:val="single" w:color="auto" w:sz="4" w:space="1"/>
          <w:left w:val="single" w:color="auto" w:sz="4" w:space="4"/>
          <w:bottom w:val="single" w:color="auto" w:sz="4" w:space="1"/>
          <w:right w:val="single" w:color="auto" w:sz="4" w:space="4"/>
          <w:between w:val="single" w:color="auto" w:sz="4" w:space="1"/>
        </w:pBdr>
        <w:spacing w:line="360" w:lineRule="auto"/>
        <w:ind w:firstLine="482"/>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58"/>
        </w:numPr>
        <w:rPr>
          <w:rFonts w:asciiTheme="minorEastAsia" w:hAnsiTheme="minorEastAsia" w:eastAsiaTheme="minorEastAsia"/>
          <w:lang w:val="en-GB"/>
        </w:rPr>
      </w:pPr>
      <w:r>
        <w:rPr>
          <w:rFonts w:asciiTheme="minorEastAsia" w:hAnsiTheme="minorEastAsia" w:eastAsiaTheme="minorEastAsia"/>
          <w:lang w:val="en-GB"/>
        </w:rPr>
        <w:t>设置</w:t>
      </w:r>
      <w:r>
        <w:rPr>
          <w:rFonts w:hint="eastAsia" w:asciiTheme="minorEastAsia" w:hAnsiTheme="minorEastAsia" w:eastAsiaTheme="minorEastAsia"/>
          <w:lang w:val="en-GB"/>
        </w:rPr>
        <w:t>能耗监测系统，对</w:t>
      </w:r>
      <w:r>
        <w:rPr>
          <w:rFonts w:asciiTheme="minorEastAsia" w:hAnsiTheme="minorEastAsia" w:eastAsiaTheme="minorEastAsia"/>
          <w:lang w:val="en-GB"/>
        </w:rPr>
        <w:t>建筑分类用能</w:t>
      </w:r>
      <w:r>
        <w:rPr>
          <w:rFonts w:hint="eastAsia" w:asciiTheme="minorEastAsia" w:hAnsiTheme="minorEastAsia" w:eastAsiaTheme="minorEastAsia"/>
          <w:lang w:val="en-GB"/>
        </w:rPr>
        <w:t>（用水、用电、用气、用油、冷热量等）进行</w:t>
      </w:r>
      <w:r>
        <w:rPr>
          <w:rFonts w:asciiTheme="minorEastAsia" w:hAnsiTheme="minorEastAsia" w:eastAsiaTheme="minorEastAsia"/>
          <w:lang w:val="en-GB"/>
        </w:rPr>
        <w:t>计量</w:t>
      </w:r>
      <w:r>
        <w:rPr>
          <w:rFonts w:hint="eastAsia" w:asciiTheme="minorEastAsia" w:hAnsiTheme="minorEastAsia" w:eastAsiaTheme="minorEastAsia"/>
          <w:lang w:val="en-GB"/>
        </w:rPr>
        <w:t>并设置</w:t>
      </w:r>
      <w:r>
        <w:rPr>
          <w:rFonts w:asciiTheme="minorEastAsia" w:hAnsiTheme="minorEastAsia" w:eastAsiaTheme="minorEastAsia"/>
          <w:lang w:val="en-GB"/>
        </w:rPr>
        <w:t>数据采集装置</w:t>
      </w:r>
      <w:r>
        <w:rPr>
          <w:rFonts w:hint="eastAsia" w:asciiTheme="minorEastAsia" w:hAnsiTheme="minorEastAsia" w:eastAsiaTheme="minorEastAsia"/>
          <w:lang w:val="en-GB"/>
        </w:rPr>
        <w:t>：</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监测内容简述：</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设有</w:t>
      </w:r>
      <w:r>
        <w:rPr>
          <w:rFonts w:asciiTheme="minorEastAsia" w:hAnsiTheme="minorEastAsia" w:eastAsiaTheme="minorEastAsia"/>
          <w:lang w:val="en-GB"/>
        </w:rPr>
        <w:t>建筑设备</w:t>
      </w:r>
      <w:r>
        <w:rPr>
          <w:rFonts w:hint="eastAsia" w:asciiTheme="minorEastAsia" w:hAnsiTheme="minorEastAsia" w:eastAsiaTheme="minorEastAsia"/>
          <w:lang w:val="en-GB"/>
        </w:rPr>
        <w:t>监控</w:t>
      </w:r>
      <w:r>
        <w:rPr>
          <w:rFonts w:asciiTheme="minorEastAsia" w:hAnsiTheme="minorEastAsia" w:eastAsiaTheme="minorEastAsia"/>
          <w:lang w:val="en-GB"/>
        </w:rPr>
        <w:t>系统（</w:t>
      </w:r>
      <w:r>
        <w:rPr>
          <w:rFonts w:hint="eastAsia" w:asciiTheme="minorEastAsia" w:hAnsiTheme="minorEastAsia" w:eastAsiaTheme="minorEastAsia"/>
          <w:lang w:val="en-GB"/>
        </w:rPr>
        <w:t>BAS或建筑设备一体化监控系统</w:t>
      </w:r>
      <w:r>
        <w:rPr>
          <w:rFonts w:asciiTheme="minorEastAsia" w:hAnsiTheme="minorEastAsia" w:eastAsiaTheme="minorEastAsia"/>
          <w:lang w:val="en-GB"/>
        </w:rPr>
        <w:t>）</w:t>
      </w:r>
      <w:r>
        <w:rPr>
          <w:rFonts w:hint="eastAsia"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numPr>
          <w:ilvl w:val="0"/>
          <w:numId w:val="0"/>
        </w:numPr>
        <w:ind w:left="425"/>
        <w:rPr>
          <w:lang w:val="en-GB"/>
        </w:rPr>
      </w:pPr>
      <w:r>
        <w:rPr>
          <w:rFonts w:hint="eastAsia"/>
          <w:lang w:val="en-GB"/>
        </w:rPr>
        <w:t>监控内容简述：</w:t>
      </w:r>
      <w:r>
        <w:rPr>
          <w:rFonts w:hint="eastAsia" w:asciiTheme="minorEastAsia" w:hAnsiTheme="minorEastAsia" w:eastAsiaTheme="minorEastAsia"/>
          <w:u w:val="single"/>
          <w:lang w:val="en-GB"/>
        </w:rPr>
        <w:t xml:space="preserve">                    </w:t>
      </w:r>
      <w:r>
        <w:rPr>
          <w:rFonts w:hint="eastAsia"/>
          <w:lang w:val="en-GB"/>
        </w:rPr>
        <w:t>。</w:t>
      </w:r>
    </w:p>
    <w:p>
      <w:pPr>
        <w:pStyle w:val="87"/>
        <w:rPr>
          <w:rFonts w:asciiTheme="minorEastAsia" w:hAnsiTheme="minorEastAsia" w:eastAsiaTheme="minorEastAsia"/>
        </w:rPr>
      </w:pPr>
      <w:r>
        <w:rPr>
          <w:rFonts w:hint="eastAsia" w:asciiTheme="minorEastAsia" w:hAnsiTheme="minorEastAsia" w:eastAsiaTheme="minorEastAsia"/>
        </w:rPr>
        <w:t>根据需要设置合理的智能化服务系统</w:t>
      </w:r>
      <w:r>
        <w:rPr>
          <w:rFonts w:hint="eastAsia"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 xml:space="preserve">。 </w:t>
      </w:r>
    </w:p>
    <w:p>
      <w:pPr>
        <w:pStyle w:val="87"/>
        <w:numPr>
          <w:ilvl w:val="0"/>
          <w:numId w:val="0"/>
        </w:numPr>
        <w:ind w:left="425"/>
        <w:rPr>
          <w:rFonts w:asciiTheme="minorEastAsia" w:hAnsiTheme="minorEastAsia" w:eastAsiaTheme="minorEastAsia"/>
        </w:rPr>
      </w:pPr>
      <w:r>
        <w:rPr>
          <w:rFonts w:hint="eastAsia" w:asciiTheme="minorEastAsia" w:hAnsiTheme="minorEastAsia" w:eastAsiaTheme="minorEastAsia"/>
        </w:rPr>
        <w:t>智能化服务系统列举</w:t>
      </w:r>
      <w:r>
        <w:rPr>
          <w:rFonts w:hint="eastAsia" w:asciiTheme="minorEastAsia" w:hAnsiTheme="minorEastAsia" w:eastAsiaTheme="minorEastAsia"/>
          <w:lang w:val="en-GB"/>
        </w:rPr>
        <w:t>：</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 xml:space="preserve">智能化服务系统具有远程监控功能： </w:t>
      </w:r>
      <w:r>
        <w:rPr>
          <w:rFonts w:hint="eastAsia" w:asciiTheme="minorEastAsia" w:hAnsiTheme="minorEastAsia" w:eastAsiaTheme="minorEastAsia"/>
        </w:rPr>
        <w:t>□是；□否；</w:t>
      </w:r>
      <w:r>
        <w:rPr>
          <w:rFonts w:hint="eastAsia" w:asciiTheme="minorEastAsia" w:hAnsiTheme="minorEastAsia" w:eastAsiaTheme="minorEastAsia"/>
          <w:lang w:val="en-GB"/>
        </w:rPr>
        <w:t xml:space="preserve">具有接入智慧城市（城区、社区）的功能： </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asciiTheme="minorEastAsia" w:hAnsiTheme="minorEastAsia" w:eastAsiaTheme="minorEastAsia"/>
        </w:rPr>
        <w:t>建筑设备</w:t>
      </w:r>
      <w:r>
        <w:rPr>
          <w:rFonts w:hint="eastAsia" w:asciiTheme="minorEastAsia" w:hAnsiTheme="minorEastAsia" w:eastAsiaTheme="minorEastAsia"/>
        </w:rPr>
        <w:t>管理</w:t>
      </w:r>
      <w:r>
        <w:rPr>
          <w:rFonts w:asciiTheme="minorEastAsia" w:hAnsiTheme="minorEastAsia" w:eastAsiaTheme="minorEastAsia"/>
        </w:rPr>
        <w:t>系统</w:t>
      </w:r>
      <w:r>
        <w:rPr>
          <w:rFonts w:hint="eastAsia" w:asciiTheme="minorEastAsia" w:hAnsiTheme="minorEastAsia" w:eastAsiaTheme="minorEastAsia"/>
        </w:rPr>
        <w:t>采用大数据分析技术分析并优化设备的运行状态和运行能耗</w:t>
      </w:r>
      <w:r>
        <w:rPr>
          <w:rFonts w:hint="eastAsia" w:asciiTheme="minorEastAsia" w:hAnsiTheme="minorEastAsia" w:eastAsiaTheme="minorEastAsia"/>
          <w:lang w:val="en-GB"/>
        </w:rPr>
        <w:t>：</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rPr>
          <w:u w:val="single"/>
          <w:lang w:val="en-GB"/>
        </w:rPr>
      </w:pPr>
      <w:r>
        <w:rPr>
          <w:rFonts w:hint="eastAsia" w:asciiTheme="minorEastAsia" w:hAnsiTheme="minorEastAsia" w:eastAsiaTheme="minorEastAsia"/>
          <w:lang w:val="en-GB"/>
        </w:rPr>
        <w:t>其它需说明的有关绿色（节能）的设计：</w:t>
      </w:r>
      <w:r>
        <w:rPr>
          <w:rFonts w:asciiTheme="minorEastAsia" w:hAnsiTheme="minorEastAsia" w:eastAsiaTheme="minorEastAsia"/>
          <w:u w:val="single"/>
          <w:lang w:val="en-GB"/>
        </w:rPr>
        <w:t xml:space="preserve">                                 </w:t>
      </w:r>
      <w:r>
        <w:rPr>
          <w:rFonts w:hint="eastAsia" w:asciiTheme="minorEastAsia" w:hAnsiTheme="minorEastAsia" w:eastAsiaTheme="minorEastAsia"/>
          <w:u w:val="single"/>
          <w:lang w:val="en-GB"/>
        </w:rPr>
        <w:t>。</w:t>
      </w:r>
    </w:p>
    <w:p>
      <w:pPr>
        <w:snapToGrid w:val="0"/>
        <w:spacing w:line="360" w:lineRule="auto"/>
        <w:jc w:val="left"/>
        <w:rPr>
          <w:rFonts w:ascii="Times New Roman" w:cs="宋体"/>
          <w:color w:val="000000"/>
          <w:kern w:val="0"/>
          <w:sz w:val="24"/>
          <w:lang w:val="en-GB"/>
        </w:rPr>
        <w:sectPr>
          <w:headerReference r:id="rId16" w:type="default"/>
          <w:pgSz w:w="23811" w:h="16838" w:orient="landscape"/>
          <w:pgMar w:top="1440" w:right="1800" w:bottom="1440" w:left="1800" w:header="851" w:footer="992" w:gutter="0"/>
          <w:cols w:space="630" w:num="2"/>
          <w:docGrid w:type="lines" w:linePitch="312" w:charSpace="0"/>
        </w:sectPr>
      </w:pPr>
    </w:p>
    <w:p>
      <w:pPr>
        <w:pStyle w:val="2"/>
        <w:rPr>
          <w:sz w:val="52"/>
          <w:szCs w:val="52"/>
        </w:rPr>
      </w:pPr>
      <w:bookmarkStart w:id="24" w:name="_Toc113028981"/>
      <w:bookmarkStart w:id="25" w:name="_Toc109325934"/>
      <w:r>
        <w:rPr>
          <w:rFonts w:hint="eastAsia"/>
          <w:sz w:val="44"/>
        </w:rPr>
        <w:t>第二部分：绿色建筑预评价自评表</w:t>
      </w:r>
      <w:bookmarkEnd w:id="24"/>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ind w:firstLine="420"/>
        <w:sectPr>
          <w:headerReference r:id="rId17" w:type="default"/>
          <w:pgSz w:w="11906" w:h="16838"/>
          <w:pgMar w:top="1440" w:right="1800" w:bottom="1440" w:left="1800" w:header="851" w:footer="992" w:gutter="0"/>
          <w:cols w:space="425" w:num="1"/>
          <w:docGrid w:type="lines" w:linePitch="312" w:charSpace="0"/>
        </w:sectPr>
      </w:pPr>
    </w:p>
    <w:p>
      <w:pPr>
        <w:overflowPunct w:val="0"/>
        <w:ind w:firstLine="562"/>
        <w:jc w:val="center"/>
        <w:outlineLvl w:val="2"/>
        <w:rPr>
          <w:rFonts w:hAnsi="宋体" w:cs="宋体"/>
          <w:b/>
          <w:bCs/>
          <w:sz w:val="28"/>
          <w:szCs w:val="28"/>
        </w:rPr>
      </w:pPr>
      <w:bookmarkStart w:id="26" w:name="_Toc113028982"/>
      <w:bookmarkStart w:id="27" w:name="_Toc109325941"/>
      <w:r>
        <w:rPr>
          <w:rFonts w:hAnsi="宋体" w:cs="宋体"/>
          <w:b/>
          <w:bCs/>
          <w:sz w:val="28"/>
          <w:szCs w:val="28"/>
        </w:rPr>
        <w:t>绿色建筑</w:t>
      </w:r>
      <w:r>
        <w:rPr>
          <w:rFonts w:hint="eastAsia" w:hAnsi="宋体" w:cs="宋体"/>
          <w:b/>
          <w:bCs/>
          <w:sz w:val="28"/>
          <w:szCs w:val="28"/>
        </w:rPr>
        <w:t>预评价</w:t>
      </w:r>
      <w:r>
        <w:rPr>
          <w:rFonts w:hAnsi="宋体" w:cs="宋体"/>
          <w:b/>
          <w:bCs/>
          <w:sz w:val="28"/>
          <w:szCs w:val="28"/>
        </w:rPr>
        <w:t>自评表1 - 汇总表</w:t>
      </w:r>
      <w:bookmarkEnd w:id="26"/>
      <w:bookmarkEnd w:id="27"/>
    </w:p>
    <w:tbl>
      <w:tblPr>
        <w:tblStyle w:val="44"/>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341"/>
        <w:gridCol w:w="142"/>
        <w:gridCol w:w="850"/>
        <w:gridCol w:w="851"/>
        <w:gridCol w:w="141"/>
        <w:gridCol w:w="993"/>
        <w:gridCol w:w="992"/>
        <w:gridCol w:w="992"/>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938" w:type="dxa"/>
            <w:gridSpan w:val="10"/>
            <w:shd w:val="clear" w:color="auto" w:fill="auto"/>
            <w:vAlign w:val="center"/>
          </w:tcPr>
          <w:p>
            <w:pPr>
              <w:widowControl/>
              <w:jc w:val="center"/>
              <w:rPr>
                <w:rFonts w:hAnsi="宋体" w:cs="宋体"/>
                <w:b/>
                <w:szCs w:val="21"/>
              </w:rPr>
            </w:pPr>
            <w:r>
              <w:rPr>
                <w:rFonts w:hint="eastAsia" w:hAnsi="宋体" w:cs="宋体"/>
                <w:b/>
                <w:szCs w:val="21"/>
              </w:rPr>
              <w:t>星级等级评价</w:t>
            </w:r>
            <w:r>
              <w:rPr>
                <w:rFonts w:hAnsi="宋体" w:cs="宋体"/>
                <w:b/>
                <w:szCs w:val="21"/>
              </w:rPr>
              <w:t>要求</w:t>
            </w:r>
          </w:p>
        </w:tc>
        <w:tc>
          <w:tcPr>
            <w:tcW w:w="1134" w:type="dxa"/>
            <w:shd w:val="clear" w:color="auto" w:fill="auto"/>
            <w:vAlign w:val="center"/>
          </w:tcPr>
          <w:p>
            <w:pPr>
              <w:widowControl/>
              <w:jc w:val="center"/>
              <w:rPr>
                <w:rFonts w:hAnsi="宋体" w:cs="宋体"/>
                <w:b/>
                <w:szCs w:val="21"/>
              </w:rPr>
            </w:pPr>
            <w:r>
              <w:rPr>
                <w:rFonts w:hAnsi="宋体" w:cs="宋体"/>
                <w:b/>
                <w:szCs w:val="21"/>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938" w:type="dxa"/>
            <w:gridSpan w:val="10"/>
            <w:shd w:val="clear" w:color="auto" w:fill="auto"/>
            <w:vAlign w:val="center"/>
          </w:tcPr>
          <w:p>
            <w:pPr>
              <w:pStyle w:val="273"/>
              <w:widowControl/>
              <w:numPr>
                <w:ilvl w:val="0"/>
                <w:numId w:val="59"/>
              </w:numPr>
              <w:ind w:firstLine="0" w:firstLineChars="0"/>
              <w:rPr>
                <w:rFonts w:ascii="宋体" w:hAnsi="宋体" w:cs="宋体"/>
                <w:szCs w:val="21"/>
              </w:rPr>
            </w:pPr>
            <w:r>
              <w:rPr>
                <w:rFonts w:ascii="宋体" w:hAnsi="宋体" w:cs="宋体"/>
                <w:szCs w:val="21"/>
              </w:rPr>
              <w:t>绿色建筑均应满足</w:t>
            </w:r>
            <w:r>
              <w:rPr>
                <w:rFonts w:hint="eastAsia" w:ascii="宋体" w:hAnsi="宋体" w:cs="宋体"/>
                <w:szCs w:val="21"/>
              </w:rPr>
              <w:t>《绿色建筑评价标准》GB/T 50378-2019</w:t>
            </w:r>
            <w:r>
              <w:rPr>
                <w:rFonts w:ascii="宋体" w:hAnsi="宋体" w:cs="宋体"/>
                <w:szCs w:val="21"/>
              </w:rPr>
              <w:t>全部控制项的要求，且每类指标的评分项得分不应小于其评分项满分值的30%。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938" w:type="dxa"/>
            <w:gridSpan w:val="10"/>
            <w:shd w:val="clear" w:color="auto" w:fill="auto"/>
            <w:noWrap/>
            <w:vAlign w:val="center"/>
          </w:tcPr>
          <w:p>
            <w:pPr>
              <w:pStyle w:val="273"/>
              <w:widowControl/>
              <w:numPr>
                <w:ilvl w:val="0"/>
                <w:numId w:val="59"/>
              </w:numPr>
              <w:ind w:firstLine="0" w:firstLineChars="0"/>
              <w:rPr>
                <w:rFonts w:ascii="宋体" w:hAnsi="宋体" w:cs="宋体"/>
                <w:szCs w:val="21"/>
              </w:rPr>
            </w:pPr>
            <w:r>
              <w:rPr>
                <w:rFonts w:ascii="宋体" w:hAnsi="宋体" w:cs="宋体"/>
                <w:szCs w:val="21"/>
              </w:rPr>
              <w:t>绿色建筑应进行全装修。</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938" w:type="dxa"/>
            <w:gridSpan w:val="10"/>
            <w:shd w:val="clear" w:color="auto" w:fill="auto"/>
            <w:noWrap/>
            <w:vAlign w:val="center"/>
          </w:tcPr>
          <w:p>
            <w:pPr>
              <w:pStyle w:val="273"/>
              <w:widowControl/>
              <w:numPr>
                <w:ilvl w:val="0"/>
                <w:numId w:val="59"/>
              </w:numPr>
              <w:ind w:firstLine="0" w:firstLineChars="0"/>
              <w:rPr>
                <w:rFonts w:ascii="宋体" w:hAnsi="宋体" w:cs="宋体"/>
                <w:szCs w:val="21"/>
              </w:rPr>
            </w:pPr>
            <w:r>
              <w:rPr>
                <w:rFonts w:ascii="宋体" w:hAnsi="宋体" w:cs="宋体"/>
                <w:szCs w:val="21"/>
              </w:rPr>
              <w:t>技术要求（注：以下各项对应星级均满足</w:t>
            </w:r>
            <w:r>
              <w:rPr>
                <w:rFonts w:hint="eastAsia" w:ascii="宋体" w:hAnsi="宋体" w:cs="宋体"/>
                <w:szCs w:val="21"/>
              </w:rPr>
              <w:t>时</w:t>
            </w:r>
            <w:r>
              <w:rPr>
                <w:rFonts w:ascii="宋体" w:hAnsi="宋体" w:cs="宋体"/>
                <w:szCs w:val="21"/>
              </w:rPr>
              <w:t>，则判定达标）</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44" w:type="dxa"/>
            <w:vMerge w:val="restart"/>
            <w:shd w:val="clear" w:color="auto" w:fill="auto"/>
            <w:vAlign w:val="center"/>
          </w:tcPr>
          <w:p>
            <w:pPr>
              <w:jc w:val="center"/>
              <w:rPr>
                <w:rFonts w:hAnsi="宋体" w:cs="宋体"/>
                <w:szCs w:val="21"/>
              </w:rPr>
            </w:pPr>
            <w:r>
              <w:rPr>
                <w:rFonts w:hAnsi="宋体" w:cs="宋体"/>
                <w:szCs w:val="21"/>
              </w:rPr>
              <w:t>技术要求内容</w:t>
            </w:r>
          </w:p>
        </w:tc>
        <w:tc>
          <w:tcPr>
            <w:tcW w:w="1483" w:type="dxa"/>
            <w:gridSpan w:val="2"/>
            <w:vMerge w:val="restart"/>
            <w:shd w:val="clear" w:color="auto" w:fill="auto"/>
            <w:vAlign w:val="center"/>
          </w:tcPr>
          <w:p>
            <w:pPr>
              <w:widowControl/>
              <w:rPr>
                <w:rFonts w:hAnsi="宋体" w:cs="宋体"/>
                <w:szCs w:val="21"/>
              </w:rPr>
            </w:pPr>
            <w:r>
              <w:rPr>
                <w:rFonts w:hAnsi="宋体" w:cs="宋体"/>
                <w:szCs w:val="21"/>
              </w:rPr>
              <w:t>围护结构热工性能提高比例，或建筑供暖空调负荷降低比例</w:t>
            </w:r>
          </w:p>
        </w:tc>
        <w:tc>
          <w:tcPr>
            <w:tcW w:w="1701" w:type="dxa"/>
            <w:gridSpan w:val="2"/>
            <w:shd w:val="clear" w:color="auto" w:fill="auto"/>
            <w:vAlign w:val="center"/>
          </w:tcPr>
          <w:p>
            <w:pPr>
              <w:widowControl/>
              <w:jc w:val="center"/>
              <w:rPr>
                <w:rFonts w:hAnsi="宋体" w:cs="宋体"/>
                <w:szCs w:val="21"/>
              </w:rPr>
            </w:pPr>
            <w:r>
              <w:rPr>
                <w:rFonts w:hAnsi="宋体" w:cs="宋体"/>
                <w:szCs w:val="21"/>
              </w:rPr>
              <w:t>一星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围护结构提高5%，或负荷降低5%</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vAlign w:val="center"/>
          </w:tcPr>
          <w:p>
            <w:pPr>
              <w:widowControl/>
              <w:jc w:val="center"/>
              <w:rPr>
                <w:rFonts w:hAnsi="宋体" w:cs="宋体"/>
                <w:szCs w:val="21"/>
              </w:rPr>
            </w:pPr>
            <w:r>
              <w:rPr>
                <w:rFonts w:hAnsi="宋体" w:cs="宋体"/>
                <w:szCs w:val="21"/>
              </w:rPr>
              <w:t>二星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围护结构提高10%，或负荷降低10%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vAlign w:val="center"/>
          </w:tcPr>
          <w:p>
            <w:pPr>
              <w:widowControl/>
              <w:jc w:val="center"/>
              <w:rPr>
                <w:rFonts w:hAnsi="宋体" w:cs="宋体"/>
                <w:szCs w:val="21"/>
              </w:rPr>
            </w:pP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围护结构提高20%，或负荷降低15%</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restart"/>
            <w:shd w:val="clear" w:color="auto" w:fill="auto"/>
            <w:vAlign w:val="center"/>
          </w:tcPr>
          <w:p>
            <w:pPr>
              <w:rPr>
                <w:rFonts w:hAnsi="宋体" w:cs="宋体"/>
                <w:szCs w:val="21"/>
              </w:rPr>
            </w:pPr>
            <w:r>
              <w:rPr>
                <w:rFonts w:hAnsi="宋体" w:cs="宋体"/>
                <w:szCs w:val="21"/>
              </w:rPr>
              <w:t>节水器具</w:t>
            </w:r>
          </w:p>
          <w:p>
            <w:pPr>
              <w:rPr>
                <w:rFonts w:hAnsi="宋体" w:cs="宋体"/>
                <w:szCs w:val="21"/>
              </w:rPr>
            </w:pPr>
            <w:r>
              <w:rPr>
                <w:rFonts w:hAnsi="宋体" w:cs="宋体"/>
                <w:szCs w:val="21"/>
              </w:rPr>
              <w:t>用水效率等级</w:t>
            </w: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一星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3级</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二星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2级</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50%以上1级，其它不低于2级</w:t>
            </w:r>
          </w:p>
        </w:tc>
        <w:tc>
          <w:tcPr>
            <w:tcW w:w="1134" w:type="dxa"/>
            <w:shd w:val="clear" w:color="auto" w:fill="auto"/>
            <w:vAlign w:val="center"/>
          </w:tcPr>
          <w:p>
            <w:pPr>
              <w:widowControl/>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restart"/>
            <w:shd w:val="clear" w:color="auto" w:fill="auto"/>
            <w:vAlign w:val="center"/>
          </w:tcPr>
          <w:p>
            <w:pPr>
              <w:rPr>
                <w:rFonts w:hAnsi="宋体" w:cs="宋体"/>
                <w:szCs w:val="21"/>
              </w:rPr>
            </w:pPr>
            <w:r>
              <w:rPr>
                <w:rFonts w:hAnsi="宋体" w:cs="宋体"/>
                <w:szCs w:val="21"/>
              </w:rPr>
              <w:t>住宅建筑</w:t>
            </w:r>
          </w:p>
          <w:p>
            <w:pPr>
              <w:rPr>
                <w:rFonts w:hAnsi="宋体" w:cs="宋体"/>
                <w:szCs w:val="21"/>
              </w:rPr>
            </w:pPr>
            <w:r>
              <w:rPr>
                <w:rFonts w:hAnsi="宋体" w:cs="宋体"/>
                <w:szCs w:val="21"/>
              </w:rPr>
              <w:t>隔声性能</w:t>
            </w: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二星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室外与卧室之间、分户墙（楼板）两侧卧室之间的空气声隔声性能以及卧室楼板的撞击声隔声性能达到低限标准限值和高要求标准限值的平均值</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室外与卧室之间、分户墙（楼板）两侧卧室之间的空气声隔声性能以及卧室楼板的撞击声隔声性能达到高要求标准限值</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644" w:type="dxa"/>
            <w:vMerge w:val="continue"/>
            <w:shd w:val="clear" w:color="auto" w:fill="auto"/>
            <w:vAlign w:val="center"/>
          </w:tcPr>
          <w:p>
            <w:pPr>
              <w:widowControl/>
              <w:jc w:val="center"/>
              <w:rPr>
                <w:rFonts w:hAnsi="宋体" w:cs="宋体"/>
                <w:szCs w:val="21"/>
              </w:rPr>
            </w:pPr>
          </w:p>
        </w:tc>
        <w:tc>
          <w:tcPr>
            <w:tcW w:w="1483" w:type="dxa"/>
            <w:gridSpan w:val="2"/>
            <w:vMerge w:val="restart"/>
            <w:shd w:val="clear" w:color="auto" w:fill="auto"/>
            <w:vAlign w:val="center"/>
          </w:tcPr>
          <w:p>
            <w:pPr>
              <w:widowControl/>
              <w:rPr>
                <w:rFonts w:hAnsi="宋体" w:cs="宋体"/>
                <w:szCs w:val="21"/>
              </w:rPr>
            </w:pPr>
            <w:r>
              <w:rPr>
                <w:rFonts w:hAnsi="宋体" w:cs="宋体"/>
                <w:szCs w:val="21"/>
              </w:rPr>
              <w:t>室内主要空气污染物浓度降低比例</w:t>
            </w: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一星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10%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644" w:type="dxa"/>
            <w:vMerge w:val="continue"/>
            <w:shd w:val="clear" w:color="auto" w:fill="auto"/>
            <w:vAlign w:val="center"/>
          </w:tcPr>
          <w:p>
            <w:pPr>
              <w:widowControl/>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二星</w:t>
            </w:r>
            <w:r>
              <w:rPr>
                <w:rFonts w:hint="eastAsia" w:hAnsi="宋体" w:cs="宋体"/>
                <w:szCs w:val="21"/>
              </w:rPr>
              <w:t>级</w:t>
            </w: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20%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4" w:type="dxa"/>
            <w:vMerge w:val="continue"/>
            <w:shd w:val="clear" w:color="auto" w:fill="auto"/>
            <w:vAlign w:val="center"/>
          </w:tcPr>
          <w:p>
            <w:pPr>
              <w:widowControl/>
              <w:jc w:val="center"/>
              <w:rPr>
                <w:rFonts w:hAnsi="宋体" w:cs="宋体"/>
                <w:szCs w:val="21"/>
              </w:rPr>
            </w:pPr>
          </w:p>
        </w:tc>
        <w:tc>
          <w:tcPr>
            <w:tcW w:w="1483" w:type="dxa"/>
            <w:gridSpan w:val="2"/>
            <w:shd w:val="clear" w:color="auto" w:fill="auto"/>
            <w:vAlign w:val="center"/>
          </w:tcPr>
          <w:p>
            <w:pPr>
              <w:rPr>
                <w:rFonts w:hAnsi="宋体" w:cs="宋体"/>
                <w:szCs w:val="21"/>
              </w:rPr>
            </w:pPr>
            <w:r>
              <w:rPr>
                <w:rFonts w:hAnsi="宋体" w:cs="宋体"/>
                <w:szCs w:val="21"/>
              </w:rPr>
              <w:t>外窗气密性能</w:t>
            </w:r>
          </w:p>
        </w:tc>
        <w:tc>
          <w:tcPr>
            <w:tcW w:w="5811" w:type="dxa"/>
            <w:gridSpan w:val="7"/>
            <w:shd w:val="clear" w:color="auto" w:fill="auto"/>
            <w:noWrap/>
            <w:vAlign w:val="center"/>
          </w:tcPr>
          <w:p>
            <w:pPr>
              <w:widowControl/>
              <w:jc w:val="center"/>
              <w:rPr>
                <w:rFonts w:hAnsi="宋体" w:cs="宋体"/>
                <w:szCs w:val="21"/>
              </w:rPr>
            </w:pPr>
            <w:r>
              <w:rPr>
                <w:rFonts w:hAnsi="宋体" w:cs="宋体"/>
                <w:szCs w:val="21"/>
              </w:rPr>
              <w:t>符合国家现行相关节能设计标准的规定，且外窗洞口与外窗本体的结合部位应严密</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9072" w:type="dxa"/>
            <w:gridSpan w:val="11"/>
            <w:shd w:val="clear" w:color="auto" w:fill="auto"/>
            <w:vAlign w:val="center"/>
          </w:tcPr>
          <w:p>
            <w:pPr>
              <w:pStyle w:val="273"/>
              <w:widowControl/>
              <w:numPr>
                <w:ilvl w:val="0"/>
                <w:numId w:val="59"/>
              </w:numPr>
              <w:ind w:firstLine="0" w:firstLineChars="0"/>
              <w:rPr>
                <w:rFonts w:ascii="宋体" w:hAnsi="宋体" w:cs="宋体"/>
                <w:szCs w:val="21"/>
              </w:rPr>
            </w:pPr>
            <w:r>
              <w:rPr>
                <w:rFonts w:ascii="宋体" w:hAnsi="宋体" w:cs="宋体"/>
                <w:szCs w:val="21"/>
              </w:rPr>
              <w:t>得分情况</w:t>
            </w:r>
            <w:r>
              <w:rPr>
                <w:rFonts w:hint="eastAsia" w:ascii="宋体" w:hAnsi="宋体" w:cs="宋体"/>
                <w:szCs w:val="21"/>
              </w:rPr>
              <w:t>（</w:t>
            </w:r>
            <w:r>
              <w:rPr>
                <w:rFonts w:ascii="宋体" w:hAnsi="宋体" w:cs="宋体"/>
                <w:szCs w:val="21"/>
              </w:rPr>
              <w:t>注</w:t>
            </w:r>
            <w:r>
              <w:rPr>
                <w:rFonts w:hint="eastAsia" w:ascii="宋体" w:hAnsi="宋体" w:cs="宋体"/>
                <w:szCs w:val="21"/>
              </w:rPr>
              <w:t>：</w:t>
            </w:r>
            <w:r>
              <w:rPr>
                <w:rFonts w:ascii="宋体" w:hAnsi="宋体" w:cs="宋体"/>
                <w:szCs w:val="21"/>
              </w:rPr>
              <w:t xml:space="preserve">总得分 </w:t>
            </w:r>
            <w:r>
              <w:rPr>
                <w:rFonts w:ascii="宋体" w:hAnsi="宋体"/>
                <w:szCs w:val="21"/>
              </w:rPr>
              <w:t>Q =（Q</w:t>
            </w:r>
            <w:r>
              <w:rPr>
                <w:rFonts w:ascii="宋体" w:hAnsi="宋体"/>
                <w:szCs w:val="21"/>
                <w:vertAlign w:val="subscript"/>
              </w:rPr>
              <w:t xml:space="preserve">0 </w:t>
            </w:r>
            <w:r>
              <w:rPr>
                <w:rFonts w:ascii="宋体" w:hAnsi="宋体"/>
                <w:szCs w:val="21"/>
              </w:rPr>
              <w:t>+ Q</w:t>
            </w:r>
            <w:r>
              <w:rPr>
                <w:rFonts w:ascii="宋体" w:hAnsi="宋体"/>
                <w:szCs w:val="21"/>
                <w:vertAlign w:val="subscript"/>
              </w:rPr>
              <w:t xml:space="preserve">1 </w:t>
            </w:r>
            <w:r>
              <w:rPr>
                <w:rFonts w:ascii="宋体" w:hAnsi="宋体"/>
                <w:szCs w:val="21"/>
              </w:rPr>
              <w:t>+ Q</w:t>
            </w:r>
            <w:r>
              <w:rPr>
                <w:rFonts w:ascii="宋体" w:hAnsi="宋体"/>
                <w:szCs w:val="21"/>
                <w:vertAlign w:val="subscript"/>
              </w:rPr>
              <w:t xml:space="preserve">2 </w:t>
            </w:r>
            <w:r>
              <w:rPr>
                <w:rFonts w:ascii="宋体" w:hAnsi="宋体"/>
                <w:szCs w:val="21"/>
              </w:rPr>
              <w:t>+ Q</w:t>
            </w:r>
            <w:r>
              <w:rPr>
                <w:rFonts w:ascii="宋体" w:hAnsi="宋体"/>
                <w:szCs w:val="21"/>
                <w:vertAlign w:val="subscript"/>
              </w:rPr>
              <w:t xml:space="preserve">3 </w:t>
            </w:r>
            <w:r>
              <w:rPr>
                <w:rFonts w:ascii="宋体" w:hAnsi="宋体"/>
                <w:szCs w:val="21"/>
              </w:rPr>
              <w:t>+ Q</w:t>
            </w:r>
            <w:r>
              <w:rPr>
                <w:rFonts w:ascii="宋体" w:hAnsi="宋体"/>
                <w:szCs w:val="21"/>
                <w:vertAlign w:val="subscript"/>
              </w:rPr>
              <w:t xml:space="preserve">4 </w:t>
            </w:r>
            <w:r>
              <w:rPr>
                <w:rFonts w:ascii="宋体" w:hAnsi="宋体"/>
                <w:szCs w:val="21"/>
              </w:rPr>
              <w:t>+ Q</w:t>
            </w:r>
            <w:r>
              <w:rPr>
                <w:rFonts w:ascii="宋体" w:hAnsi="宋体"/>
                <w:szCs w:val="21"/>
                <w:vertAlign w:val="subscript"/>
              </w:rPr>
              <w:t xml:space="preserve">5 </w:t>
            </w:r>
            <w:r>
              <w:rPr>
                <w:rFonts w:ascii="宋体" w:hAnsi="宋体"/>
                <w:szCs w:val="21"/>
              </w:rPr>
              <w:t>+ Q</w:t>
            </w:r>
            <w:r>
              <w:rPr>
                <w:rFonts w:ascii="宋体" w:hAnsi="宋体"/>
                <w:szCs w:val="21"/>
                <w:vertAlign w:val="subscript"/>
              </w:rPr>
              <w:t>A</w:t>
            </w:r>
            <w:r>
              <w:rPr>
                <w:rFonts w:ascii="宋体" w:hAnsi="宋体"/>
                <w:szCs w:val="21"/>
              </w:rPr>
              <w:t>）/10</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44" w:type="dxa"/>
            <w:vMerge w:val="restart"/>
            <w:shd w:val="clear" w:color="auto" w:fill="auto"/>
            <w:vAlign w:val="center"/>
          </w:tcPr>
          <w:p>
            <w:pPr>
              <w:widowControl/>
              <w:rPr>
                <w:rFonts w:hAnsi="宋体" w:cs="宋体"/>
                <w:szCs w:val="21"/>
              </w:rPr>
            </w:pPr>
            <w:r>
              <w:rPr>
                <w:rFonts w:hAnsi="宋体" w:cs="宋体"/>
                <w:szCs w:val="21"/>
              </w:rPr>
              <w:t>各分项得分</w:t>
            </w:r>
          </w:p>
        </w:tc>
        <w:tc>
          <w:tcPr>
            <w:tcW w:w="1341" w:type="dxa"/>
            <w:vMerge w:val="restart"/>
            <w:shd w:val="clear" w:color="auto" w:fill="auto"/>
            <w:vAlign w:val="center"/>
          </w:tcPr>
          <w:p>
            <w:pPr>
              <w:widowControl/>
              <w:rPr>
                <w:rFonts w:hAnsi="宋体" w:cs="宋体"/>
                <w:b/>
                <w:szCs w:val="21"/>
              </w:rPr>
            </w:pPr>
          </w:p>
        </w:tc>
        <w:tc>
          <w:tcPr>
            <w:tcW w:w="992" w:type="dxa"/>
            <w:gridSpan w:val="2"/>
            <w:vMerge w:val="restart"/>
            <w:shd w:val="clear" w:color="auto" w:fill="auto"/>
            <w:vAlign w:val="center"/>
          </w:tcPr>
          <w:p>
            <w:pPr>
              <w:widowControl/>
              <w:ind w:left="-65" w:leftChars="-31" w:right="-31" w:rightChars="-15"/>
              <w:jc w:val="center"/>
              <w:rPr>
                <w:rFonts w:hAnsi="宋体" w:cs="宋体"/>
                <w:szCs w:val="21"/>
              </w:rPr>
            </w:pPr>
            <w:r>
              <w:rPr>
                <w:rFonts w:hAnsi="宋体" w:cs="宋体"/>
                <w:szCs w:val="21"/>
              </w:rPr>
              <w:t>控制项</w:t>
            </w:r>
          </w:p>
          <w:p>
            <w:pPr>
              <w:widowControl/>
              <w:ind w:left="-65" w:leftChars="-31" w:right="-31" w:rightChars="-15"/>
              <w:jc w:val="center"/>
              <w:rPr>
                <w:rFonts w:hAnsi="宋体" w:cs="宋体"/>
                <w:szCs w:val="21"/>
              </w:rPr>
            </w:pPr>
            <w:r>
              <w:rPr>
                <w:rFonts w:hAnsi="宋体" w:cs="宋体"/>
                <w:szCs w:val="21"/>
              </w:rPr>
              <w:t>基础分值</w:t>
            </w:r>
          </w:p>
          <w:p>
            <w:pPr>
              <w:widowControl/>
              <w:ind w:left="-65" w:leftChars="-31" w:right="-31" w:rightChars="-15"/>
              <w:jc w:val="center"/>
              <w:rPr>
                <w:rFonts w:hAnsi="宋体" w:cs="宋体"/>
                <w:szCs w:val="21"/>
              </w:rPr>
            </w:pPr>
            <w:r>
              <w:rPr>
                <w:rFonts w:hAnsi="宋体" w:cs="宋体"/>
                <w:szCs w:val="21"/>
              </w:rPr>
              <w:t>Q</w:t>
            </w:r>
            <w:r>
              <w:rPr>
                <w:rFonts w:hAnsi="宋体" w:cs="宋体"/>
                <w:szCs w:val="21"/>
                <w:vertAlign w:val="subscript"/>
              </w:rPr>
              <w:t>0</w:t>
            </w:r>
          </w:p>
        </w:tc>
        <w:tc>
          <w:tcPr>
            <w:tcW w:w="4961" w:type="dxa"/>
            <w:gridSpan w:val="6"/>
            <w:shd w:val="clear" w:color="auto" w:fill="auto"/>
            <w:vAlign w:val="center"/>
          </w:tcPr>
          <w:p>
            <w:pPr>
              <w:widowControl/>
              <w:jc w:val="center"/>
              <w:rPr>
                <w:rFonts w:hAnsi="宋体" w:cs="宋体"/>
                <w:szCs w:val="21"/>
              </w:rPr>
            </w:pPr>
            <w:r>
              <w:rPr>
                <w:rFonts w:hAnsi="宋体" w:cs="宋体"/>
                <w:szCs w:val="21"/>
              </w:rPr>
              <w:t>评价指标体系评分项</w:t>
            </w:r>
          </w:p>
        </w:tc>
        <w:tc>
          <w:tcPr>
            <w:tcW w:w="1134" w:type="dxa"/>
            <w:vMerge w:val="restart"/>
            <w:shd w:val="clear" w:color="auto" w:fill="auto"/>
            <w:vAlign w:val="center"/>
          </w:tcPr>
          <w:p>
            <w:pPr>
              <w:widowControl/>
              <w:ind w:left="-53" w:leftChars="-25" w:right="-48" w:rightChars="-23"/>
              <w:jc w:val="center"/>
              <w:rPr>
                <w:rFonts w:hAnsi="宋体" w:cs="宋体"/>
                <w:szCs w:val="21"/>
              </w:rPr>
            </w:pPr>
            <w:r>
              <w:rPr>
                <w:rFonts w:hAnsi="宋体" w:cs="宋体"/>
                <w:szCs w:val="21"/>
              </w:rPr>
              <w:t>提高与</w:t>
            </w:r>
          </w:p>
          <w:p>
            <w:pPr>
              <w:widowControl/>
              <w:ind w:left="-53" w:leftChars="-25" w:right="-48" w:rightChars="-23"/>
              <w:jc w:val="center"/>
              <w:rPr>
                <w:rFonts w:hAnsi="宋体" w:cs="宋体"/>
                <w:szCs w:val="21"/>
              </w:rPr>
            </w:pPr>
            <w:r>
              <w:rPr>
                <w:rFonts w:hAnsi="宋体" w:cs="宋体"/>
                <w:szCs w:val="21"/>
              </w:rPr>
              <w:t>创新项</w:t>
            </w:r>
          </w:p>
          <w:p>
            <w:pPr>
              <w:widowControl/>
              <w:ind w:left="-53" w:leftChars="-25" w:right="-48" w:rightChars="-23"/>
              <w:jc w:val="center"/>
              <w:rPr>
                <w:rFonts w:hAnsi="宋体" w:cs="宋体"/>
                <w:szCs w:val="21"/>
              </w:rPr>
            </w:pPr>
            <w:r>
              <w:rPr>
                <w:rFonts w:hAnsi="宋体" w:cs="宋体"/>
                <w:szCs w:val="21"/>
              </w:rPr>
              <w:t>加分值</w:t>
            </w:r>
          </w:p>
          <w:p>
            <w:pPr>
              <w:widowControl/>
              <w:ind w:left="-53" w:leftChars="-25" w:right="-48" w:rightChars="-23"/>
              <w:jc w:val="center"/>
              <w:rPr>
                <w:rFonts w:hAnsi="宋体" w:cs="宋体"/>
                <w:szCs w:val="21"/>
              </w:rPr>
            </w:pPr>
            <w:r>
              <w:rPr>
                <w:rFonts w:hAnsi="宋体" w:cs="宋体"/>
                <w:szCs w:val="21"/>
              </w:rPr>
              <w:t>Q</w:t>
            </w:r>
            <w:r>
              <w:rPr>
                <w:rFonts w:hAnsi="宋体" w:cs="宋体"/>
                <w:szCs w:val="21"/>
                <w:vertAlign w:val="sub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644" w:type="dxa"/>
            <w:vMerge w:val="continue"/>
            <w:shd w:val="clear" w:color="auto" w:fill="auto"/>
            <w:vAlign w:val="center"/>
          </w:tcPr>
          <w:p>
            <w:pPr>
              <w:widowControl/>
              <w:rPr>
                <w:rFonts w:hAnsi="宋体" w:cs="宋体"/>
                <w:szCs w:val="21"/>
              </w:rPr>
            </w:pPr>
          </w:p>
        </w:tc>
        <w:tc>
          <w:tcPr>
            <w:tcW w:w="1341" w:type="dxa"/>
            <w:vMerge w:val="continue"/>
            <w:shd w:val="clear" w:color="auto" w:fill="auto"/>
            <w:vAlign w:val="center"/>
          </w:tcPr>
          <w:p>
            <w:pPr>
              <w:widowControl/>
              <w:rPr>
                <w:rFonts w:hAnsi="宋体" w:cs="宋体"/>
                <w:szCs w:val="21"/>
              </w:rPr>
            </w:pPr>
          </w:p>
        </w:tc>
        <w:tc>
          <w:tcPr>
            <w:tcW w:w="992" w:type="dxa"/>
            <w:gridSpan w:val="2"/>
            <w:vMerge w:val="continue"/>
            <w:shd w:val="clear" w:color="auto" w:fill="auto"/>
            <w:vAlign w:val="center"/>
          </w:tcPr>
          <w:p>
            <w:pPr>
              <w:widowControl/>
              <w:rPr>
                <w:rFonts w:hAnsi="宋体" w:cs="宋体"/>
                <w:szCs w:val="21"/>
              </w:rPr>
            </w:pPr>
          </w:p>
        </w:tc>
        <w:tc>
          <w:tcPr>
            <w:tcW w:w="992" w:type="dxa"/>
            <w:gridSpan w:val="2"/>
            <w:shd w:val="clear" w:color="auto" w:fill="auto"/>
            <w:vAlign w:val="center"/>
          </w:tcPr>
          <w:p>
            <w:pPr>
              <w:widowControl/>
              <w:jc w:val="center"/>
              <w:rPr>
                <w:rFonts w:hAnsi="宋体" w:cs="宋体"/>
                <w:szCs w:val="21"/>
              </w:rPr>
            </w:pPr>
            <w:r>
              <w:rPr>
                <w:rFonts w:hAnsi="宋体" w:cs="宋体"/>
                <w:szCs w:val="21"/>
              </w:rPr>
              <w:t>安全</w:t>
            </w:r>
          </w:p>
          <w:p>
            <w:pPr>
              <w:widowControl/>
              <w:jc w:val="center"/>
              <w:rPr>
                <w:rFonts w:hAnsi="宋体" w:cs="宋体"/>
                <w:szCs w:val="21"/>
              </w:rPr>
            </w:pPr>
            <w:r>
              <w:rPr>
                <w:rFonts w:hAnsi="宋体" w:cs="宋体"/>
                <w:szCs w:val="21"/>
              </w:rPr>
              <w:t>耐久</w:t>
            </w:r>
          </w:p>
          <w:p>
            <w:pPr>
              <w:widowControl/>
              <w:jc w:val="center"/>
              <w:rPr>
                <w:rFonts w:hAnsi="宋体" w:cs="宋体"/>
                <w:szCs w:val="21"/>
              </w:rPr>
            </w:pPr>
            <w:r>
              <w:rPr>
                <w:rFonts w:hAnsi="宋体" w:cs="宋体"/>
                <w:szCs w:val="21"/>
              </w:rPr>
              <w:t>Q</w:t>
            </w:r>
            <w:r>
              <w:rPr>
                <w:rFonts w:hAnsi="宋体" w:cs="宋体"/>
                <w:szCs w:val="21"/>
                <w:vertAlign w:val="subscript"/>
              </w:rPr>
              <w:t>1</w:t>
            </w:r>
          </w:p>
        </w:tc>
        <w:tc>
          <w:tcPr>
            <w:tcW w:w="993" w:type="dxa"/>
            <w:shd w:val="clear" w:color="auto" w:fill="auto"/>
            <w:vAlign w:val="center"/>
          </w:tcPr>
          <w:p>
            <w:pPr>
              <w:widowControl/>
              <w:jc w:val="center"/>
              <w:rPr>
                <w:rFonts w:hAnsi="宋体" w:cs="宋体"/>
                <w:szCs w:val="21"/>
              </w:rPr>
            </w:pPr>
            <w:r>
              <w:rPr>
                <w:rFonts w:hAnsi="宋体" w:cs="宋体"/>
                <w:szCs w:val="21"/>
              </w:rPr>
              <w:t>健康</w:t>
            </w:r>
          </w:p>
          <w:p>
            <w:pPr>
              <w:widowControl/>
              <w:jc w:val="center"/>
              <w:rPr>
                <w:rFonts w:hAnsi="宋体" w:cs="宋体"/>
                <w:szCs w:val="21"/>
              </w:rPr>
            </w:pPr>
            <w:r>
              <w:rPr>
                <w:rFonts w:hAnsi="宋体" w:cs="宋体"/>
                <w:szCs w:val="21"/>
              </w:rPr>
              <w:t>舒适</w:t>
            </w:r>
          </w:p>
          <w:p>
            <w:pPr>
              <w:widowControl/>
              <w:jc w:val="center"/>
              <w:rPr>
                <w:rFonts w:hAnsi="宋体" w:cs="宋体"/>
                <w:szCs w:val="21"/>
              </w:rPr>
            </w:pPr>
            <w:r>
              <w:rPr>
                <w:rFonts w:hAnsi="宋体" w:cs="宋体"/>
                <w:szCs w:val="21"/>
              </w:rPr>
              <w:t>Q</w:t>
            </w:r>
            <w:r>
              <w:rPr>
                <w:rFonts w:hAnsi="宋体" w:cs="宋体"/>
                <w:szCs w:val="21"/>
                <w:vertAlign w:val="subscript"/>
              </w:rPr>
              <w:t>2</w:t>
            </w:r>
          </w:p>
        </w:tc>
        <w:tc>
          <w:tcPr>
            <w:tcW w:w="992" w:type="dxa"/>
            <w:shd w:val="clear" w:color="auto" w:fill="auto"/>
            <w:vAlign w:val="center"/>
          </w:tcPr>
          <w:p>
            <w:pPr>
              <w:widowControl/>
              <w:jc w:val="center"/>
              <w:rPr>
                <w:rFonts w:hAnsi="宋体" w:cs="宋体"/>
                <w:szCs w:val="21"/>
              </w:rPr>
            </w:pPr>
            <w:r>
              <w:rPr>
                <w:rFonts w:hAnsi="宋体" w:cs="宋体"/>
                <w:szCs w:val="21"/>
              </w:rPr>
              <w:t>生活</w:t>
            </w:r>
          </w:p>
          <w:p>
            <w:pPr>
              <w:widowControl/>
              <w:jc w:val="center"/>
              <w:rPr>
                <w:rFonts w:hAnsi="宋体" w:cs="宋体"/>
                <w:szCs w:val="21"/>
              </w:rPr>
            </w:pPr>
            <w:r>
              <w:rPr>
                <w:rFonts w:hAnsi="宋体" w:cs="宋体"/>
                <w:szCs w:val="21"/>
              </w:rPr>
              <w:t>便利</w:t>
            </w:r>
          </w:p>
          <w:p>
            <w:pPr>
              <w:widowControl/>
              <w:jc w:val="center"/>
              <w:rPr>
                <w:rFonts w:hAnsi="宋体" w:cs="宋体"/>
                <w:szCs w:val="21"/>
              </w:rPr>
            </w:pPr>
            <w:r>
              <w:rPr>
                <w:rFonts w:hAnsi="宋体" w:cs="宋体"/>
                <w:szCs w:val="21"/>
              </w:rPr>
              <w:t>Q</w:t>
            </w:r>
            <w:r>
              <w:rPr>
                <w:rFonts w:hAnsi="宋体" w:cs="宋体"/>
                <w:szCs w:val="21"/>
                <w:vertAlign w:val="subscript"/>
              </w:rPr>
              <w:t>3</w:t>
            </w:r>
          </w:p>
        </w:tc>
        <w:tc>
          <w:tcPr>
            <w:tcW w:w="992" w:type="dxa"/>
            <w:shd w:val="clear" w:color="auto" w:fill="auto"/>
            <w:vAlign w:val="center"/>
          </w:tcPr>
          <w:p>
            <w:pPr>
              <w:widowControl/>
              <w:jc w:val="center"/>
              <w:rPr>
                <w:rFonts w:hAnsi="宋体" w:cs="宋体"/>
                <w:szCs w:val="21"/>
              </w:rPr>
            </w:pPr>
            <w:r>
              <w:rPr>
                <w:rFonts w:hAnsi="宋体" w:cs="宋体"/>
                <w:szCs w:val="21"/>
              </w:rPr>
              <w:t>资源</w:t>
            </w:r>
          </w:p>
          <w:p>
            <w:pPr>
              <w:widowControl/>
              <w:jc w:val="center"/>
              <w:rPr>
                <w:rFonts w:hAnsi="宋体" w:cs="宋体"/>
                <w:szCs w:val="21"/>
              </w:rPr>
            </w:pPr>
            <w:r>
              <w:rPr>
                <w:rFonts w:hAnsi="宋体" w:cs="宋体"/>
                <w:szCs w:val="21"/>
              </w:rPr>
              <w:t>节约</w:t>
            </w:r>
          </w:p>
          <w:p>
            <w:pPr>
              <w:widowControl/>
              <w:jc w:val="center"/>
              <w:rPr>
                <w:rFonts w:hAnsi="宋体" w:cs="宋体"/>
                <w:szCs w:val="21"/>
              </w:rPr>
            </w:pPr>
            <w:r>
              <w:rPr>
                <w:rFonts w:hAnsi="宋体" w:cs="宋体"/>
                <w:szCs w:val="21"/>
              </w:rPr>
              <w:t>Q</w:t>
            </w:r>
            <w:r>
              <w:rPr>
                <w:rFonts w:hAnsi="宋体" w:cs="宋体"/>
                <w:szCs w:val="21"/>
                <w:vertAlign w:val="subscript"/>
              </w:rPr>
              <w:t>4</w:t>
            </w:r>
          </w:p>
        </w:tc>
        <w:tc>
          <w:tcPr>
            <w:tcW w:w="992" w:type="dxa"/>
            <w:shd w:val="clear" w:color="auto" w:fill="auto"/>
            <w:vAlign w:val="center"/>
          </w:tcPr>
          <w:p>
            <w:pPr>
              <w:widowControl/>
              <w:jc w:val="center"/>
              <w:rPr>
                <w:rFonts w:hAnsi="宋体" w:cs="宋体"/>
                <w:szCs w:val="21"/>
              </w:rPr>
            </w:pPr>
            <w:r>
              <w:rPr>
                <w:rFonts w:hAnsi="宋体" w:cs="宋体"/>
                <w:szCs w:val="21"/>
              </w:rPr>
              <w:t>环境</w:t>
            </w:r>
          </w:p>
          <w:p>
            <w:pPr>
              <w:widowControl/>
              <w:jc w:val="center"/>
              <w:rPr>
                <w:rFonts w:hAnsi="宋体" w:cs="宋体"/>
                <w:szCs w:val="21"/>
              </w:rPr>
            </w:pPr>
            <w:r>
              <w:rPr>
                <w:rFonts w:hAnsi="宋体" w:cs="宋体"/>
                <w:szCs w:val="21"/>
              </w:rPr>
              <w:t>宜居</w:t>
            </w:r>
          </w:p>
          <w:p>
            <w:pPr>
              <w:widowControl/>
              <w:jc w:val="center"/>
              <w:rPr>
                <w:rFonts w:hAnsi="宋体" w:cs="宋体"/>
                <w:szCs w:val="21"/>
              </w:rPr>
            </w:pPr>
            <w:r>
              <w:rPr>
                <w:rFonts w:hAnsi="宋体" w:cs="宋体"/>
                <w:szCs w:val="21"/>
              </w:rPr>
              <w:t>Q</w:t>
            </w:r>
            <w:r>
              <w:rPr>
                <w:rFonts w:hAnsi="宋体" w:cs="宋体"/>
                <w:szCs w:val="21"/>
                <w:vertAlign w:val="subscript"/>
              </w:rPr>
              <w:t>5</w:t>
            </w:r>
          </w:p>
        </w:tc>
        <w:tc>
          <w:tcPr>
            <w:tcW w:w="1134" w:type="dxa"/>
            <w:vMerge w:val="continue"/>
            <w:shd w:val="clear" w:color="auto" w:fill="auto"/>
            <w:vAlign w:val="center"/>
          </w:tcPr>
          <w:p>
            <w:pPr>
              <w:widowControl/>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44" w:type="dxa"/>
            <w:vMerge w:val="continue"/>
            <w:shd w:val="clear" w:color="auto" w:fill="auto"/>
            <w:vAlign w:val="center"/>
          </w:tcPr>
          <w:p>
            <w:pPr>
              <w:widowControl/>
              <w:rPr>
                <w:rFonts w:hAnsi="宋体" w:cs="宋体"/>
                <w:szCs w:val="21"/>
              </w:rPr>
            </w:pPr>
          </w:p>
        </w:tc>
        <w:tc>
          <w:tcPr>
            <w:tcW w:w="1341" w:type="dxa"/>
            <w:shd w:val="clear" w:color="auto" w:fill="auto"/>
            <w:vAlign w:val="center"/>
          </w:tcPr>
          <w:p>
            <w:pPr>
              <w:widowControl/>
              <w:jc w:val="center"/>
              <w:rPr>
                <w:rFonts w:hAnsi="宋体" w:cs="宋体"/>
                <w:szCs w:val="21"/>
              </w:rPr>
            </w:pPr>
            <w:r>
              <w:rPr>
                <w:rFonts w:hint="eastAsia" w:hAnsi="宋体" w:cs="宋体"/>
                <w:szCs w:val="21"/>
              </w:rPr>
              <w:t>分项满</w:t>
            </w:r>
            <w:r>
              <w:rPr>
                <w:rFonts w:hAnsi="宋体" w:cs="宋体"/>
                <w:szCs w:val="21"/>
              </w:rPr>
              <w:t>分值</w:t>
            </w:r>
          </w:p>
        </w:tc>
        <w:tc>
          <w:tcPr>
            <w:tcW w:w="992" w:type="dxa"/>
            <w:gridSpan w:val="2"/>
            <w:shd w:val="clear" w:color="auto" w:fill="auto"/>
            <w:vAlign w:val="center"/>
          </w:tcPr>
          <w:p>
            <w:pPr>
              <w:widowControl/>
              <w:jc w:val="center"/>
              <w:rPr>
                <w:rFonts w:hAnsi="宋体" w:cs="宋体"/>
                <w:szCs w:val="21"/>
              </w:rPr>
            </w:pPr>
            <w:r>
              <w:rPr>
                <w:rFonts w:hint="eastAsia" w:hAnsi="宋体" w:cs="宋体"/>
                <w:szCs w:val="21"/>
              </w:rPr>
              <w:t>4</w:t>
            </w:r>
            <w:r>
              <w:rPr>
                <w:rFonts w:hAnsi="宋体" w:cs="宋体"/>
                <w:szCs w:val="21"/>
              </w:rPr>
              <w:t>00</w:t>
            </w:r>
          </w:p>
        </w:tc>
        <w:tc>
          <w:tcPr>
            <w:tcW w:w="992" w:type="dxa"/>
            <w:gridSpan w:val="2"/>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c>
          <w:tcPr>
            <w:tcW w:w="993" w:type="dxa"/>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c>
          <w:tcPr>
            <w:tcW w:w="992" w:type="dxa"/>
            <w:shd w:val="clear" w:color="auto" w:fill="auto"/>
            <w:vAlign w:val="center"/>
          </w:tcPr>
          <w:p>
            <w:pPr>
              <w:widowControl/>
              <w:jc w:val="center"/>
              <w:rPr>
                <w:rFonts w:hAnsi="宋体" w:cs="宋体"/>
                <w:szCs w:val="21"/>
              </w:rPr>
            </w:pPr>
            <w:r>
              <w:rPr>
                <w:rFonts w:hint="eastAsia" w:hAnsi="宋体" w:cs="宋体"/>
                <w:szCs w:val="21"/>
              </w:rPr>
              <w:t>7</w:t>
            </w:r>
            <w:r>
              <w:rPr>
                <w:rFonts w:hAnsi="宋体" w:cs="宋体"/>
                <w:szCs w:val="21"/>
              </w:rPr>
              <w:t>0</w:t>
            </w:r>
          </w:p>
        </w:tc>
        <w:tc>
          <w:tcPr>
            <w:tcW w:w="992" w:type="dxa"/>
            <w:shd w:val="clear" w:color="auto" w:fill="auto"/>
            <w:vAlign w:val="center"/>
          </w:tcPr>
          <w:p>
            <w:pPr>
              <w:widowControl/>
              <w:jc w:val="center"/>
              <w:rPr>
                <w:rFonts w:hAnsi="宋体" w:cs="宋体"/>
                <w:szCs w:val="21"/>
              </w:rPr>
            </w:pPr>
            <w:r>
              <w:rPr>
                <w:rFonts w:hint="eastAsia" w:hAnsi="宋体" w:cs="宋体"/>
                <w:szCs w:val="21"/>
              </w:rPr>
              <w:t>2</w:t>
            </w:r>
            <w:r>
              <w:rPr>
                <w:rFonts w:hAnsi="宋体" w:cs="宋体"/>
                <w:szCs w:val="21"/>
              </w:rPr>
              <w:t>00</w:t>
            </w:r>
          </w:p>
        </w:tc>
        <w:tc>
          <w:tcPr>
            <w:tcW w:w="992" w:type="dxa"/>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c>
          <w:tcPr>
            <w:tcW w:w="1134" w:type="dxa"/>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44" w:type="dxa"/>
            <w:vMerge w:val="continue"/>
            <w:shd w:val="clear" w:color="auto" w:fill="auto"/>
            <w:vAlign w:val="center"/>
          </w:tcPr>
          <w:p>
            <w:pPr>
              <w:widowControl/>
              <w:rPr>
                <w:rFonts w:hAnsi="宋体" w:cs="宋体"/>
                <w:szCs w:val="21"/>
              </w:rPr>
            </w:pPr>
          </w:p>
        </w:tc>
        <w:tc>
          <w:tcPr>
            <w:tcW w:w="1341" w:type="dxa"/>
            <w:shd w:val="clear" w:color="auto" w:fill="auto"/>
            <w:vAlign w:val="center"/>
          </w:tcPr>
          <w:p>
            <w:pPr>
              <w:widowControl/>
              <w:jc w:val="center"/>
              <w:rPr>
                <w:rFonts w:hAnsi="宋体" w:cs="宋体"/>
                <w:szCs w:val="21"/>
              </w:rPr>
            </w:pPr>
            <w:r>
              <w:rPr>
                <w:rFonts w:hAnsi="宋体" w:cs="宋体"/>
                <w:szCs w:val="21"/>
              </w:rPr>
              <w:t>自评分值</w:t>
            </w:r>
          </w:p>
        </w:tc>
        <w:tc>
          <w:tcPr>
            <w:tcW w:w="992" w:type="dxa"/>
            <w:gridSpan w:val="2"/>
            <w:shd w:val="clear" w:color="auto" w:fill="auto"/>
            <w:vAlign w:val="center"/>
          </w:tcPr>
          <w:p>
            <w:pPr>
              <w:widowControl/>
              <w:rPr>
                <w:rFonts w:hAnsi="宋体" w:cs="宋体"/>
                <w:szCs w:val="21"/>
              </w:rPr>
            </w:pPr>
          </w:p>
        </w:tc>
        <w:tc>
          <w:tcPr>
            <w:tcW w:w="992" w:type="dxa"/>
            <w:gridSpan w:val="2"/>
            <w:shd w:val="clear" w:color="auto" w:fill="auto"/>
            <w:vAlign w:val="center"/>
          </w:tcPr>
          <w:p>
            <w:pPr>
              <w:widowControl/>
              <w:rPr>
                <w:rFonts w:hAnsi="宋体" w:cs="宋体"/>
                <w:szCs w:val="21"/>
              </w:rPr>
            </w:pPr>
          </w:p>
        </w:tc>
        <w:tc>
          <w:tcPr>
            <w:tcW w:w="993" w:type="dxa"/>
            <w:shd w:val="clear" w:color="auto" w:fill="auto"/>
            <w:vAlign w:val="center"/>
          </w:tcPr>
          <w:p>
            <w:pPr>
              <w:widowControl/>
              <w:rPr>
                <w:rFonts w:hAnsi="宋体" w:cs="宋体"/>
                <w:szCs w:val="21"/>
              </w:rPr>
            </w:pPr>
          </w:p>
        </w:tc>
        <w:tc>
          <w:tcPr>
            <w:tcW w:w="992" w:type="dxa"/>
            <w:shd w:val="clear" w:color="auto" w:fill="auto"/>
            <w:vAlign w:val="center"/>
          </w:tcPr>
          <w:p>
            <w:pPr>
              <w:widowControl/>
              <w:rPr>
                <w:rFonts w:hAnsi="宋体" w:cs="宋体"/>
                <w:szCs w:val="21"/>
              </w:rPr>
            </w:pPr>
          </w:p>
        </w:tc>
        <w:tc>
          <w:tcPr>
            <w:tcW w:w="992" w:type="dxa"/>
            <w:shd w:val="clear" w:color="auto" w:fill="auto"/>
            <w:vAlign w:val="center"/>
          </w:tcPr>
          <w:p>
            <w:pPr>
              <w:widowControl/>
              <w:rPr>
                <w:rFonts w:hAnsi="宋体" w:cs="宋体"/>
                <w:szCs w:val="21"/>
              </w:rPr>
            </w:pPr>
          </w:p>
        </w:tc>
        <w:tc>
          <w:tcPr>
            <w:tcW w:w="992" w:type="dxa"/>
            <w:shd w:val="clear" w:color="auto" w:fill="auto"/>
            <w:vAlign w:val="center"/>
          </w:tcPr>
          <w:p>
            <w:pPr>
              <w:widowControl/>
              <w:rPr>
                <w:rFonts w:hAnsi="宋体" w:cs="宋体"/>
                <w:szCs w:val="21"/>
              </w:rPr>
            </w:pPr>
          </w:p>
        </w:tc>
        <w:tc>
          <w:tcPr>
            <w:tcW w:w="1134" w:type="dxa"/>
            <w:shd w:val="clear" w:color="auto" w:fill="auto"/>
            <w:vAlign w:val="center"/>
          </w:tcPr>
          <w:p>
            <w:pPr>
              <w:widowControl/>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072" w:type="dxa"/>
            <w:gridSpan w:val="11"/>
            <w:shd w:val="clear" w:color="auto" w:fill="auto"/>
            <w:vAlign w:val="center"/>
          </w:tcPr>
          <w:p>
            <w:pPr>
              <w:widowControl/>
              <w:jc w:val="center"/>
              <w:rPr>
                <w:rFonts w:hAnsi="宋体"/>
                <w:b/>
                <w:bCs/>
                <w:szCs w:val="21"/>
              </w:rPr>
            </w:pPr>
            <w:r>
              <w:rPr>
                <w:rFonts w:hint="eastAsia" w:hAnsi="宋体" w:cs="宋体"/>
                <w:b/>
                <w:bCs/>
                <w:szCs w:val="21"/>
              </w:rPr>
              <w:t xml:space="preserve">总得分 </w:t>
            </w:r>
            <w:r>
              <w:rPr>
                <w:rFonts w:hAnsi="宋体" w:cs="宋体"/>
                <w:b/>
                <w:bCs/>
                <w:szCs w:val="21"/>
              </w:rPr>
              <w:t xml:space="preserve"> </w:t>
            </w:r>
            <w:r>
              <w:rPr>
                <w:rFonts w:hAnsi="宋体"/>
                <w:b/>
                <w:bCs/>
                <w:szCs w:val="21"/>
              </w:rPr>
              <w:t xml:space="preserve">Q </w:t>
            </w:r>
            <w:r>
              <w:rPr>
                <w:rFonts w:hint="eastAsia" w:hAnsi="宋体"/>
                <w:b/>
                <w:bCs/>
                <w:szCs w:val="21"/>
              </w:rPr>
              <w:t>=</w:t>
            </w:r>
            <w:r>
              <w:rPr>
                <w:rFonts w:hAnsi="宋体"/>
                <w:b/>
                <w:bCs/>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7938" w:type="dxa"/>
            <w:gridSpan w:val="10"/>
            <w:vMerge w:val="restart"/>
            <w:shd w:val="clear" w:color="auto" w:fill="auto"/>
            <w:vAlign w:val="center"/>
          </w:tcPr>
          <w:p>
            <w:pPr>
              <w:pStyle w:val="273"/>
              <w:widowControl/>
              <w:numPr>
                <w:ilvl w:val="0"/>
                <w:numId w:val="59"/>
              </w:numPr>
              <w:ind w:firstLine="0" w:firstLineChars="0"/>
              <w:rPr>
                <w:rFonts w:ascii="宋体" w:hAnsi="宋体" w:cs="宋体"/>
                <w:szCs w:val="21"/>
              </w:rPr>
            </w:pPr>
            <w:r>
              <w:rPr>
                <w:rFonts w:ascii="宋体" w:hAnsi="宋体" w:cs="宋体"/>
                <w:szCs w:val="21"/>
              </w:rPr>
              <w:t>本项目</w:t>
            </w:r>
            <w:r>
              <w:rPr>
                <w:rFonts w:hint="eastAsia" w:ascii="宋体" w:hAnsi="宋体" w:cs="宋体"/>
                <w:szCs w:val="21"/>
              </w:rPr>
              <w:t>绿色建筑</w:t>
            </w:r>
            <w:r>
              <w:rPr>
                <w:rFonts w:ascii="宋体" w:hAnsi="宋体" w:cs="宋体"/>
                <w:szCs w:val="21"/>
              </w:rPr>
              <w:t>星级</w:t>
            </w:r>
            <w:r>
              <w:rPr>
                <w:rFonts w:hint="eastAsia" w:ascii="宋体" w:hAnsi="宋体" w:cs="宋体"/>
                <w:szCs w:val="21"/>
              </w:rPr>
              <w:t>等级自评</w:t>
            </w:r>
            <w:r>
              <w:rPr>
                <w:rFonts w:ascii="宋体" w:hAnsi="宋体" w:cs="宋体"/>
                <w:szCs w:val="21"/>
              </w:rPr>
              <w:t>（注：总得分分别达到60分，70分，85分且满足上表1、2、3项对应星级要求时，分别为一星级、二星级、三星级）</w:t>
            </w:r>
          </w:p>
        </w:tc>
        <w:tc>
          <w:tcPr>
            <w:tcW w:w="1134" w:type="dxa"/>
            <w:shd w:val="clear" w:color="auto" w:fill="auto"/>
            <w:vAlign w:val="center"/>
          </w:tcPr>
          <w:p>
            <w:pPr>
              <w:jc w:val="center"/>
              <w:rPr>
                <w:rFonts w:hAnsi="宋体" w:cs="宋体"/>
                <w:szCs w:val="21"/>
              </w:rPr>
            </w:pPr>
            <w:r>
              <w:rPr>
                <w:rFonts w:hAnsi="宋体" w:cs="宋体"/>
                <w:szCs w:val="21"/>
              </w:rPr>
              <w:t>□一星</w:t>
            </w:r>
            <w:r>
              <w:rPr>
                <w:rFonts w:hint="eastAsia" w:hAnsi="宋体" w:cs="宋体"/>
                <w:szCs w:val="21"/>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7938" w:type="dxa"/>
            <w:gridSpan w:val="10"/>
            <w:vMerge w:val="continue"/>
            <w:shd w:val="clear" w:color="auto" w:fill="auto"/>
            <w:vAlign w:val="center"/>
          </w:tcPr>
          <w:p>
            <w:pPr>
              <w:widowControl/>
              <w:rPr>
                <w:rFonts w:hAnsi="宋体" w:cs="宋体"/>
                <w:szCs w:val="21"/>
              </w:rPr>
            </w:pPr>
          </w:p>
        </w:tc>
        <w:tc>
          <w:tcPr>
            <w:tcW w:w="1134" w:type="dxa"/>
            <w:shd w:val="clear" w:color="auto" w:fill="auto"/>
            <w:vAlign w:val="center"/>
          </w:tcPr>
          <w:p>
            <w:pPr>
              <w:jc w:val="center"/>
              <w:rPr>
                <w:rFonts w:hAnsi="宋体" w:cs="宋体"/>
                <w:szCs w:val="21"/>
              </w:rPr>
            </w:pPr>
            <w:r>
              <w:rPr>
                <w:rFonts w:hAnsi="宋体" w:cs="宋体"/>
                <w:szCs w:val="21"/>
              </w:rPr>
              <w:t>□二星</w:t>
            </w:r>
            <w:r>
              <w:rPr>
                <w:rFonts w:hint="eastAsia" w:hAnsi="宋体" w:cs="宋体"/>
                <w:szCs w:val="21"/>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938" w:type="dxa"/>
            <w:gridSpan w:val="10"/>
            <w:vMerge w:val="continue"/>
            <w:shd w:val="clear" w:color="auto" w:fill="auto"/>
            <w:vAlign w:val="center"/>
          </w:tcPr>
          <w:p>
            <w:pPr>
              <w:widowControl/>
              <w:rPr>
                <w:rFonts w:hAnsi="宋体" w:cs="宋体"/>
                <w:szCs w:val="21"/>
              </w:rPr>
            </w:pPr>
          </w:p>
        </w:tc>
        <w:tc>
          <w:tcPr>
            <w:tcW w:w="1134" w:type="dxa"/>
            <w:shd w:val="clear" w:color="auto" w:fill="auto"/>
            <w:vAlign w:val="center"/>
          </w:tcPr>
          <w:p>
            <w:pPr>
              <w:jc w:val="center"/>
              <w:rPr>
                <w:rFonts w:hAnsi="宋体" w:cs="宋体"/>
                <w:szCs w:val="21"/>
              </w:rPr>
            </w:pPr>
            <w:r>
              <w:rPr>
                <w:rFonts w:hAnsi="宋体" w:cs="宋体"/>
                <w:szCs w:val="21"/>
              </w:rPr>
              <w:t>□三星</w:t>
            </w:r>
            <w:r>
              <w:rPr>
                <w:rFonts w:hint="eastAsia" w:hAnsi="宋体" w:cs="宋体"/>
                <w:szCs w:val="21"/>
              </w:rPr>
              <w:t>级</w:t>
            </w:r>
          </w:p>
        </w:tc>
      </w:tr>
    </w:tbl>
    <w:p>
      <w:pPr>
        <w:overflowPunct w:val="0"/>
        <w:spacing w:line="360" w:lineRule="exact"/>
        <w:ind w:firstLine="562"/>
        <w:jc w:val="center"/>
        <w:outlineLvl w:val="2"/>
        <w:rPr>
          <w:rFonts w:hAnsi="宋体" w:cs="宋体"/>
          <w:b/>
          <w:bCs/>
          <w:sz w:val="28"/>
          <w:szCs w:val="28"/>
        </w:rPr>
        <w:sectPr>
          <w:pgSz w:w="11906" w:h="16838"/>
          <w:pgMar w:top="1440" w:right="1800" w:bottom="1440" w:left="1800" w:header="851" w:footer="992" w:gutter="0"/>
          <w:cols w:space="425" w:num="1"/>
          <w:docGrid w:type="lines" w:linePitch="312" w:charSpace="0"/>
        </w:sectPr>
      </w:pPr>
    </w:p>
    <w:p>
      <w:pPr>
        <w:overflowPunct w:val="0"/>
        <w:spacing w:line="360" w:lineRule="exact"/>
        <w:ind w:firstLine="562"/>
        <w:jc w:val="center"/>
        <w:outlineLvl w:val="2"/>
        <w:rPr>
          <w:rFonts w:hAnsi="宋体" w:cs="宋体"/>
          <w:b/>
          <w:bCs/>
          <w:sz w:val="28"/>
          <w:szCs w:val="28"/>
        </w:rPr>
      </w:pPr>
      <w:bookmarkStart w:id="28" w:name="_Toc113028983"/>
      <w:r>
        <w:rPr>
          <w:rFonts w:hAnsi="宋体" w:cs="宋体"/>
          <w:b/>
          <w:bCs/>
          <w:sz w:val="28"/>
          <w:szCs w:val="28"/>
        </w:rPr>
        <w:t>绿色建筑</w:t>
      </w:r>
      <w:r>
        <w:rPr>
          <w:rFonts w:hint="eastAsia" w:hAnsi="宋体" w:cs="宋体"/>
          <w:b/>
          <w:bCs/>
          <w:sz w:val="28"/>
          <w:szCs w:val="28"/>
        </w:rPr>
        <w:t>预评价</w:t>
      </w:r>
      <w:r>
        <w:rPr>
          <w:rFonts w:hAnsi="宋体" w:cs="宋体"/>
          <w:b/>
          <w:bCs/>
          <w:sz w:val="28"/>
          <w:szCs w:val="28"/>
        </w:rPr>
        <w:t>自评表2 - 分项打分表</w:t>
      </w:r>
      <w:bookmarkEnd w:id="28"/>
    </w:p>
    <w:p>
      <w:pPr>
        <w:overflowPunct w:val="0"/>
        <w:spacing w:line="360" w:lineRule="exact"/>
        <w:ind w:firstLine="562"/>
        <w:jc w:val="center"/>
        <w:rPr>
          <w:rFonts w:hAnsi="宋体" w:cs="宋体"/>
          <w:b/>
          <w:bCs/>
          <w:sz w:val="28"/>
          <w:szCs w:val="28"/>
        </w:rPr>
      </w:pP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839"/>
        <w:gridCol w:w="873"/>
        <w:gridCol w:w="78"/>
        <w:gridCol w:w="293"/>
        <w:gridCol w:w="143"/>
        <w:gridCol w:w="43"/>
        <w:gridCol w:w="39"/>
        <w:gridCol w:w="261"/>
        <w:gridCol w:w="223"/>
        <w:gridCol w:w="2557"/>
        <w:gridCol w:w="666"/>
        <w:gridCol w:w="639"/>
        <w:gridCol w:w="776"/>
        <w:gridCol w:w="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szCs w:val="21"/>
              </w:rPr>
            </w:pPr>
            <w:r>
              <w:rPr>
                <w:rFonts w:hAnsi="宋体" w:cs="宋体"/>
                <w:b/>
                <w:bCs/>
                <w:szCs w:val="21"/>
              </w:rPr>
              <w:t>类别</w:t>
            </w:r>
          </w:p>
        </w:tc>
        <w:tc>
          <w:tcPr>
            <w:tcW w:w="3138" w:type="pct"/>
            <w:gridSpan w:val="10"/>
            <w:noWrap/>
            <w:vAlign w:val="center"/>
          </w:tcPr>
          <w:p>
            <w:pPr>
              <w:widowControl/>
              <w:jc w:val="center"/>
              <w:rPr>
                <w:rFonts w:hAnsi="宋体" w:cs="宋体"/>
                <w:b/>
                <w:bCs/>
                <w:szCs w:val="21"/>
              </w:rPr>
            </w:pPr>
            <w:r>
              <w:rPr>
                <w:rFonts w:hAnsi="宋体" w:cs="宋体"/>
                <w:b/>
                <w:bCs/>
                <w:szCs w:val="21"/>
              </w:rPr>
              <w:t>《绿色建筑评价标准》GB/T 50378-2019 条文</w:t>
            </w:r>
          </w:p>
        </w:tc>
        <w:tc>
          <w:tcPr>
            <w:tcW w:w="766" w:type="pct"/>
            <w:gridSpan w:val="2"/>
            <w:vAlign w:val="center"/>
          </w:tcPr>
          <w:p>
            <w:pPr>
              <w:widowControl/>
              <w:jc w:val="center"/>
              <w:rPr>
                <w:rFonts w:hAnsi="宋体" w:cs="宋体"/>
                <w:b/>
                <w:bCs/>
                <w:szCs w:val="21"/>
              </w:rPr>
            </w:pPr>
            <w:r>
              <w:rPr>
                <w:rFonts w:hAnsi="宋体" w:cs="宋体"/>
                <w:b/>
                <w:bCs/>
                <w:szCs w:val="21"/>
              </w:rPr>
              <w:t>分数</w:t>
            </w:r>
          </w:p>
        </w:tc>
        <w:tc>
          <w:tcPr>
            <w:tcW w:w="455" w:type="pct"/>
            <w:vMerge w:val="restart"/>
            <w:vAlign w:val="center"/>
          </w:tcPr>
          <w:p>
            <w:pPr>
              <w:jc w:val="center"/>
              <w:rPr>
                <w:rFonts w:hAnsi="宋体" w:cs="宋体"/>
                <w:b/>
                <w:bCs/>
                <w:szCs w:val="21"/>
              </w:rPr>
            </w:pPr>
            <w:r>
              <w:rPr>
                <w:rFonts w:hAnsi="宋体" w:cs="宋体"/>
                <w:b/>
                <w:bCs/>
                <w:szCs w:val="21"/>
              </w:rPr>
              <w:t>自评得分</w:t>
            </w:r>
          </w:p>
        </w:tc>
        <w:tc>
          <w:tcPr>
            <w:tcW w:w="386" w:type="pct"/>
            <w:vMerge w:val="restart"/>
            <w:vAlign w:val="center"/>
          </w:tcPr>
          <w:p>
            <w:pPr>
              <w:jc w:val="center"/>
              <w:rPr>
                <w:rFonts w:hAnsi="宋体" w:cs="宋体"/>
                <w:b/>
                <w:bCs/>
                <w:szCs w:val="21"/>
              </w:rPr>
            </w:pPr>
            <w:r>
              <w:rPr>
                <w:rFonts w:hAnsi="宋体" w:cs="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Cs w:val="21"/>
              </w:rPr>
            </w:pPr>
          </w:p>
        </w:tc>
        <w:tc>
          <w:tcPr>
            <w:tcW w:w="492" w:type="pct"/>
            <w:noWrap/>
            <w:vAlign w:val="center"/>
          </w:tcPr>
          <w:p>
            <w:pPr>
              <w:jc w:val="center"/>
              <w:rPr>
                <w:rFonts w:hAnsi="宋体" w:cs="宋体"/>
                <w:szCs w:val="21"/>
              </w:rPr>
            </w:pPr>
            <w:r>
              <w:rPr>
                <w:rFonts w:hAnsi="宋体" w:cs="宋体"/>
                <w:b/>
                <w:bCs/>
                <w:szCs w:val="21"/>
              </w:rPr>
              <w:t>编号</w:t>
            </w:r>
          </w:p>
        </w:tc>
        <w:tc>
          <w:tcPr>
            <w:tcW w:w="2646" w:type="pct"/>
            <w:gridSpan w:val="9"/>
            <w:vAlign w:val="center"/>
          </w:tcPr>
          <w:p>
            <w:pPr>
              <w:jc w:val="center"/>
              <w:rPr>
                <w:rFonts w:hAnsi="宋体" w:cs="宋体"/>
                <w:b/>
                <w:bCs/>
                <w:szCs w:val="21"/>
              </w:rPr>
            </w:pPr>
            <w:r>
              <w:rPr>
                <w:rFonts w:hAnsi="宋体" w:cs="宋体"/>
                <w:b/>
                <w:bCs/>
                <w:szCs w:val="21"/>
              </w:rPr>
              <w:t>条款内容</w:t>
            </w:r>
          </w:p>
        </w:tc>
        <w:tc>
          <w:tcPr>
            <w:tcW w:w="391" w:type="pct"/>
            <w:vAlign w:val="center"/>
          </w:tcPr>
          <w:p>
            <w:pPr>
              <w:jc w:val="center"/>
              <w:rPr>
                <w:rFonts w:hAnsi="宋体" w:cs="宋体"/>
                <w:b/>
                <w:bCs/>
                <w:szCs w:val="21"/>
              </w:rPr>
            </w:pPr>
            <w:r>
              <w:rPr>
                <w:rFonts w:hAnsi="宋体" w:cs="宋体"/>
                <w:b/>
                <w:bCs/>
                <w:szCs w:val="21"/>
              </w:rPr>
              <w:t>款项</w:t>
            </w:r>
          </w:p>
          <w:p>
            <w:pPr>
              <w:jc w:val="center"/>
              <w:rPr>
                <w:rFonts w:hAnsi="宋体" w:cs="宋体"/>
                <w:b/>
                <w:bCs/>
                <w:szCs w:val="21"/>
              </w:rPr>
            </w:pPr>
            <w:r>
              <w:rPr>
                <w:rFonts w:hAnsi="宋体" w:cs="宋体"/>
                <w:b/>
                <w:bCs/>
                <w:szCs w:val="21"/>
              </w:rPr>
              <w:t>分</w:t>
            </w:r>
            <w:r>
              <w:rPr>
                <w:rFonts w:hint="eastAsia" w:hAnsi="宋体" w:cs="宋体"/>
                <w:b/>
                <w:bCs/>
                <w:szCs w:val="21"/>
              </w:rPr>
              <w:t>数</w:t>
            </w:r>
          </w:p>
        </w:tc>
        <w:tc>
          <w:tcPr>
            <w:tcW w:w="375" w:type="pct"/>
            <w:vAlign w:val="center"/>
          </w:tcPr>
          <w:p>
            <w:pPr>
              <w:jc w:val="center"/>
              <w:rPr>
                <w:rFonts w:hAnsi="宋体" w:cs="宋体"/>
                <w:b/>
                <w:bCs/>
                <w:szCs w:val="21"/>
              </w:rPr>
            </w:pPr>
            <w:r>
              <w:rPr>
                <w:rFonts w:hAnsi="宋体" w:cs="宋体"/>
                <w:b/>
                <w:bCs/>
                <w:szCs w:val="21"/>
              </w:rPr>
              <w:t>条文</w:t>
            </w:r>
          </w:p>
          <w:p>
            <w:pPr>
              <w:jc w:val="center"/>
              <w:rPr>
                <w:rFonts w:hAnsi="宋体" w:cs="宋体"/>
                <w:b/>
                <w:bCs/>
                <w:szCs w:val="21"/>
              </w:rPr>
            </w:pPr>
            <w:r>
              <w:rPr>
                <w:rFonts w:hAnsi="宋体" w:cs="宋体"/>
                <w:b/>
                <w:bCs/>
                <w:szCs w:val="21"/>
              </w:rPr>
              <w:t>总分</w:t>
            </w:r>
          </w:p>
        </w:tc>
        <w:tc>
          <w:tcPr>
            <w:tcW w:w="455" w:type="pct"/>
            <w:vMerge w:val="continue"/>
            <w:vAlign w:val="center"/>
          </w:tcPr>
          <w:p>
            <w:pPr>
              <w:rPr>
                <w:rFonts w:hAnsi="宋体" w:cs="宋体"/>
                <w:b/>
                <w:bCs/>
                <w:sz w:val="20"/>
              </w:rPr>
            </w:pPr>
          </w:p>
        </w:tc>
        <w:tc>
          <w:tcPr>
            <w:tcW w:w="386" w:type="pct"/>
            <w:vMerge w:val="continue"/>
          </w:tcPr>
          <w:p>
            <w:pPr>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rPr>
                <w:rFonts w:hAnsi="宋体" w:cs="宋体"/>
                <w:sz w:val="20"/>
              </w:rPr>
            </w:pPr>
            <w:r>
              <w:rPr>
                <w:rFonts w:hAnsi="宋体" w:cs="宋体"/>
                <w:b/>
                <w:bCs/>
                <w:sz w:val="20"/>
              </w:rPr>
              <w:t>安全耐久</w:t>
            </w:r>
          </w:p>
        </w:tc>
        <w:tc>
          <w:tcPr>
            <w:tcW w:w="492" w:type="pct"/>
            <w:noWrap/>
            <w:vAlign w:val="center"/>
          </w:tcPr>
          <w:p>
            <w:pPr>
              <w:widowControl/>
              <w:rPr>
                <w:rFonts w:hAnsi="宋体" w:cs="宋体"/>
                <w:sz w:val="20"/>
              </w:rPr>
            </w:pPr>
            <w:r>
              <w:rPr>
                <w:rFonts w:hAnsi="宋体" w:cs="宋体"/>
                <w:sz w:val="20"/>
              </w:rPr>
              <w:t>4.1.1</w:t>
            </w:r>
          </w:p>
        </w:tc>
        <w:tc>
          <w:tcPr>
            <w:tcW w:w="2646" w:type="pct"/>
            <w:gridSpan w:val="9"/>
            <w:vAlign w:val="center"/>
          </w:tcPr>
          <w:p>
            <w:pPr>
              <w:widowControl/>
              <w:rPr>
                <w:rFonts w:hAnsi="宋体" w:cs="宋体"/>
                <w:b/>
                <w:bCs/>
                <w:sz w:val="20"/>
              </w:rPr>
            </w:pPr>
            <w:r>
              <w:rPr>
                <w:rFonts w:hAnsi="宋体" w:cs="宋体"/>
                <w:sz w:val="20"/>
              </w:rPr>
              <w:t>场地应避开滑坡、泥石流等地质危险地段，易发生洪涝区有可靠的防涝基础设施；场地应无危险化学品、易燃易爆危险源的威胁，应无电磁辐射、含氡土壤的危害。</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jc w:val="left"/>
              <w:rPr>
                <w:rFonts w:hAnsi="宋体" w:cs="宋体"/>
                <w:b/>
                <w:bCs/>
                <w:sz w:val="20"/>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4.1.2</w:t>
            </w:r>
          </w:p>
        </w:tc>
        <w:tc>
          <w:tcPr>
            <w:tcW w:w="2646" w:type="pct"/>
            <w:gridSpan w:val="9"/>
            <w:vAlign w:val="center"/>
          </w:tcPr>
          <w:p>
            <w:pPr>
              <w:widowControl/>
              <w:rPr>
                <w:rFonts w:hAnsi="宋体" w:cs="宋体"/>
                <w:b/>
                <w:bCs/>
                <w:sz w:val="20"/>
              </w:rPr>
            </w:pPr>
            <w:r>
              <w:rPr>
                <w:rFonts w:hAnsi="宋体" w:cs="宋体"/>
                <w:sz w:val="20"/>
              </w:rPr>
              <w:t>建筑结构应满足承载力和建筑使用功能要求。建筑外墙、屋面、门窗、幕墙及外保温等围护结构应满足安全、耐久和防护的要求。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4.1.3</w:t>
            </w:r>
          </w:p>
        </w:tc>
        <w:tc>
          <w:tcPr>
            <w:tcW w:w="2646" w:type="pct"/>
            <w:gridSpan w:val="9"/>
            <w:vAlign w:val="center"/>
          </w:tcPr>
          <w:p>
            <w:pPr>
              <w:widowControl/>
              <w:rPr>
                <w:rFonts w:hAnsi="宋体" w:cs="宋体"/>
                <w:b/>
                <w:bCs/>
                <w:sz w:val="20"/>
              </w:rPr>
            </w:pPr>
            <w:r>
              <w:rPr>
                <w:rFonts w:hAnsi="宋体" w:cs="宋体"/>
                <w:sz w:val="20"/>
              </w:rPr>
              <w:t>外遮阳、太阳能设施、空调室外机位、外墙花池等外部设施应与建筑主体结构统一设计、施工，并应具备安装、检修与维护条件。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4.1.4</w:t>
            </w:r>
          </w:p>
        </w:tc>
        <w:tc>
          <w:tcPr>
            <w:tcW w:w="2646" w:type="pct"/>
            <w:gridSpan w:val="9"/>
            <w:vAlign w:val="center"/>
          </w:tcPr>
          <w:p>
            <w:pPr>
              <w:widowControl/>
              <w:rPr>
                <w:rFonts w:hAnsi="宋体" w:cs="宋体"/>
                <w:b/>
                <w:bCs/>
                <w:sz w:val="20"/>
              </w:rPr>
            </w:pPr>
            <w:r>
              <w:rPr>
                <w:rFonts w:hAnsi="宋体" w:cs="宋体"/>
                <w:sz w:val="20"/>
              </w:rPr>
              <w:t>建筑内部的非结构构件、设备及附属设施等应连接牢固并能适应主体结构变形。</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4.1.5</w:t>
            </w:r>
          </w:p>
        </w:tc>
        <w:tc>
          <w:tcPr>
            <w:tcW w:w="2646" w:type="pct"/>
            <w:gridSpan w:val="9"/>
            <w:vAlign w:val="center"/>
          </w:tcPr>
          <w:p>
            <w:pPr>
              <w:widowControl/>
              <w:rPr>
                <w:rFonts w:hAnsi="宋体" w:cs="宋体"/>
                <w:b/>
                <w:bCs/>
                <w:sz w:val="20"/>
              </w:rPr>
            </w:pPr>
            <w:r>
              <w:rPr>
                <w:rFonts w:hAnsi="宋体" w:cs="宋体"/>
                <w:sz w:val="20"/>
              </w:rPr>
              <w:t>建筑外门窗必须安装牢靠，其抗风压性能和水密性能应符合国家现行有关标准的规定。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4.1.6</w:t>
            </w:r>
          </w:p>
        </w:tc>
        <w:tc>
          <w:tcPr>
            <w:tcW w:w="2646" w:type="pct"/>
            <w:gridSpan w:val="9"/>
            <w:vAlign w:val="center"/>
          </w:tcPr>
          <w:p>
            <w:pPr>
              <w:widowControl/>
              <w:rPr>
                <w:rFonts w:hAnsi="宋体" w:cs="宋体"/>
                <w:b/>
                <w:bCs/>
                <w:sz w:val="20"/>
              </w:rPr>
            </w:pPr>
            <w:r>
              <w:rPr>
                <w:rFonts w:hAnsi="宋体" w:cs="宋体"/>
                <w:sz w:val="20"/>
              </w:rPr>
              <w:t>卫生间、浴室的地面应设置防水层，墙面、顶棚应设置防潮层。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4.1.7</w:t>
            </w:r>
          </w:p>
        </w:tc>
        <w:tc>
          <w:tcPr>
            <w:tcW w:w="2646" w:type="pct"/>
            <w:gridSpan w:val="9"/>
            <w:vAlign w:val="center"/>
          </w:tcPr>
          <w:p>
            <w:pPr>
              <w:widowControl/>
              <w:rPr>
                <w:rFonts w:hAnsi="宋体" w:cs="宋体"/>
                <w:b/>
                <w:bCs/>
                <w:sz w:val="20"/>
              </w:rPr>
            </w:pPr>
            <w:r>
              <w:rPr>
                <w:rFonts w:hAnsi="宋体" w:cs="宋体"/>
                <w:sz w:val="20"/>
              </w:rPr>
              <w:t>走廊、疏散通道等通行空间应满足紧急疏散、应急救护等要求，且应保持畅通。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4.1.8</w:t>
            </w:r>
          </w:p>
        </w:tc>
        <w:tc>
          <w:tcPr>
            <w:tcW w:w="2646" w:type="pct"/>
            <w:gridSpan w:val="9"/>
            <w:vAlign w:val="center"/>
          </w:tcPr>
          <w:p>
            <w:pPr>
              <w:widowControl/>
              <w:rPr>
                <w:rFonts w:hAnsi="宋体" w:cs="宋体"/>
                <w:b/>
                <w:bCs/>
                <w:sz w:val="20"/>
              </w:rPr>
            </w:pPr>
            <w:r>
              <w:rPr>
                <w:rFonts w:hAnsi="宋体" w:cs="宋体"/>
                <w:sz w:val="20"/>
              </w:rPr>
              <w:t>应具有安全防护的警示和引导标识系统。</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4.2.1</w:t>
            </w:r>
          </w:p>
        </w:tc>
        <w:tc>
          <w:tcPr>
            <w:tcW w:w="2646" w:type="pct"/>
            <w:gridSpan w:val="9"/>
            <w:vAlign w:val="center"/>
          </w:tcPr>
          <w:p>
            <w:pPr>
              <w:widowControl/>
              <w:rPr>
                <w:rFonts w:hAnsi="宋体" w:cs="宋体"/>
                <w:b/>
                <w:bCs/>
                <w:sz w:val="20"/>
              </w:rPr>
            </w:pPr>
            <w:r>
              <w:rPr>
                <w:rFonts w:hAnsi="宋体" w:cs="宋体"/>
                <w:sz w:val="20"/>
              </w:rPr>
              <w:t>采用基于性能的抗震设计并合理提高建筑的抗震性能。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4.2.2</w:t>
            </w:r>
          </w:p>
        </w:tc>
        <w:tc>
          <w:tcPr>
            <w:tcW w:w="512" w:type="pct"/>
            <w:vMerge w:val="restart"/>
            <w:vAlign w:val="center"/>
          </w:tcPr>
          <w:p>
            <w:pPr>
              <w:widowControl/>
              <w:rPr>
                <w:rFonts w:hAnsi="宋体" w:cs="宋体"/>
                <w:b/>
                <w:bCs/>
                <w:sz w:val="20"/>
              </w:rPr>
            </w:pPr>
            <w:r>
              <w:rPr>
                <w:rFonts w:hAnsi="宋体" w:cs="宋体"/>
                <w:sz w:val="20"/>
              </w:rPr>
              <w:t>采取保障人员安全的防护措施。</w:t>
            </w:r>
          </w:p>
        </w:tc>
        <w:tc>
          <w:tcPr>
            <w:tcW w:w="2134" w:type="pct"/>
            <w:gridSpan w:val="8"/>
            <w:vAlign w:val="center"/>
          </w:tcPr>
          <w:p>
            <w:pPr>
              <w:widowControl/>
              <w:rPr>
                <w:rFonts w:hAnsi="宋体" w:cs="宋体"/>
                <w:sz w:val="20"/>
              </w:rPr>
            </w:pPr>
            <w:r>
              <w:rPr>
                <w:rFonts w:hAnsi="宋体" w:cs="宋体"/>
                <w:sz w:val="20"/>
              </w:rPr>
              <w:t>采取措施提高阳台、外窗、窗台、防护栏杆等安全防护水平。</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建筑物出入口均设外墙饰面、门窗玻璃意外脱落的防护措施，并与人员通行区域的遮阳、遮风或挡雨措施结合。</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利用场地或景观形成可降低坠物风险的缓冲区、隔离带。</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4.2.3</w:t>
            </w:r>
          </w:p>
        </w:tc>
        <w:tc>
          <w:tcPr>
            <w:tcW w:w="512" w:type="pct"/>
            <w:vMerge w:val="restart"/>
            <w:vAlign w:val="center"/>
          </w:tcPr>
          <w:p>
            <w:pPr>
              <w:widowControl/>
              <w:rPr>
                <w:rFonts w:hAnsi="宋体" w:cs="宋体"/>
                <w:b/>
                <w:bCs/>
                <w:sz w:val="20"/>
              </w:rPr>
            </w:pPr>
            <w:r>
              <w:rPr>
                <w:rFonts w:hAnsi="宋体" w:cs="宋体"/>
                <w:sz w:val="20"/>
              </w:rPr>
              <w:t>采用具有安全防护功能的产品或配件。</w:t>
            </w:r>
          </w:p>
        </w:tc>
        <w:tc>
          <w:tcPr>
            <w:tcW w:w="2134" w:type="pct"/>
            <w:gridSpan w:val="8"/>
            <w:vAlign w:val="center"/>
          </w:tcPr>
          <w:p>
            <w:pPr>
              <w:widowControl/>
              <w:rPr>
                <w:rFonts w:hAnsi="宋体" w:cs="宋体"/>
                <w:sz w:val="20"/>
              </w:rPr>
            </w:pPr>
            <w:r>
              <w:rPr>
                <w:rFonts w:hAnsi="宋体" w:cs="宋体"/>
                <w:sz w:val="20"/>
              </w:rPr>
              <w:t>采用具有安全防护功能的玻璃。</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采用具备防夹功能的门窗。</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4.2.4</w:t>
            </w:r>
          </w:p>
        </w:tc>
        <w:tc>
          <w:tcPr>
            <w:tcW w:w="512" w:type="pct"/>
            <w:vMerge w:val="restart"/>
            <w:vAlign w:val="center"/>
          </w:tcPr>
          <w:p>
            <w:pPr>
              <w:widowControl/>
              <w:rPr>
                <w:rFonts w:hAnsi="宋体" w:cs="宋体"/>
                <w:b/>
                <w:bCs/>
                <w:sz w:val="20"/>
              </w:rPr>
            </w:pPr>
            <w:r>
              <w:rPr>
                <w:rFonts w:hAnsi="宋体" w:cs="宋体"/>
                <w:sz w:val="20"/>
              </w:rPr>
              <w:t>室内外地面或路面设置防滑措施。</w:t>
            </w:r>
          </w:p>
        </w:tc>
        <w:tc>
          <w:tcPr>
            <w:tcW w:w="2134" w:type="pct"/>
            <w:gridSpan w:val="8"/>
            <w:vAlign w:val="center"/>
          </w:tcPr>
          <w:p>
            <w:pPr>
              <w:widowControl/>
              <w:rPr>
                <w:rFonts w:hAnsi="宋体" w:cs="宋体"/>
                <w:sz w:val="20"/>
              </w:rPr>
            </w:pPr>
            <w:r>
              <w:rPr>
                <w:rFonts w:hAnsi="宋体" w:cs="宋体"/>
                <w:sz w:val="20"/>
              </w:rPr>
              <w:t>建筑出入口及平台、公共走廊、电梯门厅、厨房、浴室、卫生间等设置防滑措施，防滑等级不低于现行行业标准《建筑地面工程防滑技术规程》JGJ/T 331规定的B</w:t>
            </w:r>
            <w:r>
              <w:rPr>
                <w:rFonts w:hAnsi="宋体" w:cs="宋体"/>
                <w:sz w:val="20"/>
                <w:vertAlign w:val="subscript"/>
              </w:rPr>
              <w:t>d</w:t>
            </w:r>
            <w:r>
              <w:rPr>
                <w:rFonts w:hAnsi="宋体" w:cs="宋体"/>
                <w:sz w:val="20"/>
              </w:rPr>
              <w:t>、B</w:t>
            </w:r>
            <w:r>
              <w:rPr>
                <w:rFonts w:hAnsi="宋体" w:cs="宋体"/>
                <w:sz w:val="20"/>
                <w:vertAlign w:val="subscript"/>
              </w:rPr>
              <w:t>w</w:t>
            </w:r>
            <w:r>
              <w:rPr>
                <w:rFonts w:hAnsi="宋体" w:cs="宋体"/>
                <w:sz w:val="20"/>
              </w:rPr>
              <w:t>级。</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建筑室内外活动场地所采用的防滑地面，防滑等级达到现行行业标准《建筑地面工程防滑技术规程》</w:t>
            </w:r>
            <w:r>
              <w:rPr>
                <w:rFonts w:hAnsi="宋体" w:cs="宋体"/>
                <w:sz w:val="20"/>
                <w:szCs w:val="22"/>
              </w:rPr>
              <w:t>JGJ/T 331</w:t>
            </w:r>
            <w:r>
              <w:rPr>
                <w:rFonts w:hAnsi="宋体" w:cs="宋体"/>
                <w:sz w:val="20"/>
              </w:rPr>
              <w:t>规定的A</w:t>
            </w:r>
            <w:r>
              <w:rPr>
                <w:rFonts w:hAnsi="宋体" w:cs="宋体"/>
                <w:sz w:val="20"/>
                <w:vertAlign w:val="subscript"/>
              </w:rPr>
              <w:t>d</w:t>
            </w:r>
            <w:r>
              <w:rPr>
                <w:rFonts w:hAnsi="宋体" w:cs="宋体"/>
                <w:sz w:val="20"/>
              </w:rPr>
              <w:t>、A</w:t>
            </w:r>
            <w:r>
              <w:rPr>
                <w:rFonts w:hAnsi="宋体" w:cs="宋体"/>
                <w:sz w:val="20"/>
                <w:vertAlign w:val="subscript"/>
              </w:rPr>
              <w:t>w</w:t>
            </w:r>
            <w:r>
              <w:rPr>
                <w:rFonts w:hAnsi="宋体" w:cs="宋体"/>
                <w:sz w:val="20"/>
              </w:rPr>
              <w:t>级。</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建筑坡道、楼梯踏步防滑等级达到现行行业标准《建筑地面工程防滑技术规程》</w:t>
            </w:r>
            <w:r>
              <w:rPr>
                <w:rFonts w:hAnsi="宋体" w:cs="宋体"/>
                <w:sz w:val="20"/>
                <w:szCs w:val="22"/>
              </w:rPr>
              <w:t>JGJ/T 331</w:t>
            </w:r>
            <w:r>
              <w:rPr>
                <w:rFonts w:hAnsi="宋体" w:cs="宋体"/>
                <w:sz w:val="20"/>
              </w:rPr>
              <w:t>规定的A</w:t>
            </w:r>
            <w:r>
              <w:rPr>
                <w:rFonts w:hAnsi="宋体" w:cs="宋体"/>
                <w:sz w:val="20"/>
                <w:vertAlign w:val="subscript"/>
              </w:rPr>
              <w:t>d</w:t>
            </w:r>
            <w:r>
              <w:rPr>
                <w:rFonts w:hAnsi="宋体" w:cs="宋体"/>
                <w:sz w:val="20"/>
              </w:rPr>
              <w:t>、A</w:t>
            </w:r>
            <w:r>
              <w:rPr>
                <w:rFonts w:hAnsi="宋体" w:cs="宋体"/>
                <w:sz w:val="20"/>
                <w:vertAlign w:val="subscript"/>
              </w:rPr>
              <w:t>w</w:t>
            </w:r>
            <w:r>
              <w:rPr>
                <w:rFonts w:hAnsi="宋体" w:cs="宋体"/>
                <w:sz w:val="20"/>
              </w:rPr>
              <w:t>级或按水平地面等级提高一级，并采用防滑条等防滑构造技术措施。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4.2.5</w:t>
            </w:r>
          </w:p>
        </w:tc>
        <w:tc>
          <w:tcPr>
            <w:tcW w:w="2646" w:type="pct"/>
            <w:gridSpan w:val="9"/>
            <w:vAlign w:val="center"/>
          </w:tcPr>
          <w:p>
            <w:pPr>
              <w:widowControl/>
              <w:rPr>
                <w:rFonts w:hAnsi="宋体" w:cs="宋体"/>
                <w:b/>
                <w:bCs/>
                <w:sz w:val="20"/>
              </w:rPr>
            </w:pPr>
            <w:r>
              <w:rPr>
                <w:rFonts w:hAnsi="宋体" w:cs="宋体"/>
                <w:sz w:val="20"/>
              </w:rPr>
              <w:t>采取人车分流措施，且步行和自行车交通系统有充足照明。</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4.2.6</w:t>
            </w:r>
          </w:p>
        </w:tc>
        <w:tc>
          <w:tcPr>
            <w:tcW w:w="512" w:type="pct"/>
            <w:vMerge w:val="restart"/>
            <w:vAlign w:val="center"/>
          </w:tcPr>
          <w:p>
            <w:pPr>
              <w:widowControl/>
              <w:rPr>
                <w:rFonts w:hAnsi="宋体" w:cs="宋体"/>
                <w:b/>
                <w:bCs/>
                <w:sz w:val="20"/>
              </w:rPr>
            </w:pPr>
            <w:r>
              <w:rPr>
                <w:rFonts w:hAnsi="宋体" w:cs="宋体"/>
                <w:sz w:val="20"/>
              </w:rPr>
              <w:t>采取提升建筑适变性的措施。</w:t>
            </w:r>
          </w:p>
        </w:tc>
        <w:tc>
          <w:tcPr>
            <w:tcW w:w="2134" w:type="pct"/>
            <w:gridSpan w:val="8"/>
            <w:vAlign w:val="center"/>
          </w:tcPr>
          <w:p>
            <w:pPr>
              <w:widowControl/>
              <w:rPr>
                <w:rFonts w:hAnsi="宋体" w:cs="宋体"/>
                <w:sz w:val="20"/>
              </w:rPr>
            </w:pPr>
            <w:r>
              <w:rPr>
                <w:rFonts w:hAnsi="宋体" w:cs="宋体"/>
                <w:sz w:val="20"/>
              </w:rPr>
              <w:t>采取通用开放、灵活可变的使用空间设计，或采取建筑使用功能可变措施。</w:t>
            </w:r>
          </w:p>
        </w:tc>
        <w:tc>
          <w:tcPr>
            <w:tcW w:w="391" w:type="pct"/>
            <w:vAlign w:val="center"/>
          </w:tcPr>
          <w:p>
            <w:pPr>
              <w:widowControl/>
              <w:jc w:val="center"/>
              <w:rPr>
                <w:rFonts w:hAnsi="宋体" w:cs="宋体"/>
                <w:b/>
                <w:bCs/>
                <w:sz w:val="20"/>
              </w:rPr>
            </w:pPr>
            <w:r>
              <w:rPr>
                <w:rFonts w:hAnsi="宋体" w:cs="宋体"/>
                <w:b/>
                <w:bCs/>
                <w:sz w:val="20"/>
              </w:rPr>
              <w:t>7</w:t>
            </w:r>
          </w:p>
        </w:tc>
        <w:tc>
          <w:tcPr>
            <w:tcW w:w="375" w:type="pct"/>
            <w:vMerge w:val="restart"/>
            <w:vAlign w:val="center"/>
          </w:tcPr>
          <w:p>
            <w:pPr>
              <w:widowControl/>
              <w:jc w:val="center"/>
              <w:rPr>
                <w:rFonts w:hAnsi="宋体" w:cs="宋体"/>
                <w:b/>
                <w:bCs/>
                <w:sz w:val="20"/>
              </w:rPr>
            </w:pPr>
            <w:r>
              <w:rPr>
                <w:rFonts w:hAnsi="宋体" w:cs="宋体"/>
                <w:b/>
                <w:bCs/>
                <w:sz w:val="20"/>
              </w:rPr>
              <w:t>18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建筑结构与建筑设备管线分离。</w:t>
            </w:r>
          </w:p>
        </w:tc>
        <w:tc>
          <w:tcPr>
            <w:tcW w:w="391" w:type="pct"/>
            <w:vAlign w:val="center"/>
          </w:tcPr>
          <w:p>
            <w:pPr>
              <w:widowControl/>
              <w:jc w:val="center"/>
              <w:rPr>
                <w:rFonts w:hAnsi="宋体" w:cs="宋体"/>
                <w:b/>
                <w:bCs/>
                <w:sz w:val="20"/>
              </w:rPr>
            </w:pPr>
            <w:r>
              <w:rPr>
                <w:rFonts w:hAnsi="宋体" w:cs="宋体"/>
                <w:b/>
                <w:bCs/>
                <w:sz w:val="20"/>
              </w:rPr>
              <w:t>7</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采用与建筑功能和空间变化相适应的设备设施布置方式或控制方式。</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4.2.7</w:t>
            </w:r>
          </w:p>
        </w:tc>
        <w:tc>
          <w:tcPr>
            <w:tcW w:w="512" w:type="pct"/>
            <w:vMerge w:val="restart"/>
            <w:vAlign w:val="center"/>
          </w:tcPr>
          <w:p>
            <w:pPr>
              <w:widowControl/>
              <w:rPr>
                <w:rFonts w:hAnsi="宋体" w:cs="宋体"/>
                <w:b/>
                <w:bCs/>
                <w:sz w:val="20"/>
              </w:rPr>
            </w:pPr>
            <w:r>
              <w:rPr>
                <w:rFonts w:hAnsi="宋体" w:cs="宋体"/>
                <w:sz w:val="20"/>
              </w:rPr>
              <w:t>采取提升建筑部品部件耐久性的措施。</w:t>
            </w:r>
          </w:p>
        </w:tc>
        <w:tc>
          <w:tcPr>
            <w:tcW w:w="2134" w:type="pct"/>
            <w:gridSpan w:val="8"/>
            <w:vAlign w:val="center"/>
          </w:tcPr>
          <w:p>
            <w:pPr>
              <w:widowControl/>
              <w:rPr>
                <w:rFonts w:hAnsi="宋体" w:cs="宋体"/>
                <w:sz w:val="20"/>
              </w:rPr>
            </w:pPr>
            <w:r>
              <w:rPr>
                <w:rFonts w:hAnsi="宋体" w:cs="宋体"/>
                <w:sz w:val="20"/>
              </w:rPr>
              <w:t>使用耐腐蚀、抗老化、耐久性能好的管材、管线、管件。</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活动配件选用长寿命产品，并考虑部品组合的同寿命性；不同使用寿命的部品组合时，采用便于分别拆换、更新和升级的构造。</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4.2.8</w:t>
            </w:r>
          </w:p>
        </w:tc>
        <w:tc>
          <w:tcPr>
            <w:tcW w:w="512" w:type="pct"/>
            <w:vMerge w:val="restart"/>
            <w:shd w:val="clear" w:color="000000" w:fill="FFFFFF"/>
            <w:vAlign w:val="center"/>
          </w:tcPr>
          <w:p>
            <w:pPr>
              <w:widowControl/>
              <w:rPr>
                <w:rFonts w:hAnsi="宋体" w:cs="宋体"/>
                <w:b/>
                <w:bCs/>
                <w:sz w:val="20"/>
              </w:rPr>
            </w:pPr>
            <w:r>
              <w:rPr>
                <w:rFonts w:hAnsi="宋体" w:cs="宋体"/>
                <w:sz w:val="20"/>
              </w:rPr>
              <w:t>提高建筑结构材料的耐久性</w:t>
            </w:r>
          </w:p>
        </w:tc>
        <w:tc>
          <w:tcPr>
            <w:tcW w:w="2134" w:type="pct"/>
            <w:gridSpan w:val="8"/>
            <w:shd w:val="clear" w:color="000000" w:fill="FFFFFF"/>
            <w:vAlign w:val="center"/>
          </w:tcPr>
          <w:p>
            <w:pPr>
              <w:widowControl/>
              <w:rPr>
                <w:rFonts w:hAnsi="宋体" w:cs="宋体"/>
                <w:sz w:val="20"/>
              </w:rPr>
            </w:pPr>
            <w:r>
              <w:rPr>
                <w:rFonts w:hAnsi="宋体" w:cs="宋体"/>
                <w:sz w:val="20"/>
              </w:rPr>
              <w:t>按100年进行耐久性设计。</w:t>
            </w:r>
          </w:p>
        </w:tc>
        <w:tc>
          <w:tcPr>
            <w:tcW w:w="391" w:type="pct"/>
            <w:shd w:val="clear" w:color="000000" w:fill="FFFFFF"/>
            <w:vAlign w:val="center"/>
          </w:tcPr>
          <w:p>
            <w:pPr>
              <w:widowControl/>
              <w:jc w:val="center"/>
              <w:rPr>
                <w:rFonts w:hAnsi="宋体" w:cs="宋体"/>
                <w:b/>
                <w:bCs/>
                <w:sz w:val="20"/>
              </w:rPr>
            </w:pPr>
            <w:r>
              <w:rPr>
                <w:rFonts w:hAnsi="宋体" w:cs="宋体"/>
                <w:b/>
                <w:bCs/>
                <w:sz w:val="20"/>
              </w:rPr>
              <w:t>10</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10</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widowControl/>
              <w:rPr>
                <w:rFonts w:hAnsi="宋体" w:cs="宋体"/>
                <w:sz w:val="20"/>
              </w:rPr>
            </w:pPr>
            <w:r>
              <w:rPr>
                <w:rFonts w:hAnsi="宋体" w:cs="宋体"/>
                <w:sz w:val="20"/>
              </w:rPr>
              <w:t>采用耐久性能好的建筑结构材料，满足下列条件之一：</w:t>
            </w:r>
          </w:p>
          <w:p>
            <w:pPr>
              <w:widowControl/>
              <w:rPr>
                <w:rFonts w:hAnsi="宋体" w:cs="宋体"/>
                <w:bCs/>
                <w:sz w:val="20"/>
              </w:rPr>
            </w:pPr>
            <w:r>
              <w:rPr>
                <w:rFonts w:hAnsi="宋体" w:cs="宋体"/>
                <w:bCs/>
                <w:sz w:val="20"/>
              </w:rPr>
              <w:t>□对于混凝土构件，提高钢筋保护层厚度或采用高耐久混凝土；</w:t>
            </w:r>
          </w:p>
          <w:p>
            <w:pPr>
              <w:pStyle w:val="13"/>
              <w:ind w:firstLine="0" w:firstLineChars="0"/>
              <w:jc w:val="both"/>
              <w:rPr>
                <w:rFonts w:hAnsi="宋体" w:eastAsia="宋体" w:cs="宋体"/>
                <w:bCs/>
                <w:lang w:eastAsia="zh-CN"/>
              </w:rPr>
            </w:pPr>
            <w:r>
              <w:rPr>
                <w:rFonts w:hAnsi="宋体" w:eastAsia="宋体" w:cs="宋体"/>
                <w:bCs/>
                <w:lang w:eastAsia="zh-CN"/>
              </w:rPr>
              <w:t>□对于钢构件，采用耐候结构钢及耐候型防腐涂料；</w:t>
            </w:r>
          </w:p>
          <w:p>
            <w:pPr>
              <w:pStyle w:val="13"/>
              <w:ind w:firstLine="0" w:firstLineChars="0"/>
              <w:jc w:val="both"/>
              <w:rPr>
                <w:rFonts w:hAnsi="宋体" w:eastAsia="宋体" w:cs="宋体"/>
                <w:lang w:eastAsia="zh-CN"/>
              </w:rPr>
            </w:pPr>
            <w:r>
              <w:rPr>
                <w:rFonts w:hAnsi="宋体" w:eastAsia="宋体" w:cs="宋体"/>
                <w:bCs/>
                <w:lang w:eastAsia="zh-CN"/>
              </w:rPr>
              <w:t>□对于木构件，采用防腐木材、耐久木材或耐久木制品。</w:t>
            </w:r>
          </w:p>
        </w:tc>
        <w:tc>
          <w:tcPr>
            <w:tcW w:w="391" w:type="pct"/>
            <w:shd w:val="clear" w:color="auto" w:fill="auto"/>
            <w:vAlign w:val="center"/>
          </w:tcPr>
          <w:p>
            <w:pPr>
              <w:widowControl/>
              <w:jc w:val="center"/>
              <w:rPr>
                <w:rFonts w:hAnsi="宋体" w:cs="宋体"/>
                <w:b/>
                <w:bCs/>
                <w:sz w:val="20"/>
              </w:rPr>
            </w:pPr>
            <w:r>
              <w:rPr>
                <w:rFonts w:hAnsi="宋体" w:cs="宋体"/>
                <w:b/>
                <w:bCs/>
                <w:sz w:val="20"/>
              </w:rPr>
              <w:t>10</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4.2.9</w:t>
            </w:r>
          </w:p>
        </w:tc>
        <w:tc>
          <w:tcPr>
            <w:tcW w:w="512" w:type="pct"/>
            <w:vMerge w:val="restart"/>
            <w:vAlign w:val="center"/>
          </w:tcPr>
          <w:p>
            <w:pPr>
              <w:widowControl/>
              <w:rPr>
                <w:rFonts w:hAnsi="宋体" w:cs="宋体"/>
                <w:b/>
                <w:bCs/>
                <w:sz w:val="20"/>
              </w:rPr>
            </w:pPr>
            <w:r>
              <w:rPr>
                <w:rFonts w:hAnsi="宋体" w:cs="宋体"/>
                <w:sz w:val="20"/>
              </w:rPr>
              <w:t>合理采用耐久性好、易维护的装饰装修建筑材料。</w:t>
            </w:r>
          </w:p>
        </w:tc>
        <w:tc>
          <w:tcPr>
            <w:tcW w:w="2134" w:type="pct"/>
            <w:gridSpan w:val="8"/>
            <w:vAlign w:val="center"/>
          </w:tcPr>
          <w:p>
            <w:pPr>
              <w:widowControl/>
              <w:rPr>
                <w:rFonts w:hAnsi="宋体" w:cs="宋体"/>
                <w:sz w:val="20"/>
              </w:rPr>
            </w:pPr>
            <w:r>
              <w:rPr>
                <w:rFonts w:hAnsi="宋体" w:cs="宋体"/>
                <w:sz w:val="20"/>
              </w:rPr>
              <w:t>采用耐久性好的外饰面材料。</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采用耐久性好的防水和密封材料。</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采用耐久性好、易维护的室内装饰装修材料。</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r>
              <w:rPr>
                <w:rFonts w:hAnsi="宋体" w:cs="宋体"/>
                <w:b/>
                <w:bCs/>
                <w:sz w:val="20"/>
              </w:rPr>
              <w:t>健康舒适</w:t>
            </w:r>
          </w:p>
        </w:tc>
        <w:tc>
          <w:tcPr>
            <w:tcW w:w="492" w:type="pct"/>
            <w:noWrap/>
            <w:vAlign w:val="center"/>
          </w:tcPr>
          <w:p>
            <w:pPr>
              <w:widowControl/>
              <w:rPr>
                <w:rFonts w:hAnsi="宋体" w:cs="宋体"/>
                <w:sz w:val="20"/>
              </w:rPr>
            </w:pPr>
            <w:r>
              <w:rPr>
                <w:rFonts w:hAnsi="宋体" w:cs="宋体"/>
                <w:sz w:val="20"/>
              </w:rPr>
              <w:t>5.1.1</w:t>
            </w:r>
          </w:p>
        </w:tc>
        <w:tc>
          <w:tcPr>
            <w:tcW w:w="2646" w:type="pct"/>
            <w:gridSpan w:val="9"/>
            <w:vAlign w:val="center"/>
          </w:tcPr>
          <w:p>
            <w:pPr>
              <w:rPr>
                <w:rFonts w:hAnsi="宋体" w:cs="宋体"/>
                <w:bCs/>
                <w:sz w:val="20"/>
              </w:rPr>
            </w:pPr>
            <w:r>
              <w:rPr>
                <w:rFonts w:hAnsi="宋体" w:cs="宋体"/>
                <w:bCs/>
                <w:sz w:val="20"/>
              </w:rPr>
              <w:t>室内空气中的氨、甲醛、苯、总挥发性有机物、氡等污染物浓度应符合现行国家标准《室内空气质量标准》GB/T 18883的有关规定。建筑室内和建筑主出入口处应禁止吸烟，并应在醒目位置设置禁烟标志。</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5.1.2</w:t>
            </w:r>
          </w:p>
        </w:tc>
        <w:tc>
          <w:tcPr>
            <w:tcW w:w="2646" w:type="pct"/>
            <w:gridSpan w:val="9"/>
            <w:vAlign w:val="center"/>
          </w:tcPr>
          <w:p>
            <w:pPr>
              <w:rPr>
                <w:rFonts w:hAnsi="宋体" w:cs="宋体"/>
                <w:bCs/>
                <w:sz w:val="20"/>
              </w:rPr>
            </w:pPr>
            <w:r>
              <w:rPr>
                <w:rFonts w:hAnsi="宋体" w:cs="宋体"/>
                <w:bCs/>
                <w:sz w:val="20"/>
              </w:rPr>
              <w:t>应采取措施避免厨房、餐厅、打印复印室、卫生间、地下车库等区域的空气和污染物串通到其他空间；应防止厨房、卫生间的排气倒灌。</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5.1.3</w:t>
            </w:r>
          </w:p>
        </w:tc>
        <w:tc>
          <w:tcPr>
            <w:tcW w:w="512" w:type="pct"/>
            <w:vMerge w:val="restart"/>
            <w:vAlign w:val="center"/>
          </w:tcPr>
          <w:p>
            <w:pPr>
              <w:rPr>
                <w:rFonts w:hAnsi="宋体" w:cs="宋体"/>
                <w:bCs/>
                <w:sz w:val="20"/>
              </w:rPr>
            </w:pPr>
            <w:r>
              <w:rPr>
                <w:rFonts w:hAnsi="宋体" w:cs="宋体"/>
                <w:bCs/>
                <w:sz w:val="20"/>
              </w:rPr>
              <w:t>给排水系统的设置应符合下列规定</w:t>
            </w:r>
          </w:p>
        </w:tc>
        <w:tc>
          <w:tcPr>
            <w:tcW w:w="2134" w:type="pct"/>
            <w:gridSpan w:val="8"/>
            <w:vAlign w:val="center"/>
          </w:tcPr>
          <w:p>
            <w:pPr>
              <w:rPr>
                <w:rFonts w:hAnsi="宋体" w:cs="宋体"/>
                <w:bCs/>
                <w:sz w:val="20"/>
              </w:rPr>
            </w:pPr>
            <w:r>
              <w:rPr>
                <w:rFonts w:hAnsi="宋体" w:cs="宋体"/>
                <w:bCs/>
                <w:sz w:val="20"/>
              </w:rPr>
              <w:t>生活饮用水水质应满足现行国家标准《生活饮用水卫生标准》GB 5749的要求；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应制定水池、水箱等储水设施定期清洗消毒计划并实施，且生活饮用水储水设施每半年清洗消毒应不少于1次；</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应使用构造内自带水封的便器，且其水封深度不应小于50mm；</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非传统水源管道和设备应设置明确、清晰的永久性标识。</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5.1.4</w:t>
            </w:r>
          </w:p>
        </w:tc>
        <w:tc>
          <w:tcPr>
            <w:tcW w:w="512" w:type="pct"/>
            <w:vMerge w:val="restart"/>
            <w:vAlign w:val="center"/>
          </w:tcPr>
          <w:p>
            <w:pPr>
              <w:rPr>
                <w:rFonts w:hAnsi="宋体" w:cs="宋体"/>
                <w:bCs/>
                <w:sz w:val="20"/>
              </w:rPr>
            </w:pPr>
            <w:r>
              <w:rPr>
                <w:rFonts w:hAnsi="宋体" w:cs="宋体"/>
                <w:bCs/>
                <w:sz w:val="20"/>
              </w:rPr>
              <w:t>主要功能房间的室内噪声级和隔声性能应符合下列规定</w:t>
            </w:r>
          </w:p>
        </w:tc>
        <w:tc>
          <w:tcPr>
            <w:tcW w:w="2134" w:type="pct"/>
            <w:gridSpan w:val="8"/>
            <w:vAlign w:val="center"/>
          </w:tcPr>
          <w:p>
            <w:pPr>
              <w:rPr>
                <w:rFonts w:hAnsi="宋体" w:cs="宋体"/>
                <w:bCs/>
                <w:sz w:val="20"/>
              </w:rPr>
            </w:pPr>
            <w:r>
              <w:rPr>
                <w:rFonts w:hAnsi="宋体" w:cs="宋体"/>
                <w:bCs/>
                <w:sz w:val="20"/>
              </w:rPr>
              <w:t>室内噪声级应满足现行国家标准《民用建筑隔声设计规范》GB 50118中的低限要求；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外墙、隔墙、楼板和门窗的隔声性能应满足现行国家标准《民用建筑隔声设计规范》GB50118中的低限要求。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5.1.5</w:t>
            </w:r>
          </w:p>
        </w:tc>
        <w:tc>
          <w:tcPr>
            <w:tcW w:w="512" w:type="pct"/>
            <w:vMerge w:val="restart"/>
            <w:vAlign w:val="center"/>
          </w:tcPr>
          <w:p>
            <w:pPr>
              <w:rPr>
                <w:rFonts w:hAnsi="宋体" w:cs="宋体"/>
                <w:bCs/>
                <w:sz w:val="20"/>
              </w:rPr>
            </w:pPr>
            <w:r>
              <w:rPr>
                <w:rFonts w:hAnsi="宋体" w:cs="宋体"/>
                <w:bCs/>
                <w:sz w:val="20"/>
              </w:rPr>
              <w:t>建筑照明应符合下列规定：</w:t>
            </w:r>
          </w:p>
        </w:tc>
        <w:tc>
          <w:tcPr>
            <w:tcW w:w="2134" w:type="pct"/>
            <w:gridSpan w:val="8"/>
            <w:vAlign w:val="center"/>
          </w:tcPr>
          <w:p>
            <w:pPr>
              <w:rPr>
                <w:rFonts w:hAnsi="宋体" w:cs="宋体"/>
                <w:bCs/>
                <w:sz w:val="20"/>
              </w:rPr>
            </w:pPr>
            <w:r>
              <w:rPr>
                <w:rFonts w:hAnsi="宋体" w:cs="宋体"/>
                <w:bCs/>
                <w:sz w:val="20"/>
              </w:rPr>
              <w:t>照明数量和质量应符合现行国家标准《建筑照明设计标准》GB 50034的规定；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人员长期停留的场所应采用符合现行国家标准《灯和灯系统的光生物安全性》GB/T 20145规定的无危险类照明产品；</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选用LED照明产品的光输出波形的波动深度应满足现行国家标准《LED室内照明应用技术要求》GB/T 31831的规定。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5.1.6</w:t>
            </w:r>
          </w:p>
        </w:tc>
        <w:tc>
          <w:tcPr>
            <w:tcW w:w="2646" w:type="pct"/>
            <w:gridSpan w:val="9"/>
            <w:vAlign w:val="center"/>
          </w:tcPr>
          <w:p>
            <w:pPr>
              <w:rPr>
                <w:rFonts w:hAnsi="宋体" w:cs="宋体"/>
                <w:bCs/>
                <w:sz w:val="20"/>
              </w:rPr>
            </w:pPr>
            <w:r>
              <w:rPr>
                <w:rFonts w:hAnsi="宋体" w:cs="宋体"/>
                <w:bCs/>
                <w:sz w:val="20"/>
              </w:rPr>
              <w:t>应采取措施保障室内热环境。采用集中供暖空调系统的建筑，房间内的温度、湿度、新风量等设计参数应符合现行国家标准《民用建筑供暖通风与空气调节设计规范》GB 50736的有关规定；采用非集中供暖空调系统的建筑，应具有保障室内热环境的措施或预留条件。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5.1.7</w:t>
            </w:r>
          </w:p>
        </w:tc>
        <w:tc>
          <w:tcPr>
            <w:tcW w:w="512" w:type="pct"/>
            <w:vMerge w:val="restart"/>
            <w:vAlign w:val="center"/>
          </w:tcPr>
          <w:p>
            <w:pPr>
              <w:rPr>
                <w:rFonts w:hAnsi="宋体" w:cs="宋体"/>
                <w:bCs/>
                <w:sz w:val="20"/>
              </w:rPr>
            </w:pPr>
            <w:r>
              <w:rPr>
                <w:rFonts w:hAnsi="宋体" w:cs="宋体"/>
                <w:bCs/>
                <w:sz w:val="20"/>
              </w:rPr>
              <w:t>围护结构热工性能应符合下列规定：</w:t>
            </w:r>
          </w:p>
        </w:tc>
        <w:tc>
          <w:tcPr>
            <w:tcW w:w="2134" w:type="pct"/>
            <w:gridSpan w:val="8"/>
            <w:vAlign w:val="center"/>
          </w:tcPr>
          <w:p>
            <w:pPr>
              <w:rPr>
                <w:rFonts w:hAnsi="宋体" w:cs="宋体"/>
                <w:bCs/>
                <w:sz w:val="20"/>
              </w:rPr>
            </w:pPr>
            <w:r>
              <w:rPr>
                <w:rFonts w:hAnsi="宋体" w:cs="宋体"/>
                <w:bCs/>
                <w:sz w:val="20"/>
              </w:rPr>
              <w:t>在室内设计温度、湿度条件下，建筑非透光围护结构内表面不得结露；</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供暖建筑的屋面、外墙内部不应产生冷凝；</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屋顶和外墙隔热性能应满足现行国家标准《民用建筑热工设计规范》GB 50176的要求。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5.1.8</w:t>
            </w:r>
          </w:p>
        </w:tc>
        <w:tc>
          <w:tcPr>
            <w:tcW w:w="2646" w:type="pct"/>
            <w:gridSpan w:val="9"/>
            <w:vAlign w:val="center"/>
          </w:tcPr>
          <w:p>
            <w:pPr>
              <w:rPr>
                <w:rFonts w:hAnsi="宋体" w:cs="宋体"/>
                <w:bCs/>
                <w:sz w:val="20"/>
              </w:rPr>
            </w:pPr>
            <w:r>
              <w:rPr>
                <w:rFonts w:hAnsi="宋体" w:cs="宋体"/>
                <w:bCs/>
                <w:sz w:val="20"/>
              </w:rPr>
              <w:t>主要功能房间应具有现场独立控制的热环境调节装置。</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5.1.9</w:t>
            </w:r>
          </w:p>
        </w:tc>
        <w:tc>
          <w:tcPr>
            <w:tcW w:w="2646" w:type="pct"/>
            <w:gridSpan w:val="9"/>
            <w:vAlign w:val="center"/>
          </w:tcPr>
          <w:p>
            <w:pPr>
              <w:rPr>
                <w:rFonts w:hAnsi="宋体" w:cs="宋体"/>
                <w:bCs/>
                <w:sz w:val="20"/>
              </w:rPr>
            </w:pPr>
            <w:r>
              <w:rPr>
                <w:rFonts w:hAnsi="宋体" w:cs="宋体"/>
                <w:bCs/>
                <w:sz w:val="20"/>
              </w:rPr>
              <w:t>地下车库应设置与排风设备联动的一氧化碳浓度监测装置。</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5.2.1</w:t>
            </w:r>
          </w:p>
        </w:tc>
        <w:tc>
          <w:tcPr>
            <w:tcW w:w="512" w:type="pct"/>
            <w:vMerge w:val="restart"/>
            <w:vAlign w:val="center"/>
          </w:tcPr>
          <w:p>
            <w:pPr>
              <w:rPr>
                <w:rFonts w:hAnsi="宋体" w:cs="宋体"/>
                <w:bCs/>
                <w:sz w:val="20"/>
              </w:rPr>
            </w:pPr>
            <w:r>
              <w:rPr>
                <w:rFonts w:hAnsi="宋体" w:cs="宋体"/>
                <w:bCs/>
                <w:sz w:val="20"/>
              </w:rPr>
              <w:t>控制室内主要空气污染物的浓度。</w:t>
            </w:r>
          </w:p>
        </w:tc>
        <w:tc>
          <w:tcPr>
            <w:tcW w:w="2134" w:type="pct"/>
            <w:gridSpan w:val="8"/>
            <w:vAlign w:val="center"/>
          </w:tcPr>
          <w:p>
            <w:pPr>
              <w:rPr>
                <w:rFonts w:hAnsi="宋体" w:cs="宋体"/>
                <w:bCs/>
                <w:sz w:val="20"/>
              </w:rPr>
            </w:pPr>
            <w:r>
              <w:rPr>
                <w:rFonts w:hAnsi="宋体" w:cs="宋体"/>
                <w:bCs/>
                <w:sz w:val="20"/>
              </w:rPr>
              <w:t>氨、甲醛、苯、总挥发性有机物、氡等污染物浓度低于现行国家标准《室内空气质量标准》GB/T 18883规定限值10%，得3分；低于20%，得6分。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restart"/>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室内PM</w:t>
            </w:r>
            <w:r>
              <w:rPr>
                <w:rFonts w:hAnsi="宋体" w:cs="宋体"/>
                <w:bCs/>
                <w:sz w:val="20"/>
                <w:vertAlign w:val="subscript"/>
              </w:rPr>
              <w:t>2.5</w:t>
            </w:r>
            <w:r>
              <w:rPr>
                <w:rFonts w:hAnsi="宋体" w:cs="宋体"/>
                <w:bCs/>
                <w:sz w:val="20"/>
              </w:rPr>
              <w:t>年均浓度不高于25ug/m</w:t>
            </w:r>
            <w:r>
              <w:rPr>
                <w:rFonts w:hAnsi="宋体" w:cs="宋体"/>
                <w:bCs/>
                <w:sz w:val="20"/>
                <w:vertAlign w:val="superscript"/>
              </w:rPr>
              <w:t>3</w:t>
            </w:r>
            <w:r>
              <w:rPr>
                <w:rFonts w:hAnsi="宋体" w:cs="宋体"/>
                <w:bCs/>
                <w:sz w:val="20"/>
              </w:rPr>
              <w:t>，且室内PM</w:t>
            </w:r>
            <w:r>
              <w:rPr>
                <w:rFonts w:hAnsi="宋体" w:cs="宋体"/>
                <w:bCs/>
                <w:sz w:val="20"/>
                <w:vertAlign w:val="subscript"/>
              </w:rPr>
              <w:t>10</w:t>
            </w:r>
            <w:r>
              <w:rPr>
                <w:rFonts w:hAnsi="宋体" w:cs="宋体"/>
                <w:bCs/>
                <w:sz w:val="20"/>
              </w:rPr>
              <w:t>年均浓度不高于50ug/m</w:t>
            </w:r>
            <w:r>
              <w:rPr>
                <w:rFonts w:hAnsi="宋体" w:cs="宋体"/>
                <w:bCs/>
                <w:sz w:val="20"/>
                <w:vertAlign w:val="superscript"/>
              </w:rPr>
              <w:t>3</w:t>
            </w:r>
            <w:r>
              <w:rPr>
                <w:rFonts w:hAnsi="宋体" w:cs="宋体"/>
                <w:bCs/>
                <w:sz w:val="20"/>
              </w:rPr>
              <w:t>。</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5.2.2</w:t>
            </w:r>
          </w:p>
        </w:tc>
        <w:tc>
          <w:tcPr>
            <w:tcW w:w="2646" w:type="pct"/>
            <w:gridSpan w:val="9"/>
            <w:vAlign w:val="center"/>
          </w:tcPr>
          <w:p>
            <w:pPr>
              <w:rPr>
                <w:rFonts w:hAnsi="宋体" w:cs="宋体"/>
                <w:b/>
                <w:bCs/>
                <w:sz w:val="20"/>
              </w:rPr>
            </w:pPr>
            <w:r>
              <w:rPr>
                <w:rFonts w:hAnsi="宋体" w:cs="宋体"/>
                <w:bCs/>
                <w:sz w:val="20"/>
              </w:rPr>
              <w:t>选用的装饰装修材料满足国家现行绿色产品评价标准中对有害物质限量的要求。</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5.2.3</w:t>
            </w:r>
          </w:p>
        </w:tc>
        <w:tc>
          <w:tcPr>
            <w:tcW w:w="512" w:type="pct"/>
            <w:vMerge w:val="restart"/>
            <w:vAlign w:val="center"/>
          </w:tcPr>
          <w:p>
            <w:pPr>
              <w:rPr>
                <w:rFonts w:hAnsi="宋体" w:cs="宋体"/>
                <w:bCs/>
                <w:sz w:val="20"/>
              </w:rPr>
            </w:pPr>
            <w:r>
              <w:rPr>
                <w:rFonts w:hAnsi="宋体" w:cs="宋体"/>
                <w:bCs/>
                <w:sz w:val="20"/>
              </w:rPr>
              <w:t>水质满足国标要求</w:t>
            </w:r>
          </w:p>
        </w:tc>
        <w:tc>
          <w:tcPr>
            <w:tcW w:w="2134" w:type="pct"/>
            <w:gridSpan w:val="8"/>
            <w:vAlign w:val="center"/>
          </w:tcPr>
          <w:p>
            <w:pPr>
              <w:rPr>
                <w:rFonts w:hAnsi="宋体" w:cs="宋体"/>
                <w:bCs/>
                <w:sz w:val="20"/>
              </w:rPr>
            </w:pPr>
            <w:r>
              <w:rPr>
                <w:rFonts w:hAnsi="宋体" w:cs="宋体"/>
                <w:bCs/>
                <w:sz w:val="20"/>
              </w:rPr>
              <w:t>水质满足国家现行有关标准的要求。</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除生活饮用水供水系统，未设置其他供水系统时，直接得分。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5.2.4</w:t>
            </w:r>
          </w:p>
        </w:tc>
        <w:tc>
          <w:tcPr>
            <w:tcW w:w="512" w:type="pct"/>
            <w:vMerge w:val="restart"/>
            <w:vAlign w:val="center"/>
          </w:tcPr>
          <w:p>
            <w:pPr>
              <w:rPr>
                <w:rFonts w:hAnsi="宋体" w:cs="宋体"/>
                <w:bCs/>
                <w:sz w:val="20"/>
              </w:rPr>
            </w:pPr>
            <w:r>
              <w:rPr>
                <w:rFonts w:hAnsi="宋体" w:cs="宋体"/>
                <w:bCs/>
                <w:sz w:val="20"/>
              </w:rPr>
              <w:t>储水设施采取措施满足卫生要求</w:t>
            </w:r>
          </w:p>
        </w:tc>
        <w:tc>
          <w:tcPr>
            <w:tcW w:w="2134" w:type="pct"/>
            <w:gridSpan w:val="8"/>
            <w:vAlign w:val="center"/>
          </w:tcPr>
          <w:p>
            <w:pPr>
              <w:rPr>
                <w:rFonts w:hAnsi="宋体" w:cs="宋体"/>
                <w:bCs/>
                <w:sz w:val="20"/>
              </w:rPr>
            </w:pPr>
            <w:r>
              <w:rPr>
                <w:rFonts w:hAnsi="宋体" w:cs="宋体"/>
                <w:bCs/>
                <w:sz w:val="20"/>
              </w:rPr>
              <w:t>使用符合国家现行标准要求的成品水箱。</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restart"/>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rPr>
                <w:rFonts w:hAnsi="宋体" w:cs="宋体"/>
                <w:bCs/>
                <w:sz w:val="20"/>
              </w:rPr>
            </w:pPr>
            <w:r>
              <w:rPr>
                <w:rFonts w:hAnsi="宋体" w:cs="宋体"/>
                <w:bCs/>
                <w:sz w:val="20"/>
              </w:rPr>
              <w:t>采取保证储水不变质的措施。</w:t>
            </w:r>
          </w:p>
        </w:tc>
        <w:tc>
          <w:tcPr>
            <w:tcW w:w="391" w:type="pct"/>
            <w:shd w:val="clear" w:color="auto" w:fill="auto"/>
            <w:vAlign w:val="center"/>
          </w:tcPr>
          <w:p>
            <w:pPr>
              <w:widowControl/>
              <w:jc w:val="center"/>
              <w:rPr>
                <w:rFonts w:hAnsi="宋体" w:cs="宋体"/>
                <w:b/>
                <w:bCs/>
                <w:sz w:val="20"/>
              </w:rPr>
            </w:pPr>
            <w:r>
              <w:rPr>
                <w:rFonts w:hAnsi="宋体" w:cs="宋体"/>
                <w:b/>
                <w:bCs/>
                <w:sz w:val="20"/>
              </w:rPr>
              <w:t>5</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rPr>
                <w:rFonts w:hAnsi="宋体" w:cs="宋体"/>
                <w:bCs/>
                <w:sz w:val="20"/>
              </w:rPr>
            </w:pPr>
            <w:r>
              <w:rPr>
                <w:rFonts w:hAnsi="宋体" w:cs="宋体"/>
                <w:bCs/>
                <w:sz w:val="20"/>
              </w:rPr>
              <w:t>未设置生活饮用水储水设施直接得分。</w:t>
            </w:r>
          </w:p>
        </w:tc>
        <w:tc>
          <w:tcPr>
            <w:tcW w:w="391" w:type="pct"/>
            <w:shd w:val="clear" w:color="auto" w:fill="auto"/>
            <w:vAlign w:val="center"/>
          </w:tcPr>
          <w:p>
            <w:pPr>
              <w:widowControl/>
              <w:jc w:val="center"/>
              <w:rPr>
                <w:rFonts w:hAnsi="宋体" w:cs="宋体"/>
                <w:b/>
                <w:bCs/>
                <w:sz w:val="20"/>
              </w:rPr>
            </w:pPr>
            <w:r>
              <w:rPr>
                <w:rFonts w:hAnsi="宋体" w:cs="宋体"/>
                <w:b/>
                <w:bCs/>
                <w:sz w:val="20"/>
              </w:rPr>
              <w:t>9</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5.2.5</w:t>
            </w:r>
          </w:p>
        </w:tc>
        <w:tc>
          <w:tcPr>
            <w:tcW w:w="2646" w:type="pct"/>
            <w:gridSpan w:val="9"/>
            <w:vAlign w:val="center"/>
          </w:tcPr>
          <w:p>
            <w:pPr>
              <w:rPr>
                <w:rFonts w:hAnsi="宋体" w:cs="宋体"/>
                <w:bCs/>
                <w:sz w:val="20"/>
              </w:rPr>
            </w:pPr>
            <w:r>
              <w:rPr>
                <w:rFonts w:hAnsi="宋体" w:cs="宋体"/>
                <w:bCs/>
                <w:sz w:val="20"/>
              </w:rPr>
              <w:t>所有给排水管道、设备、设施设置明确、清晰的永久性标识。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5.2.6</w:t>
            </w:r>
          </w:p>
        </w:tc>
        <w:tc>
          <w:tcPr>
            <w:tcW w:w="2646" w:type="pct"/>
            <w:gridSpan w:val="9"/>
            <w:vAlign w:val="center"/>
          </w:tcPr>
          <w:p>
            <w:pPr>
              <w:rPr>
                <w:rFonts w:hAnsi="宋体" w:cs="宋体"/>
                <w:bCs/>
                <w:sz w:val="20"/>
              </w:rPr>
            </w:pPr>
            <w:r>
              <w:rPr>
                <w:rFonts w:hAnsi="宋体" w:cs="宋体"/>
                <w:bCs/>
                <w:sz w:val="20"/>
              </w:rPr>
              <w:t>采取措施优化主要功能房间的室内声环境，噪声级达到现行国家标准《民用建筑隔声设计规范》GB 50118中的低限标准限值和高要求标准限值的平均值，得4分；达到高要求标准限值8分。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5.2.7</w:t>
            </w:r>
          </w:p>
        </w:tc>
        <w:tc>
          <w:tcPr>
            <w:tcW w:w="512" w:type="pct"/>
            <w:vMerge w:val="restart"/>
            <w:vAlign w:val="center"/>
          </w:tcPr>
          <w:p>
            <w:pPr>
              <w:widowControl/>
              <w:rPr>
                <w:rFonts w:hAnsi="宋体" w:cs="宋体"/>
                <w:b/>
                <w:bCs/>
                <w:sz w:val="20"/>
              </w:rPr>
            </w:pPr>
            <w:r>
              <w:rPr>
                <w:rFonts w:hAnsi="宋体" w:cs="宋体"/>
                <w:sz w:val="20"/>
              </w:rPr>
              <w:t>主要功能房间的隔声性能良好。</w:t>
            </w:r>
          </w:p>
        </w:tc>
        <w:tc>
          <w:tcPr>
            <w:tcW w:w="2134" w:type="pct"/>
            <w:gridSpan w:val="8"/>
            <w:vAlign w:val="center"/>
          </w:tcPr>
          <w:p>
            <w:pPr>
              <w:rPr>
                <w:rFonts w:hAnsi="宋体" w:cs="宋体"/>
                <w:bCs/>
                <w:sz w:val="20"/>
              </w:rPr>
            </w:pPr>
            <w:r>
              <w:rPr>
                <w:rFonts w:hAnsi="宋体" w:cs="宋体"/>
                <w:bCs/>
                <w:sz w:val="20"/>
              </w:rPr>
              <w:t>构件及相邻房间之间的空气声隔声性能：高于低限标准限值和高要求标准限值的平均值，得3分；高要求标准限值，得5分。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楼板的撞击声隔声性能：高于低限标准限值和高要求标准限值的平均值，得3分；高要求标准限值，得5分。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5.2.8</w:t>
            </w:r>
          </w:p>
        </w:tc>
        <w:tc>
          <w:tcPr>
            <w:tcW w:w="512" w:type="pct"/>
            <w:vMerge w:val="restart"/>
            <w:vAlign w:val="center"/>
          </w:tcPr>
          <w:p>
            <w:pPr>
              <w:rPr>
                <w:rFonts w:hAnsi="宋体" w:cs="宋体"/>
                <w:bCs/>
                <w:sz w:val="20"/>
              </w:rPr>
            </w:pPr>
            <w:r>
              <w:rPr>
                <w:rFonts w:hAnsi="宋体" w:cs="宋体"/>
                <w:bCs/>
                <w:sz w:val="20"/>
              </w:rPr>
              <w:t>充分利用天然光</w:t>
            </w:r>
          </w:p>
        </w:tc>
        <w:tc>
          <w:tcPr>
            <w:tcW w:w="327" w:type="pct"/>
            <w:gridSpan w:val="4"/>
            <w:vAlign w:val="center"/>
          </w:tcPr>
          <w:p>
            <w:pPr>
              <w:jc w:val="center"/>
              <w:rPr>
                <w:rFonts w:hAnsi="宋体" w:cs="宋体"/>
                <w:bCs/>
                <w:sz w:val="20"/>
              </w:rPr>
            </w:pPr>
            <w:r>
              <w:rPr>
                <w:rFonts w:hAnsi="宋体" w:cs="宋体"/>
                <w:bCs/>
                <w:sz w:val="20"/>
              </w:rPr>
              <w:t>住宅建筑</w:t>
            </w:r>
          </w:p>
        </w:tc>
        <w:tc>
          <w:tcPr>
            <w:tcW w:w="1807" w:type="pct"/>
            <w:gridSpan w:val="4"/>
            <w:vAlign w:val="center"/>
          </w:tcPr>
          <w:p>
            <w:pPr>
              <w:rPr>
                <w:rFonts w:hAnsi="宋体" w:cs="宋体"/>
                <w:bCs/>
                <w:sz w:val="20"/>
              </w:rPr>
            </w:pPr>
            <w:r>
              <w:rPr>
                <w:rFonts w:hAnsi="宋体" w:cs="宋体"/>
                <w:bCs/>
                <w:sz w:val="20"/>
              </w:rPr>
              <w:t>主要功能空间至少60%面积比例区域采光照度值不低于300lx的小时数平均不少于8h/d。</w:t>
            </w:r>
          </w:p>
        </w:tc>
        <w:tc>
          <w:tcPr>
            <w:tcW w:w="391" w:type="pct"/>
            <w:vAlign w:val="center"/>
          </w:tcPr>
          <w:p>
            <w:pPr>
              <w:widowControl/>
              <w:jc w:val="center"/>
              <w:rPr>
                <w:rFonts w:hAnsi="宋体" w:cs="宋体"/>
                <w:b/>
                <w:bCs/>
                <w:sz w:val="20"/>
              </w:rPr>
            </w:pPr>
            <w:r>
              <w:rPr>
                <w:rFonts w:hAnsi="宋体" w:cs="宋体"/>
                <w:b/>
                <w:bCs/>
                <w:sz w:val="20"/>
              </w:rPr>
              <w:t>9</w:t>
            </w:r>
          </w:p>
        </w:tc>
        <w:tc>
          <w:tcPr>
            <w:tcW w:w="375" w:type="pct"/>
            <w:vMerge w:val="restart"/>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
                <w:bCs/>
                <w:sz w:val="20"/>
              </w:rPr>
            </w:pPr>
          </w:p>
        </w:tc>
        <w:tc>
          <w:tcPr>
            <w:tcW w:w="327" w:type="pct"/>
            <w:gridSpan w:val="4"/>
            <w:vMerge w:val="restart"/>
            <w:vAlign w:val="center"/>
          </w:tcPr>
          <w:p>
            <w:pPr>
              <w:jc w:val="center"/>
              <w:rPr>
                <w:rFonts w:hAnsi="宋体" w:cs="宋体"/>
                <w:b/>
                <w:bCs/>
                <w:sz w:val="20"/>
              </w:rPr>
            </w:pPr>
            <w:r>
              <w:rPr>
                <w:rFonts w:hAnsi="宋体" w:cs="宋体"/>
                <w:bCs/>
                <w:sz w:val="20"/>
              </w:rPr>
              <w:t>公共建筑</w:t>
            </w:r>
          </w:p>
        </w:tc>
        <w:tc>
          <w:tcPr>
            <w:tcW w:w="1807" w:type="pct"/>
            <w:gridSpan w:val="4"/>
            <w:vAlign w:val="center"/>
          </w:tcPr>
          <w:p>
            <w:pPr>
              <w:rPr>
                <w:rFonts w:hAnsi="宋体" w:cs="宋体"/>
                <w:bCs/>
                <w:sz w:val="20"/>
              </w:rPr>
            </w:pPr>
            <w:r>
              <w:rPr>
                <w:rFonts w:hAnsi="宋体" w:cs="宋体"/>
                <w:bCs/>
                <w:sz w:val="20"/>
              </w:rPr>
              <w:t>内区采光系数满足采光要求的面积比例达到60%。</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327" w:type="pct"/>
            <w:gridSpan w:val="4"/>
            <w:vMerge w:val="continue"/>
            <w:vAlign w:val="center"/>
          </w:tcPr>
          <w:p>
            <w:pPr>
              <w:widowControl/>
              <w:rPr>
                <w:rFonts w:hAnsi="宋体" w:cs="宋体"/>
                <w:b/>
                <w:bCs/>
                <w:sz w:val="20"/>
              </w:rPr>
            </w:pPr>
          </w:p>
        </w:tc>
        <w:tc>
          <w:tcPr>
            <w:tcW w:w="1807" w:type="pct"/>
            <w:gridSpan w:val="4"/>
            <w:vAlign w:val="center"/>
          </w:tcPr>
          <w:p>
            <w:pPr>
              <w:rPr>
                <w:rFonts w:hAnsi="宋体" w:cs="宋体"/>
                <w:bCs/>
                <w:sz w:val="20"/>
              </w:rPr>
            </w:pPr>
            <w:r>
              <w:rPr>
                <w:rFonts w:hAnsi="宋体" w:cs="宋体"/>
                <w:bCs/>
                <w:sz w:val="20"/>
              </w:rPr>
              <w:t>地下空间平均采光系数≥0.5%的面积与首层地下室面积的比例达到10%以上。</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327" w:type="pct"/>
            <w:gridSpan w:val="4"/>
            <w:vMerge w:val="continue"/>
            <w:vAlign w:val="center"/>
          </w:tcPr>
          <w:p>
            <w:pPr>
              <w:widowControl/>
              <w:rPr>
                <w:rFonts w:hAnsi="宋体" w:cs="宋体"/>
                <w:b/>
                <w:bCs/>
                <w:sz w:val="20"/>
              </w:rPr>
            </w:pPr>
          </w:p>
        </w:tc>
        <w:tc>
          <w:tcPr>
            <w:tcW w:w="1807" w:type="pct"/>
            <w:gridSpan w:val="4"/>
            <w:vAlign w:val="center"/>
          </w:tcPr>
          <w:p>
            <w:pPr>
              <w:rPr>
                <w:rFonts w:hAnsi="宋体" w:cs="宋体"/>
                <w:bCs/>
                <w:sz w:val="20"/>
              </w:rPr>
            </w:pPr>
            <w:r>
              <w:rPr>
                <w:rFonts w:hAnsi="宋体" w:cs="宋体"/>
                <w:bCs/>
                <w:sz w:val="20"/>
              </w:rPr>
              <w:t>主要功能空间至少60%面积比例区域采光照度值不低于采光要求的小时数平均不少于4h/d。</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
                <w:bCs/>
                <w:sz w:val="20"/>
              </w:rPr>
            </w:pPr>
            <w:r>
              <w:rPr>
                <w:rFonts w:hAnsi="宋体" w:cs="宋体"/>
                <w:bCs/>
                <w:sz w:val="20"/>
              </w:rPr>
              <w:t>主要功能房间有眩光控制措施。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5.2.9</w:t>
            </w:r>
          </w:p>
        </w:tc>
        <w:tc>
          <w:tcPr>
            <w:tcW w:w="512" w:type="pct"/>
            <w:vMerge w:val="restart"/>
            <w:shd w:val="clear" w:color="auto" w:fill="auto"/>
            <w:vAlign w:val="center"/>
          </w:tcPr>
          <w:p>
            <w:pPr>
              <w:rPr>
                <w:rFonts w:hAnsi="宋体" w:cs="宋体"/>
                <w:b/>
                <w:bCs/>
                <w:sz w:val="20"/>
              </w:rPr>
            </w:pPr>
            <w:r>
              <w:rPr>
                <w:rFonts w:hAnsi="宋体" w:cs="宋体"/>
                <w:bCs/>
                <w:sz w:val="20"/>
              </w:rPr>
              <w:t>具有良好的室内热湿环境</w:t>
            </w:r>
          </w:p>
        </w:tc>
        <w:tc>
          <w:tcPr>
            <w:tcW w:w="2134" w:type="pct"/>
            <w:gridSpan w:val="8"/>
            <w:shd w:val="clear" w:color="auto" w:fill="auto"/>
            <w:vAlign w:val="center"/>
          </w:tcPr>
          <w:p>
            <w:pPr>
              <w:rPr>
                <w:rFonts w:hAnsi="宋体" w:cs="宋体"/>
                <w:bCs/>
                <w:sz w:val="20"/>
              </w:rPr>
            </w:pPr>
            <w:r>
              <w:rPr>
                <w:rFonts w:hAnsi="宋体" w:cs="宋体"/>
                <w:bCs/>
                <w:sz w:val="20"/>
              </w:rPr>
              <w:t>自然通风、复合通风：主要功能房间室内热环境参数在适应性热舒适区域的时间比例:</w:t>
            </w:r>
          </w:p>
          <w:p>
            <w:pPr>
              <w:rPr>
                <w:rFonts w:hAnsi="宋体" w:cs="宋体"/>
                <w:bCs/>
                <w:sz w:val="20"/>
              </w:rPr>
            </w:pPr>
            <w:r>
              <w:rPr>
                <w:rFonts w:hAnsi="宋体" w:cs="宋体"/>
                <w:bCs/>
                <w:sz w:val="20"/>
              </w:rPr>
              <w:t>30%，得2分；</w:t>
            </w:r>
          </w:p>
          <w:p>
            <w:pPr>
              <w:rPr>
                <w:rFonts w:hAnsi="宋体" w:cs="宋体"/>
                <w:bCs/>
                <w:sz w:val="20"/>
              </w:rPr>
            </w:pPr>
            <w:r>
              <w:rPr>
                <w:rFonts w:hAnsi="宋体" w:cs="宋体"/>
                <w:bCs/>
                <w:sz w:val="20"/>
              </w:rPr>
              <w:t>40%，得3分；</w:t>
            </w:r>
          </w:p>
          <w:p>
            <w:pPr>
              <w:rPr>
                <w:rFonts w:hAnsi="宋体" w:cs="宋体"/>
                <w:bCs/>
                <w:sz w:val="20"/>
              </w:rPr>
            </w:pPr>
            <w:r>
              <w:rPr>
                <w:rFonts w:hAnsi="宋体" w:cs="宋体"/>
                <w:bCs/>
                <w:sz w:val="20"/>
              </w:rPr>
              <w:t>50%，得4分；</w:t>
            </w:r>
          </w:p>
          <w:p>
            <w:pPr>
              <w:rPr>
                <w:rFonts w:hAnsi="宋体" w:cs="宋体"/>
                <w:bCs/>
                <w:sz w:val="20"/>
              </w:rPr>
            </w:pPr>
            <w:r>
              <w:rPr>
                <w:rFonts w:hAnsi="宋体" w:cs="宋体"/>
                <w:bCs/>
                <w:sz w:val="20"/>
              </w:rPr>
              <w:t>60%，得5分；</w:t>
            </w:r>
          </w:p>
          <w:p>
            <w:pPr>
              <w:rPr>
                <w:rFonts w:hAnsi="宋体" w:cs="宋体"/>
                <w:bCs/>
                <w:sz w:val="20"/>
              </w:rPr>
            </w:pPr>
            <w:r>
              <w:rPr>
                <w:rFonts w:hAnsi="宋体" w:cs="宋体"/>
                <w:bCs/>
                <w:sz w:val="20"/>
              </w:rPr>
              <w:t>70%，得6分；</w:t>
            </w:r>
          </w:p>
          <w:p>
            <w:pPr>
              <w:rPr>
                <w:rFonts w:hAnsi="宋体" w:cs="宋体"/>
                <w:bCs/>
                <w:sz w:val="20"/>
              </w:rPr>
            </w:pPr>
            <w:r>
              <w:rPr>
                <w:rFonts w:hAnsi="宋体" w:cs="宋体"/>
                <w:bCs/>
                <w:sz w:val="20"/>
              </w:rPr>
              <w:t>80%，得7分；</w:t>
            </w:r>
          </w:p>
          <w:p>
            <w:pPr>
              <w:rPr>
                <w:rFonts w:hAnsi="宋体" w:cs="宋体"/>
                <w:b/>
                <w:bCs/>
                <w:sz w:val="20"/>
              </w:rPr>
            </w:pPr>
            <w:r>
              <w:rPr>
                <w:rFonts w:hAnsi="宋体" w:cs="宋体"/>
                <w:bCs/>
                <w:sz w:val="20"/>
              </w:rPr>
              <w:t>90%及以上，得8分。</w:t>
            </w:r>
          </w:p>
        </w:tc>
        <w:tc>
          <w:tcPr>
            <w:tcW w:w="391" w:type="pct"/>
            <w:shd w:val="clear" w:color="auto" w:fill="auto"/>
            <w:vAlign w:val="center"/>
          </w:tcPr>
          <w:p>
            <w:pPr>
              <w:widowControl/>
              <w:jc w:val="center"/>
              <w:rPr>
                <w:rFonts w:hAnsi="宋体" w:cs="宋体"/>
                <w:b/>
                <w:bCs/>
                <w:sz w:val="20"/>
              </w:rPr>
            </w:pPr>
            <w:r>
              <w:rPr>
                <w:rFonts w:hAnsi="宋体" w:cs="宋体"/>
                <w:b/>
                <w:bCs/>
                <w:sz w:val="20"/>
              </w:rPr>
              <w:t>8</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8</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rPr>
                <w:rFonts w:hAnsi="宋体" w:cs="宋体"/>
                <w:bCs/>
                <w:sz w:val="20"/>
              </w:rPr>
            </w:pPr>
            <w:r>
              <w:rPr>
                <w:rFonts w:hAnsi="宋体" w:cs="宋体"/>
                <w:bCs/>
                <w:sz w:val="20"/>
              </w:rPr>
              <w:t>人工冷热源：</w:t>
            </w:r>
          </w:p>
          <w:p>
            <w:pPr>
              <w:rPr>
                <w:rFonts w:hAnsi="宋体" w:cs="宋体"/>
                <w:bCs/>
                <w:sz w:val="20"/>
              </w:rPr>
            </w:pPr>
            <w:r>
              <w:rPr>
                <w:rFonts w:hAnsi="宋体" w:cs="宋体"/>
                <w:bCs/>
                <w:sz w:val="20"/>
              </w:rPr>
              <w:t>主要功能房间达到现行国家标准《民用建筑室内热湿环境评价标准》GB/T 50785规定的室内人工冷热源热湿环境整体评价Ⅱ级面积比例：60%，得5分；</w:t>
            </w:r>
          </w:p>
          <w:p>
            <w:pPr>
              <w:rPr>
                <w:rFonts w:hAnsi="宋体" w:cs="宋体"/>
                <w:bCs/>
                <w:sz w:val="20"/>
              </w:rPr>
            </w:pPr>
            <w:r>
              <w:rPr>
                <w:rFonts w:hAnsi="宋体" w:cs="宋体"/>
                <w:bCs/>
                <w:sz w:val="20"/>
              </w:rPr>
              <w:t>70%，得6分；</w:t>
            </w:r>
          </w:p>
          <w:p>
            <w:pPr>
              <w:rPr>
                <w:rFonts w:hAnsi="宋体" w:cs="宋体"/>
                <w:bCs/>
                <w:sz w:val="20"/>
              </w:rPr>
            </w:pPr>
            <w:r>
              <w:rPr>
                <w:rFonts w:hAnsi="宋体" w:cs="宋体"/>
                <w:bCs/>
                <w:sz w:val="20"/>
              </w:rPr>
              <w:t>80%，得7分；</w:t>
            </w:r>
          </w:p>
          <w:p>
            <w:pPr>
              <w:rPr>
                <w:rFonts w:hAnsi="宋体" w:cs="宋体"/>
                <w:b/>
                <w:bCs/>
                <w:sz w:val="20"/>
              </w:rPr>
            </w:pPr>
            <w:r>
              <w:rPr>
                <w:rFonts w:hAnsi="宋体" w:cs="宋体"/>
                <w:bCs/>
                <w:sz w:val="20"/>
              </w:rPr>
              <w:t>90%及以上，得8分。</w:t>
            </w:r>
          </w:p>
        </w:tc>
        <w:tc>
          <w:tcPr>
            <w:tcW w:w="391" w:type="pct"/>
            <w:shd w:val="clear" w:color="auto" w:fill="auto"/>
            <w:vAlign w:val="center"/>
          </w:tcPr>
          <w:p>
            <w:pPr>
              <w:widowControl/>
              <w:jc w:val="center"/>
              <w:rPr>
                <w:rFonts w:hAnsi="宋体" w:cs="宋体"/>
                <w:b/>
                <w:bCs/>
                <w:sz w:val="20"/>
              </w:rPr>
            </w:pPr>
            <w:r>
              <w:rPr>
                <w:rFonts w:hAnsi="宋体" w:cs="宋体"/>
                <w:b/>
                <w:bCs/>
                <w:sz w:val="20"/>
              </w:rPr>
              <w:t>8</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5.2.10</w:t>
            </w:r>
          </w:p>
        </w:tc>
        <w:tc>
          <w:tcPr>
            <w:tcW w:w="512" w:type="pct"/>
            <w:vMerge w:val="restart"/>
            <w:vAlign w:val="center"/>
          </w:tcPr>
          <w:p>
            <w:pPr>
              <w:widowControl/>
              <w:rPr>
                <w:rFonts w:hAnsi="宋体" w:cs="宋体"/>
                <w:b/>
                <w:bCs/>
                <w:sz w:val="20"/>
              </w:rPr>
            </w:pPr>
            <w:r>
              <w:rPr>
                <w:rFonts w:hAnsi="宋体" w:cs="宋体"/>
                <w:sz w:val="20"/>
              </w:rPr>
              <w:t>优化建筑空间和平面布局，改善自然通风效果。</w:t>
            </w:r>
          </w:p>
        </w:tc>
        <w:tc>
          <w:tcPr>
            <w:tcW w:w="2134" w:type="pct"/>
            <w:gridSpan w:val="8"/>
            <w:vAlign w:val="center"/>
          </w:tcPr>
          <w:p>
            <w:pPr>
              <w:widowControl/>
              <w:rPr>
                <w:rFonts w:hAnsi="宋体" w:cs="宋体"/>
                <w:bCs/>
                <w:sz w:val="20"/>
              </w:rPr>
            </w:pPr>
            <w:r>
              <w:rPr>
                <w:rFonts w:hAnsi="宋体" w:cs="宋体"/>
                <w:bCs/>
                <w:sz w:val="20"/>
              </w:rPr>
              <w:t>住宅建筑通风开口面积与房间地板面积的比例：                                        夏热冬冷地区达到8%，得5分；</w:t>
            </w:r>
          </w:p>
          <w:p>
            <w:pPr>
              <w:widowControl/>
              <w:rPr>
                <w:rFonts w:hAnsi="宋体" w:cs="宋体"/>
                <w:bCs/>
                <w:sz w:val="20"/>
              </w:rPr>
            </w:pPr>
            <w:r>
              <w:rPr>
                <w:rFonts w:hAnsi="宋体" w:cs="宋体"/>
                <w:bCs/>
                <w:sz w:val="20"/>
              </w:rPr>
              <w:t>达到10%，得6分；</w:t>
            </w:r>
          </w:p>
          <w:p>
            <w:pPr>
              <w:widowControl/>
              <w:rPr>
                <w:rFonts w:hAnsi="宋体" w:cs="宋体"/>
                <w:bCs/>
                <w:sz w:val="20"/>
              </w:rPr>
            </w:pPr>
            <w:r>
              <w:rPr>
                <w:rFonts w:hAnsi="宋体" w:cs="宋体"/>
                <w:bCs/>
                <w:sz w:val="20"/>
              </w:rPr>
              <w:t>达到12%，得7分；</w:t>
            </w:r>
          </w:p>
          <w:p>
            <w:pPr>
              <w:widowControl/>
              <w:rPr>
                <w:rFonts w:hAnsi="宋体" w:cs="宋体"/>
                <w:bCs/>
                <w:sz w:val="20"/>
              </w:rPr>
            </w:pPr>
            <w:r>
              <w:rPr>
                <w:rFonts w:hAnsi="宋体" w:cs="宋体"/>
                <w:bCs/>
                <w:sz w:val="20"/>
              </w:rPr>
              <w:t>达到14%及以上，得8分。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bCs/>
                <w:sz w:val="20"/>
              </w:rPr>
            </w:pPr>
            <w:r>
              <w:rPr>
                <w:rFonts w:hAnsi="宋体" w:cs="宋体"/>
                <w:bCs/>
                <w:sz w:val="20"/>
              </w:rPr>
              <w:t>公共建筑过渡季典型工况下主要功能房间的平均自然通风换气次数不小于2次/h的面积比例：</w:t>
            </w:r>
          </w:p>
          <w:p>
            <w:pPr>
              <w:widowControl/>
              <w:rPr>
                <w:rFonts w:hAnsi="宋体" w:cs="宋体"/>
                <w:bCs/>
                <w:sz w:val="20"/>
              </w:rPr>
            </w:pPr>
            <w:r>
              <w:rPr>
                <w:rFonts w:hAnsi="宋体" w:cs="宋体"/>
                <w:bCs/>
                <w:sz w:val="20"/>
              </w:rPr>
              <w:t>70%≤RR＜80%，得5分；</w:t>
            </w:r>
          </w:p>
          <w:p>
            <w:pPr>
              <w:widowControl/>
              <w:rPr>
                <w:rFonts w:hAnsi="宋体" w:cs="宋体"/>
                <w:bCs/>
                <w:sz w:val="20"/>
              </w:rPr>
            </w:pPr>
            <w:r>
              <w:rPr>
                <w:rFonts w:hAnsi="宋体" w:cs="宋体"/>
                <w:bCs/>
                <w:sz w:val="20"/>
              </w:rPr>
              <w:t>80%≤RR＜90%，得6分；</w:t>
            </w:r>
          </w:p>
          <w:p>
            <w:pPr>
              <w:widowControl/>
              <w:rPr>
                <w:rFonts w:hAnsi="宋体" w:cs="宋体"/>
                <w:bCs/>
                <w:sz w:val="20"/>
              </w:rPr>
            </w:pPr>
            <w:r>
              <w:rPr>
                <w:rFonts w:hAnsi="宋体" w:cs="宋体"/>
                <w:bCs/>
                <w:sz w:val="20"/>
              </w:rPr>
              <w:t>90%≤RR＜100%，得7分；</w:t>
            </w:r>
          </w:p>
          <w:p>
            <w:pPr>
              <w:widowControl/>
              <w:rPr>
                <w:rFonts w:hAnsi="宋体" w:cs="宋体"/>
                <w:bCs/>
                <w:sz w:val="20"/>
              </w:rPr>
            </w:pPr>
            <w:r>
              <w:rPr>
                <w:rFonts w:hAnsi="宋体" w:cs="宋体"/>
                <w:bCs/>
                <w:sz w:val="20"/>
              </w:rPr>
              <w:t>100%，得8分。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5.2.11</w:t>
            </w:r>
          </w:p>
        </w:tc>
        <w:tc>
          <w:tcPr>
            <w:tcW w:w="512" w:type="pct"/>
            <w:vAlign w:val="center"/>
          </w:tcPr>
          <w:p>
            <w:pPr>
              <w:rPr>
                <w:rFonts w:hAnsi="宋体" w:cs="宋体"/>
                <w:bCs/>
                <w:sz w:val="20"/>
              </w:rPr>
            </w:pPr>
            <w:r>
              <w:rPr>
                <w:rFonts w:hAnsi="宋体" w:cs="宋体"/>
                <w:bCs/>
                <w:sz w:val="20"/>
              </w:rPr>
              <w:t>设置可调节遮阳设施，改善室内热舒适。</w:t>
            </w:r>
          </w:p>
        </w:tc>
        <w:tc>
          <w:tcPr>
            <w:tcW w:w="2134" w:type="pct"/>
            <w:gridSpan w:val="8"/>
            <w:vAlign w:val="center"/>
          </w:tcPr>
          <w:p>
            <w:pPr>
              <w:rPr>
                <w:rFonts w:hAnsi="宋体" w:cs="宋体"/>
                <w:bCs/>
                <w:sz w:val="20"/>
              </w:rPr>
            </w:pPr>
            <w:r>
              <w:rPr>
                <w:rFonts w:hAnsi="宋体" w:cs="宋体"/>
                <w:bCs/>
                <w:sz w:val="20"/>
              </w:rPr>
              <w:t>可调节遮阳设施面积占外窗透明部分比例SZ：</w:t>
            </w:r>
          </w:p>
          <w:p>
            <w:pPr>
              <w:rPr>
                <w:rFonts w:hAnsi="宋体" w:cs="宋体"/>
                <w:bCs/>
                <w:sz w:val="20"/>
              </w:rPr>
            </w:pPr>
            <w:r>
              <w:rPr>
                <w:rFonts w:hAnsi="宋体" w:cs="宋体"/>
                <w:bCs/>
                <w:sz w:val="20"/>
              </w:rPr>
              <w:t>25%≤SZ＜35%，得3分；</w:t>
            </w:r>
          </w:p>
          <w:p>
            <w:pPr>
              <w:rPr>
                <w:rFonts w:hAnsi="宋体" w:cs="宋体"/>
                <w:bCs/>
                <w:sz w:val="20"/>
              </w:rPr>
            </w:pPr>
            <w:r>
              <w:rPr>
                <w:rFonts w:hAnsi="宋体" w:cs="宋体"/>
                <w:bCs/>
                <w:sz w:val="20"/>
              </w:rPr>
              <w:t>35%≤SZ＜45%，得5分；</w:t>
            </w:r>
          </w:p>
          <w:p>
            <w:pPr>
              <w:rPr>
                <w:rFonts w:hAnsi="宋体" w:cs="宋体"/>
                <w:bCs/>
                <w:sz w:val="20"/>
              </w:rPr>
            </w:pPr>
            <w:r>
              <w:rPr>
                <w:rFonts w:hAnsi="宋体" w:cs="宋体"/>
                <w:bCs/>
                <w:sz w:val="20"/>
              </w:rPr>
              <w:t>45%≤SZ＜55%，得7分；</w:t>
            </w:r>
          </w:p>
          <w:p>
            <w:pPr>
              <w:rPr>
                <w:rFonts w:hAnsi="宋体" w:cs="宋体"/>
                <w:bCs/>
                <w:sz w:val="20"/>
              </w:rPr>
            </w:pPr>
            <w:r>
              <w:rPr>
                <w:rFonts w:hAnsi="宋体" w:cs="宋体"/>
                <w:bCs/>
                <w:sz w:val="20"/>
              </w:rPr>
              <w:t>SZ≥55%，得9分。</w:t>
            </w:r>
          </w:p>
        </w:tc>
        <w:tc>
          <w:tcPr>
            <w:tcW w:w="391" w:type="pct"/>
            <w:vAlign w:val="center"/>
          </w:tcPr>
          <w:p>
            <w:pPr>
              <w:widowControl/>
              <w:jc w:val="center"/>
              <w:rPr>
                <w:rFonts w:hAnsi="宋体" w:cs="宋体"/>
                <w:b/>
                <w:bCs/>
                <w:sz w:val="20"/>
              </w:rPr>
            </w:pPr>
            <w:r>
              <w:rPr>
                <w:rFonts w:hAnsi="宋体" w:cs="宋体"/>
                <w:b/>
                <w:bCs/>
                <w:sz w:val="20"/>
              </w:rPr>
              <w:t>9</w:t>
            </w:r>
          </w:p>
        </w:tc>
        <w:tc>
          <w:tcPr>
            <w:tcW w:w="375" w:type="pct"/>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生活便利</w:t>
            </w:r>
          </w:p>
        </w:tc>
        <w:tc>
          <w:tcPr>
            <w:tcW w:w="492" w:type="pct"/>
            <w:noWrap/>
            <w:vAlign w:val="center"/>
          </w:tcPr>
          <w:p>
            <w:pPr>
              <w:widowControl/>
              <w:rPr>
                <w:rFonts w:hAnsi="宋体" w:cs="宋体"/>
                <w:sz w:val="20"/>
              </w:rPr>
            </w:pPr>
            <w:r>
              <w:rPr>
                <w:rFonts w:hAnsi="宋体" w:cs="宋体"/>
                <w:sz w:val="20"/>
              </w:rPr>
              <w:t>6.1.1</w:t>
            </w:r>
          </w:p>
        </w:tc>
        <w:tc>
          <w:tcPr>
            <w:tcW w:w="2646" w:type="pct"/>
            <w:gridSpan w:val="9"/>
            <w:vAlign w:val="center"/>
          </w:tcPr>
          <w:p>
            <w:pPr>
              <w:rPr>
                <w:rFonts w:hAnsi="宋体" w:cs="宋体"/>
                <w:bCs/>
                <w:sz w:val="20"/>
              </w:rPr>
            </w:pPr>
            <w:r>
              <w:rPr>
                <w:rFonts w:hAnsi="宋体" w:cs="宋体"/>
                <w:bCs/>
                <w:sz w:val="20"/>
              </w:rPr>
              <w:t>建筑、室外场地、公共绿地、城市道路相互之间应设置连贯的无障碍步行系统。</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6.1.2</w:t>
            </w:r>
          </w:p>
        </w:tc>
        <w:tc>
          <w:tcPr>
            <w:tcW w:w="2646" w:type="pct"/>
            <w:gridSpan w:val="9"/>
            <w:vAlign w:val="center"/>
          </w:tcPr>
          <w:p>
            <w:pPr>
              <w:rPr>
                <w:rFonts w:hAnsi="宋体" w:cs="宋体"/>
                <w:bCs/>
                <w:sz w:val="20"/>
              </w:rPr>
            </w:pPr>
            <w:r>
              <w:rPr>
                <w:rFonts w:hAnsi="宋体" w:cs="宋体"/>
                <w:bCs/>
                <w:sz w:val="20"/>
              </w:rPr>
              <w:t>场地人行出入口500m内应设有公共交通站点或配备联系公共交通站点的专用接驳车。</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6.1.3</w:t>
            </w:r>
          </w:p>
        </w:tc>
        <w:tc>
          <w:tcPr>
            <w:tcW w:w="2646" w:type="pct"/>
            <w:gridSpan w:val="9"/>
            <w:vAlign w:val="center"/>
          </w:tcPr>
          <w:p>
            <w:pPr>
              <w:rPr>
                <w:rFonts w:hAnsi="宋体" w:cs="宋体"/>
                <w:bCs/>
                <w:sz w:val="20"/>
              </w:rPr>
            </w:pPr>
            <w:r>
              <w:rPr>
                <w:rFonts w:hAnsi="宋体" w:cs="宋体"/>
                <w:bCs/>
                <w:sz w:val="20"/>
              </w:rPr>
              <w:t>停车场应具有电动汽车充电设施或具备充电设施的安装条件，并应合理设置电动汽车和无障碍汽车停车位。</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6.1.4</w:t>
            </w:r>
          </w:p>
        </w:tc>
        <w:tc>
          <w:tcPr>
            <w:tcW w:w="2646" w:type="pct"/>
            <w:gridSpan w:val="9"/>
            <w:vAlign w:val="center"/>
          </w:tcPr>
          <w:p>
            <w:pPr>
              <w:rPr>
                <w:rFonts w:hAnsi="宋体" w:cs="宋体"/>
                <w:bCs/>
                <w:sz w:val="20"/>
              </w:rPr>
            </w:pPr>
            <w:r>
              <w:rPr>
                <w:rFonts w:hAnsi="宋体" w:cs="宋体"/>
                <w:bCs/>
                <w:sz w:val="20"/>
              </w:rPr>
              <w:t>自行车停车场所应位置合理、方便出入。</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6.1.5</w:t>
            </w:r>
          </w:p>
        </w:tc>
        <w:tc>
          <w:tcPr>
            <w:tcW w:w="2646" w:type="pct"/>
            <w:gridSpan w:val="9"/>
            <w:vAlign w:val="center"/>
          </w:tcPr>
          <w:p>
            <w:pPr>
              <w:rPr>
                <w:rFonts w:hAnsi="宋体" w:cs="宋体"/>
                <w:bCs/>
                <w:sz w:val="20"/>
              </w:rPr>
            </w:pPr>
            <w:r>
              <w:rPr>
                <w:rFonts w:hAnsi="宋体" w:cs="宋体"/>
                <w:bCs/>
                <w:sz w:val="20"/>
              </w:rPr>
              <w:t>建筑设备管理系统应具有自动监控管理功能。</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6.1.6</w:t>
            </w:r>
          </w:p>
        </w:tc>
        <w:tc>
          <w:tcPr>
            <w:tcW w:w="2646" w:type="pct"/>
            <w:gridSpan w:val="9"/>
            <w:vAlign w:val="center"/>
          </w:tcPr>
          <w:p>
            <w:pPr>
              <w:rPr>
                <w:rFonts w:hAnsi="宋体" w:cs="宋体"/>
                <w:bCs/>
                <w:sz w:val="20"/>
              </w:rPr>
            </w:pPr>
            <w:r>
              <w:rPr>
                <w:rFonts w:hAnsi="宋体" w:cs="宋体"/>
                <w:bCs/>
                <w:sz w:val="20"/>
              </w:rPr>
              <w:t>建筑应设置信息网络系统。</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6.2.1</w:t>
            </w:r>
          </w:p>
        </w:tc>
        <w:tc>
          <w:tcPr>
            <w:tcW w:w="512" w:type="pct"/>
            <w:vMerge w:val="restart"/>
            <w:vAlign w:val="center"/>
          </w:tcPr>
          <w:p>
            <w:pPr>
              <w:rPr>
                <w:rFonts w:hAnsi="宋体" w:cs="宋体"/>
                <w:b/>
                <w:bCs/>
                <w:sz w:val="20"/>
              </w:rPr>
            </w:pPr>
            <w:r>
              <w:rPr>
                <w:rFonts w:hAnsi="宋体" w:cs="宋体"/>
                <w:bCs/>
                <w:sz w:val="20"/>
              </w:rPr>
              <w:t>场地与公共公交通站点联系便捷。</w:t>
            </w:r>
          </w:p>
        </w:tc>
        <w:tc>
          <w:tcPr>
            <w:tcW w:w="2134" w:type="pct"/>
            <w:gridSpan w:val="8"/>
            <w:vAlign w:val="center"/>
          </w:tcPr>
          <w:p>
            <w:pPr>
              <w:rPr>
                <w:rFonts w:hAnsi="宋体" w:cs="宋体"/>
                <w:bCs/>
                <w:sz w:val="20"/>
              </w:rPr>
            </w:pPr>
            <w:r>
              <w:rPr>
                <w:rFonts w:hAnsi="宋体" w:cs="宋体"/>
                <w:bCs/>
                <w:sz w:val="20"/>
              </w:rPr>
              <w:t>场地出入口到达公共交通站点的步行距离不大于500m，或到达轨道交通站的步行距离不大于800m；得2分；</w:t>
            </w:r>
          </w:p>
          <w:p>
            <w:pPr>
              <w:rPr>
                <w:rFonts w:hAnsi="宋体" w:cs="宋体"/>
                <w:b/>
                <w:bCs/>
                <w:sz w:val="20"/>
              </w:rPr>
            </w:pPr>
            <w:r>
              <w:rPr>
                <w:rFonts w:hAnsi="宋体" w:cs="宋体"/>
                <w:bCs/>
                <w:sz w:val="20"/>
              </w:rPr>
              <w:t>场地出入口到达公共交通站点的步行距离不大于300m，或到达轨道交通站的步行距离不大于500m ；得4分；</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restar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b/>
                <w:bCs/>
                <w:sz w:val="20"/>
              </w:rPr>
            </w:pPr>
            <w:r>
              <w:rPr>
                <w:rFonts w:hAnsi="宋体" w:cs="宋体"/>
                <w:sz w:val="20"/>
              </w:rPr>
              <w:t>场地出入口步行距离800m范围内设有2条及以上线路的公共交通站点。</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6.2.2</w:t>
            </w:r>
          </w:p>
        </w:tc>
        <w:tc>
          <w:tcPr>
            <w:tcW w:w="512" w:type="pct"/>
            <w:vMerge w:val="restart"/>
            <w:vAlign w:val="center"/>
          </w:tcPr>
          <w:p>
            <w:pPr>
              <w:rPr>
                <w:rFonts w:hAnsi="宋体" w:cs="宋体"/>
                <w:b/>
                <w:bCs/>
                <w:sz w:val="20"/>
              </w:rPr>
            </w:pPr>
            <w:r>
              <w:rPr>
                <w:rFonts w:hAnsi="宋体" w:cs="宋体"/>
                <w:bCs/>
                <w:sz w:val="20"/>
              </w:rPr>
              <w:t>建筑室内外公共区域满足全龄化设计要求</w:t>
            </w:r>
          </w:p>
        </w:tc>
        <w:tc>
          <w:tcPr>
            <w:tcW w:w="2134" w:type="pct"/>
            <w:gridSpan w:val="8"/>
            <w:vAlign w:val="center"/>
          </w:tcPr>
          <w:p>
            <w:pPr>
              <w:rPr>
                <w:rFonts w:hAnsi="宋体" w:cs="宋体"/>
                <w:bCs/>
                <w:sz w:val="20"/>
              </w:rPr>
            </w:pPr>
            <w:r>
              <w:rPr>
                <w:rFonts w:hAnsi="宋体" w:cs="宋体"/>
                <w:bCs/>
                <w:sz w:val="20"/>
              </w:rPr>
              <w:t>建筑室内公共区域、室外公共活动场地及道路均满足无障碍设计要求。</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建筑室内公共区域的墙、柱等处的阳角均为圆角，并设有安全抓杆或扶手。</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设有可容纳担架的无障碍电梯。</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6.2.3</w:t>
            </w:r>
          </w:p>
        </w:tc>
        <w:tc>
          <w:tcPr>
            <w:tcW w:w="512" w:type="pct"/>
            <w:vMerge w:val="restart"/>
            <w:vAlign w:val="center"/>
          </w:tcPr>
          <w:p>
            <w:pPr>
              <w:widowControl/>
              <w:rPr>
                <w:rFonts w:hAnsi="宋体" w:cs="宋体"/>
                <w:b/>
                <w:bCs/>
                <w:sz w:val="20"/>
              </w:rPr>
            </w:pPr>
            <w:r>
              <w:rPr>
                <w:rFonts w:hAnsi="宋体" w:cs="宋体"/>
                <w:sz w:val="20"/>
              </w:rPr>
              <w:t>提供便利的公共服务。</w:t>
            </w:r>
          </w:p>
        </w:tc>
        <w:tc>
          <w:tcPr>
            <w:tcW w:w="2134" w:type="pct"/>
            <w:gridSpan w:val="8"/>
            <w:vAlign w:val="center"/>
          </w:tcPr>
          <w:p>
            <w:pPr>
              <w:rPr>
                <w:rFonts w:hAnsi="宋体" w:cs="宋体"/>
                <w:bCs/>
                <w:sz w:val="20"/>
              </w:rPr>
            </w:pPr>
            <w:r>
              <w:rPr>
                <w:rFonts w:hAnsi="宋体" w:cs="宋体"/>
                <w:bCs/>
                <w:sz w:val="20"/>
              </w:rPr>
              <w:t>居住建筑：满足4项，得5分；满足6项及以上，得10分；</w:t>
            </w:r>
          </w:p>
          <w:p>
            <w:pPr>
              <w:rPr>
                <w:rFonts w:hAnsi="宋体" w:cs="宋体"/>
                <w:bCs/>
                <w:sz w:val="20"/>
              </w:rPr>
            </w:pPr>
            <w:r>
              <w:rPr>
                <w:rFonts w:hAnsi="宋体" w:cs="宋体"/>
                <w:bCs/>
                <w:sz w:val="20"/>
              </w:rPr>
              <w:t>□场地出入口到达幼儿园的步行距离不超过300m；</w:t>
            </w:r>
          </w:p>
          <w:p>
            <w:pPr>
              <w:rPr>
                <w:rFonts w:hAnsi="宋体" w:cs="宋体"/>
                <w:bCs/>
                <w:sz w:val="20"/>
              </w:rPr>
            </w:pPr>
            <w:r>
              <w:rPr>
                <w:rFonts w:hAnsi="宋体" w:cs="宋体"/>
                <w:bCs/>
                <w:sz w:val="20"/>
              </w:rPr>
              <w:t>□场地出入口到达小学的步行距离不超过500m；</w:t>
            </w:r>
          </w:p>
          <w:p>
            <w:pPr>
              <w:rPr>
                <w:rFonts w:hAnsi="宋体" w:cs="宋体"/>
                <w:bCs/>
                <w:sz w:val="20"/>
              </w:rPr>
            </w:pPr>
            <w:r>
              <w:rPr>
                <w:rFonts w:hAnsi="宋体" w:cs="宋体"/>
                <w:bCs/>
                <w:sz w:val="20"/>
              </w:rPr>
              <w:t>□场地出入口到达中学的步行距离不超过1000m；</w:t>
            </w:r>
          </w:p>
          <w:p>
            <w:pPr>
              <w:rPr>
                <w:rFonts w:hAnsi="宋体" w:cs="宋体"/>
                <w:bCs/>
                <w:sz w:val="20"/>
              </w:rPr>
            </w:pPr>
            <w:r>
              <w:rPr>
                <w:rFonts w:hAnsi="宋体" w:cs="宋体"/>
                <w:bCs/>
                <w:sz w:val="20"/>
              </w:rPr>
              <w:t>□场地出入口到达医院的步行距离不超过1000m；</w:t>
            </w:r>
          </w:p>
          <w:p>
            <w:pPr>
              <w:rPr>
                <w:rFonts w:hAnsi="宋体" w:cs="宋体"/>
                <w:bCs/>
                <w:sz w:val="20"/>
              </w:rPr>
            </w:pPr>
            <w:r>
              <w:rPr>
                <w:rFonts w:hAnsi="宋体" w:cs="宋体"/>
                <w:bCs/>
                <w:sz w:val="20"/>
              </w:rPr>
              <w:t>□场地出入口到达群众文化活动设施的步行距离不超过800m；</w:t>
            </w:r>
          </w:p>
          <w:p>
            <w:pPr>
              <w:rPr>
                <w:rFonts w:hAnsi="宋体" w:cs="宋体"/>
                <w:bCs/>
                <w:sz w:val="20"/>
              </w:rPr>
            </w:pPr>
            <w:r>
              <w:rPr>
                <w:rFonts w:hAnsi="宋体" w:cs="宋体"/>
                <w:bCs/>
                <w:sz w:val="20"/>
              </w:rPr>
              <w:t>□场地出入口到达老年人日间照料设施的步行距离不超过500m；</w:t>
            </w:r>
          </w:p>
          <w:p>
            <w:pPr>
              <w:rPr>
                <w:rFonts w:hAnsi="宋体" w:cs="宋体"/>
                <w:bCs/>
                <w:sz w:val="20"/>
              </w:rPr>
            </w:pPr>
            <w:r>
              <w:rPr>
                <w:rFonts w:hAnsi="宋体" w:cs="宋体"/>
                <w:bCs/>
                <w:sz w:val="20"/>
              </w:rPr>
              <w:t>□场地周边500m范围内具有3种及以上的商业服务设施。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Merge w:val="restar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55" w:type="pct"/>
            <w:vMerge w:val="continue"/>
            <w:vAlign w:val="center"/>
          </w:tcPr>
          <w:p>
            <w:pPr>
              <w:widowControl/>
              <w:rPr>
                <w:rFonts w:hAnsi="宋体" w:cs="宋体"/>
                <w:sz w:val="20"/>
              </w:rPr>
            </w:pPr>
          </w:p>
        </w:tc>
        <w:tc>
          <w:tcPr>
            <w:tcW w:w="492" w:type="pct"/>
            <w:vMerge w:val="continue"/>
            <w:noWrap/>
            <w:vAlign w:val="center"/>
          </w:tcPr>
          <w:p>
            <w:pPr>
              <w:widowControl/>
              <w:rPr>
                <w:rFonts w:hAnsi="宋体" w:cs="宋体"/>
                <w:sz w:val="20"/>
              </w:rPr>
            </w:pPr>
          </w:p>
        </w:tc>
        <w:tc>
          <w:tcPr>
            <w:tcW w:w="512" w:type="pct"/>
            <w:vMerge w:val="continue"/>
            <w:vAlign w:val="center"/>
          </w:tcPr>
          <w:p>
            <w:pPr>
              <w:widowControl/>
              <w:rPr>
                <w:rFonts w:hAnsi="宋体" w:cs="宋体"/>
                <w:sz w:val="20"/>
              </w:rPr>
            </w:pPr>
          </w:p>
        </w:tc>
        <w:tc>
          <w:tcPr>
            <w:tcW w:w="2134" w:type="pct"/>
            <w:gridSpan w:val="8"/>
            <w:vAlign w:val="center"/>
          </w:tcPr>
          <w:p>
            <w:pPr>
              <w:rPr>
                <w:rFonts w:hAnsi="宋体" w:cs="宋体"/>
                <w:bCs/>
                <w:sz w:val="20"/>
              </w:rPr>
            </w:pPr>
            <w:r>
              <w:rPr>
                <w:rFonts w:hAnsi="宋体" w:cs="宋体"/>
                <w:bCs/>
                <w:sz w:val="20"/>
              </w:rPr>
              <w:t>公共建筑：满足3项，5分；满足5项，10分；</w:t>
            </w:r>
          </w:p>
          <w:p>
            <w:pPr>
              <w:rPr>
                <w:rFonts w:hAnsi="宋体" w:cs="宋体"/>
                <w:bCs/>
                <w:sz w:val="20"/>
              </w:rPr>
            </w:pPr>
            <w:r>
              <w:rPr>
                <w:rFonts w:hAnsi="宋体" w:cs="宋体"/>
                <w:bCs/>
                <w:sz w:val="20"/>
              </w:rPr>
              <w:t>□建筑内兼容2种及以上面向社会的公共服务功能；</w:t>
            </w:r>
          </w:p>
          <w:p>
            <w:pPr>
              <w:rPr>
                <w:rFonts w:hAnsi="宋体" w:cs="宋体"/>
                <w:bCs/>
                <w:sz w:val="20"/>
              </w:rPr>
            </w:pPr>
            <w:r>
              <w:rPr>
                <w:rFonts w:hAnsi="宋体" w:cs="宋体"/>
                <w:bCs/>
                <w:sz w:val="20"/>
              </w:rPr>
              <w:t>□建筑向社会公众提供开放的公共活动空间；</w:t>
            </w:r>
          </w:p>
          <w:p>
            <w:pPr>
              <w:rPr>
                <w:rFonts w:hAnsi="宋体" w:cs="宋体"/>
                <w:bCs/>
                <w:sz w:val="20"/>
              </w:rPr>
            </w:pPr>
            <w:r>
              <w:rPr>
                <w:rFonts w:hAnsi="宋体" w:cs="宋体"/>
                <w:bCs/>
                <w:sz w:val="20"/>
              </w:rPr>
              <w:t>□电动汽车充电桩的车位数占总车位数的比例不低于10%；</w:t>
            </w:r>
          </w:p>
          <w:p>
            <w:pPr>
              <w:rPr>
                <w:rFonts w:hAnsi="宋体" w:cs="宋体"/>
                <w:bCs/>
                <w:sz w:val="20"/>
              </w:rPr>
            </w:pPr>
            <w:r>
              <w:rPr>
                <w:rFonts w:hAnsi="宋体" w:cs="宋体"/>
                <w:bCs/>
                <w:sz w:val="20"/>
              </w:rPr>
              <w:t>□周边500m范围内设有社会公共停车场（库）；</w:t>
            </w:r>
          </w:p>
          <w:p>
            <w:pPr>
              <w:rPr>
                <w:rFonts w:hAnsi="宋体" w:cs="宋体"/>
                <w:bCs/>
                <w:sz w:val="20"/>
              </w:rPr>
            </w:pPr>
            <w:r>
              <w:rPr>
                <w:rFonts w:hAnsi="宋体" w:cs="宋体"/>
                <w:bCs/>
                <w:sz w:val="20"/>
              </w:rPr>
              <w:t>□场地不封闭或场地内步行公共通道向社会开放。</w:t>
            </w:r>
          </w:p>
        </w:tc>
        <w:tc>
          <w:tcPr>
            <w:tcW w:w="391" w:type="pct"/>
            <w:vAlign w:val="center"/>
          </w:tcPr>
          <w:p>
            <w:pPr>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6.2.4</w:t>
            </w:r>
          </w:p>
        </w:tc>
        <w:tc>
          <w:tcPr>
            <w:tcW w:w="814" w:type="pct"/>
            <w:gridSpan w:val="4"/>
            <w:vMerge w:val="restart"/>
            <w:vAlign w:val="center"/>
          </w:tcPr>
          <w:p>
            <w:pPr>
              <w:rPr>
                <w:rFonts w:hAnsi="宋体" w:cs="宋体"/>
                <w:bCs/>
                <w:sz w:val="20"/>
              </w:rPr>
            </w:pPr>
            <w:r>
              <w:rPr>
                <w:rFonts w:hAnsi="宋体" w:cs="宋体"/>
                <w:bCs/>
                <w:sz w:val="20"/>
              </w:rPr>
              <w:t>城市绿地、广场及公共运动场地等开敞空间，步行可达。</w:t>
            </w:r>
          </w:p>
        </w:tc>
        <w:tc>
          <w:tcPr>
            <w:tcW w:w="1832" w:type="pct"/>
            <w:gridSpan w:val="5"/>
            <w:vAlign w:val="center"/>
          </w:tcPr>
          <w:p>
            <w:pPr>
              <w:rPr>
                <w:rFonts w:hAnsi="宋体" w:cs="宋体"/>
                <w:bCs/>
                <w:sz w:val="20"/>
              </w:rPr>
            </w:pPr>
            <w:r>
              <w:rPr>
                <w:rFonts w:hAnsi="宋体" w:cs="宋体"/>
                <w:bCs/>
                <w:sz w:val="20"/>
              </w:rPr>
              <w:t>场地出入口到达城市公园绿地、居住区公园、广场的步行距离不超过300m。</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814" w:type="pct"/>
            <w:gridSpan w:val="4"/>
            <w:vMerge w:val="continue"/>
            <w:vAlign w:val="center"/>
          </w:tcPr>
          <w:p>
            <w:pPr>
              <w:rPr>
                <w:rFonts w:hAnsi="宋体" w:cs="宋体"/>
                <w:bCs/>
                <w:sz w:val="20"/>
              </w:rPr>
            </w:pPr>
          </w:p>
        </w:tc>
        <w:tc>
          <w:tcPr>
            <w:tcW w:w="1832" w:type="pct"/>
            <w:gridSpan w:val="5"/>
            <w:vAlign w:val="center"/>
          </w:tcPr>
          <w:p>
            <w:pPr>
              <w:rPr>
                <w:rFonts w:hAnsi="宋体" w:cs="宋体"/>
                <w:bCs/>
                <w:sz w:val="20"/>
              </w:rPr>
            </w:pPr>
            <w:r>
              <w:rPr>
                <w:rFonts w:hAnsi="宋体" w:cs="宋体"/>
                <w:bCs/>
                <w:sz w:val="20"/>
              </w:rPr>
              <w:t>到达中型多功能运动场地的步行距离不超过500m。</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6.2.5</w:t>
            </w:r>
          </w:p>
        </w:tc>
        <w:tc>
          <w:tcPr>
            <w:tcW w:w="512" w:type="pct"/>
            <w:vMerge w:val="restart"/>
            <w:shd w:val="clear" w:color="000000" w:fill="FFFFFF"/>
            <w:vAlign w:val="center"/>
          </w:tcPr>
          <w:p>
            <w:pPr>
              <w:rPr>
                <w:rFonts w:hAnsi="宋体" w:cs="宋体"/>
                <w:b/>
                <w:bCs/>
                <w:sz w:val="20"/>
              </w:rPr>
            </w:pPr>
            <w:r>
              <w:rPr>
                <w:rFonts w:hAnsi="宋体" w:cs="宋体"/>
                <w:bCs/>
                <w:sz w:val="20"/>
              </w:rPr>
              <w:t>健身场地和空间</w:t>
            </w:r>
          </w:p>
        </w:tc>
        <w:tc>
          <w:tcPr>
            <w:tcW w:w="2134" w:type="pct"/>
            <w:gridSpan w:val="8"/>
            <w:shd w:val="clear" w:color="000000" w:fill="FFFFFF"/>
            <w:vAlign w:val="center"/>
          </w:tcPr>
          <w:p>
            <w:pPr>
              <w:rPr>
                <w:rFonts w:hAnsi="宋体" w:cs="宋体"/>
                <w:bCs/>
                <w:sz w:val="20"/>
              </w:rPr>
            </w:pPr>
            <w:r>
              <w:rPr>
                <w:rFonts w:hAnsi="宋体" w:cs="宋体"/>
                <w:bCs/>
                <w:sz w:val="20"/>
              </w:rPr>
              <w:t>室外健身场地面积不少于总用地面积的0.5%。</w:t>
            </w:r>
          </w:p>
        </w:tc>
        <w:tc>
          <w:tcPr>
            <w:tcW w:w="391" w:type="pct"/>
            <w:shd w:val="clear" w:color="000000" w:fill="FFFFFF"/>
            <w:vAlign w:val="center"/>
          </w:tcPr>
          <w:p>
            <w:pPr>
              <w:widowControl/>
              <w:jc w:val="center"/>
              <w:rPr>
                <w:rFonts w:hAnsi="宋体" w:cs="宋体"/>
                <w:b/>
                <w:bCs/>
                <w:sz w:val="20"/>
              </w:rPr>
            </w:pPr>
            <w:r>
              <w:rPr>
                <w:rFonts w:hAnsi="宋体" w:cs="宋体"/>
                <w:b/>
                <w:bCs/>
                <w:sz w:val="20"/>
              </w:rPr>
              <w:t>3</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10</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rPr>
                <w:rFonts w:hAnsi="宋体" w:cs="宋体"/>
                <w:bCs/>
                <w:sz w:val="20"/>
              </w:rPr>
            </w:pPr>
            <w:r>
              <w:rPr>
                <w:rFonts w:hAnsi="宋体" w:cs="宋体"/>
                <w:bCs/>
                <w:sz w:val="20"/>
              </w:rPr>
              <w:t>设置宽度不少于1.25m的专用健身慢行道，健身慢行道长度不少于用地红线周长的1/4且不少于100m。</w:t>
            </w:r>
          </w:p>
        </w:tc>
        <w:tc>
          <w:tcPr>
            <w:tcW w:w="391" w:type="pct"/>
            <w:shd w:val="clear" w:color="auto" w:fill="auto"/>
            <w:vAlign w:val="center"/>
          </w:tcPr>
          <w:p>
            <w:pPr>
              <w:widowControl/>
              <w:jc w:val="center"/>
              <w:rPr>
                <w:rFonts w:hAnsi="宋体" w:cs="宋体"/>
                <w:b/>
                <w:bCs/>
                <w:sz w:val="20"/>
              </w:rPr>
            </w:pPr>
            <w:r>
              <w:rPr>
                <w:rFonts w:hAnsi="宋体" w:cs="宋体"/>
                <w:b/>
                <w:bCs/>
                <w:sz w:val="20"/>
              </w:rPr>
              <w:t>2</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rPr>
                <w:rFonts w:hAnsi="宋体" w:cs="宋体"/>
                <w:bCs/>
                <w:sz w:val="20"/>
              </w:rPr>
            </w:pPr>
            <w:r>
              <w:rPr>
                <w:rFonts w:hAnsi="宋体" w:cs="宋体"/>
                <w:bCs/>
                <w:sz w:val="20"/>
              </w:rPr>
              <w:t>室内健身空间的面积不少于地上建筑面积的0.3%且不少于60m²。</w:t>
            </w:r>
          </w:p>
        </w:tc>
        <w:tc>
          <w:tcPr>
            <w:tcW w:w="391" w:type="pct"/>
            <w:shd w:val="clear" w:color="auto" w:fill="auto"/>
            <w:vAlign w:val="center"/>
          </w:tcPr>
          <w:p>
            <w:pPr>
              <w:widowControl/>
              <w:jc w:val="center"/>
              <w:rPr>
                <w:rFonts w:hAnsi="宋体" w:cs="宋体"/>
                <w:b/>
                <w:bCs/>
                <w:sz w:val="20"/>
              </w:rPr>
            </w:pPr>
            <w:r>
              <w:rPr>
                <w:rFonts w:hAnsi="宋体" w:cs="宋体"/>
                <w:b/>
                <w:bCs/>
                <w:sz w:val="20"/>
              </w:rPr>
              <w:t>3</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
                <w:bCs/>
                <w:sz w:val="20"/>
              </w:rPr>
            </w:pPr>
          </w:p>
        </w:tc>
        <w:tc>
          <w:tcPr>
            <w:tcW w:w="2134" w:type="pct"/>
            <w:gridSpan w:val="8"/>
            <w:shd w:val="clear" w:color="auto" w:fill="auto"/>
            <w:vAlign w:val="center"/>
          </w:tcPr>
          <w:p>
            <w:pPr>
              <w:rPr>
                <w:rFonts w:hAnsi="宋体" w:cs="宋体"/>
                <w:bCs/>
                <w:sz w:val="20"/>
              </w:rPr>
            </w:pPr>
            <w:r>
              <w:rPr>
                <w:rFonts w:hAnsi="宋体" w:cs="宋体"/>
                <w:bCs/>
                <w:sz w:val="20"/>
              </w:rPr>
              <w:t>楼梯间具有天然采光和良好的视野，且距离主入口的距离不大于15m。</w:t>
            </w:r>
          </w:p>
        </w:tc>
        <w:tc>
          <w:tcPr>
            <w:tcW w:w="391" w:type="pct"/>
            <w:shd w:val="clear" w:color="auto" w:fill="auto"/>
            <w:vAlign w:val="center"/>
          </w:tcPr>
          <w:p>
            <w:pPr>
              <w:widowControl/>
              <w:jc w:val="center"/>
              <w:rPr>
                <w:rFonts w:hAnsi="宋体" w:cs="宋体"/>
                <w:b/>
                <w:bCs/>
                <w:sz w:val="20"/>
              </w:rPr>
            </w:pPr>
            <w:r>
              <w:rPr>
                <w:rFonts w:hAnsi="宋体" w:cs="宋体"/>
                <w:b/>
                <w:bCs/>
                <w:sz w:val="20"/>
              </w:rPr>
              <w:t>2</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6.2.6</w:t>
            </w:r>
          </w:p>
        </w:tc>
        <w:tc>
          <w:tcPr>
            <w:tcW w:w="2646" w:type="pct"/>
            <w:gridSpan w:val="9"/>
            <w:vAlign w:val="center"/>
          </w:tcPr>
          <w:p>
            <w:pPr>
              <w:rPr>
                <w:rFonts w:hAnsi="宋体" w:cs="宋体"/>
                <w:bCs/>
                <w:sz w:val="20"/>
              </w:rPr>
            </w:pPr>
            <w:r>
              <w:rPr>
                <w:rFonts w:hAnsi="宋体" w:cs="宋体"/>
                <w:bCs/>
                <w:sz w:val="20"/>
              </w:rPr>
              <w:t>设置分类、分级用能自动远传计量系统，且设置能源管理系统实现对建筑能耗的监测、数据分析和管理。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6.2.7</w:t>
            </w:r>
          </w:p>
        </w:tc>
        <w:tc>
          <w:tcPr>
            <w:tcW w:w="2646" w:type="pct"/>
            <w:gridSpan w:val="9"/>
            <w:vAlign w:val="center"/>
          </w:tcPr>
          <w:p>
            <w:pPr>
              <w:rPr>
                <w:rFonts w:hAnsi="宋体" w:cs="宋体"/>
                <w:bCs/>
                <w:sz w:val="20"/>
              </w:rPr>
            </w:pPr>
            <w:r>
              <w:rPr>
                <w:rFonts w:hAnsi="宋体" w:cs="宋体"/>
                <w:bCs/>
                <w:sz w:val="20"/>
              </w:rPr>
              <w:t>设置PM</w:t>
            </w:r>
            <w:r>
              <w:rPr>
                <w:rFonts w:hAnsi="宋体" w:cs="宋体"/>
                <w:bCs/>
                <w:sz w:val="20"/>
                <w:vertAlign w:val="subscript"/>
              </w:rPr>
              <w:t>10</w:t>
            </w:r>
            <w:r>
              <w:rPr>
                <w:rFonts w:hAnsi="宋体" w:cs="宋体"/>
                <w:bCs/>
                <w:sz w:val="20"/>
              </w:rPr>
              <w:t>、PM</w:t>
            </w:r>
            <w:r>
              <w:rPr>
                <w:rFonts w:hAnsi="宋体" w:cs="宋体"/>
                <w:bCs/>
                <w:sz w:val="20"/>
                <w:vertAlign w:val="subscript"/>
              </w:rPr>
              <w:t>2.5</w:t>
            </w:r>
            <w:r>
              <w:rPr>
                <w:rFonts w:hAnsi="宋体" w:cs="宋体"/>
                <w:bCs/>
                <w:sz w:val="20"/>
              </w:rPr>
              <w:t>、CO</w:t>
            </w:r>
            <w:r>
              <w:rPr>
                <w:rFonts w:hAnsi="宋体" w:cs="宋体"/>
                <w:bCs/>
                <w:sz w:val="20"/>
                <w:vertAlign w:val="subscript"/>
              </w:rPr>
              <w:t>2</w:t>
            </w:r>
            <w:r>
              <w:rPr>
                <w:rFonts w:hAnsi="宋体" w:cs="宋体"/>
                <w:bCs/>
                <w:sz w:val="20"/>
              </w:rPr>
              <w:t>浓度的空气质量监测系统，且具有存储至少一年的监测数据和实时显示等功能。</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6.2.8</w:t>
            </w:r>
          </w:p>
        </w:tc>
        <w:tc>
          <w:tcPr>
            <w:tcW w:w="512" w:type="pct"/>
            <w:vMerge w:val="restart"/>
            <w:vAlign w:val="center"/>
          </w:tcPr>
          <w:p>
            <w:pPr>
              <w:rPr>
                <w:rFonts w:hAnsi="宋体" w:cs="宋体"/>
                <w:bCs/>
                <w:sz w:val="20"/>
              </w:rPr>
            </w:pPr>
            <w:r>
              <w:rPr>
                <w:rFonts w:hAnsi="宋体" w:cs="宋体"/>
                <w:bCs/>
                <w:sz w:val="20"/>
              </w:rPr>
              <w:t>设置用水远传计量系统、水质在线监测系统。</w:t>
            </w:r>
          </w:p>
        </w:tc>
        <w:tc>
          <w:tcPr>
            <w:tcW w:w="2134" w:type="pct"/>
            <w:gridSpan w:val="8"/>
            <w:vAlign w:val="center"/>
          </w:tcPr>
          <w:p>
            <w:pPr>
              <w:rPr>
                <w:rFonts w:hAnsi="宋体" w:cs="宋体"/>
                <w:bCs/>
                <w:sz w:val="20"/>
              </w:rPr>
            </w:pPr>
            <w:r>
              <w:rPr>
                <w:rFonts w:hAnsi="宋体" w:cs="宋体"/>
                <w:bCs/>
                <w:sz w:val="20"/>
              </w:rPr>
              <w:t>设置用水量远传计量系统，能分类、分级记录、统计分析各种用水情况。</w:t>
            </w:r>
          </w:p>
        </w:tc>
        <w:tc>
          <w:tcPr>
            <w:tcW w:w="391" w:type="pct"/>
            <w:vAlign w:val="center"/>
          </w:tcPr>
          <w:p>
            <w:pPr>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7</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noWrap/>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利用计量数据进行管网漏损自动监测、分析与整改，管道漏损率低于5%。</w:t>
            </w:r>
          </w:p>
        </w:tc>
        <w:tc>
          <w:tcPr>
            <w:tcW w:w="391" w:type="pct"/>
            <w:vAlign w:val="center"/>
          </w:tcPr>
          <w:p>
            <w:pPr>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noWrap/>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设置水质在线监测系统，监测生活饮用水、管道直饮水、游泳池水、非传统水源、空调冷却水的水质指标，记录并保存水质监测结果，且能随时供用户查询。</w:t>
            </w:r>
          </w:p>
        </w:tc>
        <w:tc>
          <w:tcPr>
            <w:tcW w:w="391" w:type="pct"/>
            <w:vAlign w:val="center"/>
          </w:tcPr>
          <w:p>
            <w:pPr>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restart"/>
            <w:shd w:val="clear" w:color="auto" w:fill="auto"/>
            <w:noWrap/>
            <w:vAlign w:val="center"/>
          </w:tcPr>
          <w:p>
            <w:pPr>
              <w:rPr>
                <w:rFonts w:hAnsi="宋体" w:cs="宋体"/>
                <w:sz w:val="20"/>
              </w:rPr>
            </w:pPr>
            <w:r>
              <w:rPr>
                <w:rFonts w:hAnsi="宋体" w:cs="宋体"/>
                <w:sz w:val="20"/>
              </w:rPr>
              <w:t>6.2.9</w:t>
            </w:r>
          </w:p>
        </w:tc>
        <w:tc>
          <w:tcPr>
            <w:tcW w:w="512" w:type="pct"/>
            <w:vMerge w:val="restart"/>
            <w:shd w:val="clear" w:color="auto" w:fill="auto"/>
            <w:vAlign w:val="center"/>
          </w:tcPr>
          <w:p>
            <w:pPr>
              <w:rPr>
                <w:rFonts w:hAnsi="宋体" w:cs="宋体"/>
                <w:bCs/>
                <w:sz w:val="20"/>
              </w:rPr>
            </w:pPr>
            <w:r>
              <w:rPr>
                <w:rFonts w:hAnsi="宋体" w:cs="宋体"/>
                <w:bCs/>
                <w:sz w:val="20"/>
              </w:rPr>
              <w:t>具有智能化服务系统。</w:t>
            </w:r>
          </w:p>
        </w:tc>
        <w:tc>
          <w:tcPr>
            <w:tcW w:w="2134" w:type="pct"/>
            <w:gridSpan w:val="8"/>
            <w:shd w:val="clear" w:color="auto" w:fill="auto"/>
            <w:vAlign w:val="center"/>
          </w:tcPr>
          <w:p>
            <w:pPr>
              <w:rPr>
                <w:rFonts w:hAnsi="宋体" w:cs="宋体"/>
                <w:bCs/>
                <w:sz w:val="20"/>
              </w:rPr>
            </w:pPr>
            <w:r>
              <w:rPr>
                <w:rFonts w:hAnsi="宋体" w:cs="宋体"/>
                <w:bCs/>
                <w:sz w:val="20"/>
              </w:rPr>
              <w:t>具有家电控制、照明控制、安全报警、环境监测、建筑设备控制、工作生活服务等3种及以上的服务功能。</w:t>
            </w:r>
          </w:p>
        </w:tc>
        <w:tc>
          <w:tcPr>
            <w:tcW w:w="391" w:type="pct"/>
            <w:shd w:val="clear" w:color="auto" w:fill="auto"/>
            <w:vAlign w:val="center"/>
          </w:tcPr>
          <w:p>
            <w:pPr>
              <w:widowControl/>
              <w:jc w:val="center"/>
              <w:rPr>
                <w:rFonts w:hAnsi="宋体" w:cs="宋体"/>
                <w:b/>
                <w:bCs/>
                <w:sz w:val="20"/>
              </w:rPr>
            </w:pPr>
            <w:r>
              <w:rPr>
                <w:rFonts w:hAnsi="宋体" w:cs="宋体"/>
                <w:b/>
                <w:bCs/>
                <w:sz w:val="20"/>
              </w:rPr>
              <w:t>3</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具有远程监控的功能。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具有接入智慧城市（城区、社区）的功能。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节约资源</w:t>
            </w:r>
          </w:p>
        </w:tc>
        <w:tc>
          <w:tcPr>
            <w:tcW w:w="492" w:type="pct"/>
            <w:noWrap/>
            <w:vAlign w:val="center"/>
          </w:tcPr>
          <w:p>
            <w:pPr>
              <w:widowControl/>
              <w:rPr>
                <w:rFonts w:hAnsi="宋体" w:cs="宋体"/>
                <w:sz w:val="20"/>
              </w:rPr>
            </w:pPr>
            <w:r>
              <w:rPr>
                <w:rFonts w:hAnsi="宋体" w:cs="宋体"/>
                <w:sz w:val="20"/>
              </w:rPr>
              <w:t>7.1.1</w:t>
            </w:r>
          </w:p>
        </w:tc>
        <w:tc>
          <w:tcPr>
            <w:tcW w:w="2646" w:type="pct"/>
            <w:gridSpan w:val="9"/>
            <w:vAlign w:val="center"/>
          </w:tcPr>
          <w:p>
            <w:pPr>
              <w:rPr>
                <w:rFonts w:hAnsi="宋体" w:cs="宋体"/>
                <w:bCs/>
                <w:sz w:val="20"/>
              </w:rPr>
            </w:pPr>
            <w:r>
              <w:rPr>
                <w:rFonts w:hAnsi="宋体" w:cs="宋体"/>
                <w:bCs/>
                <w:sz w:val="20"/>
              </w:rPr>
              <w:t>应结合场地自然条件和建筑功能需求，对建筑的体形、平面布局、空间尺度、围护结构等进行节能设计，且应符合国家有关节能设计的要求。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7.1.2</w:t>
            </w:r>
          </w:p>
        </w:tc>
        <w:tc>
          <w:tcPr>
            <w:tcW w:w="730" w:type="pct"/>
            <w:gridSpan w:val="3"/>
            <w:vMerge w:val="restart"/>
            <w:vAlign w:val="center"/>
          </w:tcPr>
          <w:p>
            <w:pPr>
              <w:rPr>
                <w:rFonts w:hAnsi="宋体" w:cs="宋体"/>
                <w:bCs/>
                <w:sz w:val="20"/>
              </w:rPr>
            </w:pPr>
            <w:r>
              <w:rPr>
                <w:rFonts w:hAnsi="宋体" w:cs="宋体"/>
                <w:bCs/>
                <w:sz w:val="20"/>
              </w:rPr>
              <w:t>应采取措施降低部分负荷、部分空间使用下的供暖、空调系统能耗。</w:t>
            </w:r>
          </w:p>
        </w:tc>
        <w:tc>
          <w:tcPr>
            <w:tcW w:w="1916" w:type="pct"/>
            <w:gridSpan w:val="6"/>
            <w:vAlign w:val="center"/>
          </w:tcPr>
          <w:p>
            <w:pPr>
              <w:rPr>
                <w:rFonts w:hAnsi="宋体" w:cs="宋体"/>
                <w:bCs/>
                <w:sz w:val="20"/>
              </w:rPr>
            </w:pPr>
            <w:r>
              <w:rPr>
                <w:rFonts w:hAnsi="宋体" w:cs="宋体"/>
                <w:bCs/>
                <w:sz w:val="20"/>
              </w:rPr>
              <w:t>应区分房间的朝向细分供暖、空调区域，并应对系统进行分区控制。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730" w:type="pct"/>
            <w:gridSpan w:val="3"/>
            <w:vMerge w:val="continue"/>
            <w:vAlign w:val="center"/>
          </w:tcPr>
          <w:p>
            <w:pPr>
              <w:widowControl/>
              <w:rPr>
                <w:rFonts w:hAnsi="宋体" w:cs="宋体"/>
                <w:b/>
                <w:bCs/>
                <w:sz w:val="20"/>
              </w:rPr>
            </w:pPr>
          </w:p>
        </w:tc>
        <w:tc>
          <w:tcPr>
            <w:tcW w:w="1916" w:type="pct"/>
            <w:gridSpan w:val="6"/>
            <w:vAlign w:val="center"/>
          </w:tcPr>
          <w:p>
            <w:pPr>
              <w:rPr>
                <w:rFonts w:hAnsi="宋体" w:cs="宋体"/>
                <w:bCs/>
                <w:sz w:val="20"/>
              </w:rPr>
            </w:pPr>
            <w:r>
              <w:rPr>
                <w:rFonts w:hAnsi="宋体" w:cs="宋体"/>
                <w:bCs/>
                <w:sz w:val="20"/>
              </w:rPr>
              <w:t>IPLV、SCOP满足</w:t>
            </w:r>
            <w:r>
              <w:rPr>
                <w:rFonts w:hAnsi="宋体" w:cs="宋体"/>
                <w:sz w:val="20"/>
              </w:rPr>
              <w:t>现行国家标准</w:t>
            </w:r>
            <w:r>
              <w:rPr>
                <w:rFonts w:hAnsi="宋体" w:cs="宋体"/>
                <w:bCs/>
                <w:sz w:val="20"/>
              </w:rPr>
              <w:t>《公共建筑节能设计标准》GB 50189规定。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7.1.3</w:t>
            </w:r>
          </w:p>
        </w:tc>
        <w:tc>
          <w:tcPr>
            <w:tcW w:w="2646" w:type="pct"/>
            <w:gridSpan w:val="9"/>
            <w:vAlign w:val="center"/>
          </w:tcPr>
          <w:p>
            <w:pPr>
              <w:widowControl/>
              <w:rPr>
                <w:rFonts w:hAnsi="宋体" w:cs="宋体"/>
                <w:b/>
                <w:bCs/>
                <w:sz w:val="20"/>
              </w:rPr>
            </w:pPr>
            <w:r>
              <w:rPr>
                <w:rFonts w:hAnsi="宋体" w:cs="宋体"/>
                <w:sz w:val="20"/>
              </w:rPr>
              <w:t>应根据建筑空间功能设置分区温度，合理降低室内过渡区空间的温度设定标准。</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7.1.4</w:t>
            </w:r>
          </w:p>
        </w:tc>
        <w:tc>
          <w:tcPr>
            <w:tcW w:w="2646" w:type="pct"/>
            <w:gridSpan w:val="9"/>
            <w:vAlign w:val="center"/>
          </w:tcPr>
          <w:p>
            <w:pPr>
              <w:widowControl/>
              <w:rPr>
                <w:rFonts w:hAnsi="宋体" w:cs="宋体"/>
                <w:bCs/>
                <w:sz w:val="20"/>
              </w:rPr>
            </w:pPr>
            <w:r>
              <w:rPr>
                <w:rFonts w:hAnsi="宋体" w:cs="宋体"/>
                <w:sz w:val="20"/>
              </w:rPr>
              <w:t>主要功能房间的照明功率密度值不应高于现行国家标准《建筑照明设计标准》GB 50034规定的现行值；公共区域的照明系统应采用分区、定时、感应等节能控制；采光区域的照明控制应独立于其他区域的照明控制。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7.1.5</w:t>
            </w:r>
          </w:p>
        </w:tc>
        <w:tc>
          <w:tcPr>
            <w:tcW w:w="2646" w:type="pct"/>
            <w:gridSpan w:val="9"/>
            <w:vAlign w:val="center"/>
          </w:tcPr>
          <w:p>
            <w:pPr>
              <w:widowControl/>
              <w:rPr>
                <w:rFonts w:hAnsi="宋体" w:cs="宋体"/>
                <w:bCs/>
                <w:sz w:val="20"/>
              </w:rPr>
            </w:pPr>
            <w:r>
              <w:rPr>
                <w:rFonts w:hAnsi="宋体" w:cs="宋体"/>
                <w:sz w:val="20"/>
              </w:rPr>
              <w:t>冷热源、输配系统和照明等各部分能耗应进行独立分项计量。</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7.1.6</w:t>
            </w:r>
          </w:p>
        </w:tc>
        <w:tc>
          <w:tcPr>
            <w:tcW w:w="2646" w:type="pct"/>
            <w:gridSpan w:val="9"/>
            <w:vAlign w:val="center"/>
          </w:tcPr>
          <w:p>
            <w:pPr>
              <w:widowControl/>
              <w:rPr>
                <w:rFonts w:hAnsi="宋体" w:cs="宋体"/>
                <w:bCs/>
                <w:sz w:val="20"/>
              </w:rPr>
            </w:pPr>
            <w:r>
              <w:rPr>
                <w:rFonts w:hAnsi="宋体" w:cs="宋体"/>
                <w:sz w:val="20"/>
              </w:rPr>
              <w:t>垂直电梯应采取群控、变频调速或能量反馈等节能措施；自动扶梯应采用变频感应启动等节能控制措施。</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7.1.7</w:t>
            </w:r>
          </w:p>
        </w:tc>
        <w:tc>
          <w:tcPr>
            <w:tcW w:w="512" w:type="pct"/>
            <w:vMerge w:val="restart"/>
            <w:vAlign w:val="center"/>
          </w:tcPr>
          <w:p>
            <w:pPr>
              <w:widowControl/>
              <w:rPr>
                <w:rFonts w:hAnsi="宋体" w:cs="宋体"/>
                <w:bCs/>
                <w:sz w:val="20"/>
              </w:rPr>
            </w:pPr>
            <w:r>
              <w:rPr>
                <w:rFonts w:hAnsi="宋体" w:cs="宋体"/>
                <w:sz w:val="20"/>
              </w:rPr>
              <w:t>应制定水资源利用方案，统筹利用各种水资源。</w:t>
            </w:r>
          </w:p>
        </w:tc>
        <w:tc>
          <w:tcPr>
            <w:tcW w:w="2134" w:type="pct"/>
            <w:gridSpan w:val="8"/>
            <w:vAlign w:val="center"/>
          </w:tcPr>
          <w:p>
            <w:pPr>
              <w:widowControl/>
              <w:rPr>
                <w:rFonts w:hAnsi="宋体" w:cs="宋体"/>
                <w:bCs/>
                <w:sz w:val="20"/>
              </w:rPr>
            </w:pPr>
            <w:r>
              <w:rPr>
                <w:rFonts w:hAnsi="宋体" w:cs="宋体"/>
                <w:bCs/>
                <w:sz w:val="20"/>
              </w:rPr>
              <w:t>应按使用用途、付费或管理单元，分别设置用水计量装置；</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用水点处水压大于0.2Mpa的配水支管应设置减压设施，并应满足给水配件的最小工作压力的要求；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用水器具和设备应满足节水产品的要求。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7.1.8</w:t>
            </w:r>
          </w:p>
        </w:tc>
        <w:tc>
          <w:tcPr>
            <w:tcW w:w="2646" w:type="pct"/>
            <w:gridSpan w:val="9"/>
            <w:vAlign w:val="center"/>
          </w:tcPr>
          <w:p>
            <w:pPr>
              <w:widowControl/>
              <w:rPr>
                <w:rFonts w:hAnsi="宋体" w:cs="宋体"/>
                <w:bCs/>
                <w:sz w:val="20"/>
              </w:rPr>
            </w:pPr>
            <w:r>
              <w:rPr>
                <w:rFonts w:hAnsi="宋体" w:cs="宋体"/>
                <w:sz w:val="20"/>
              </w:rPr>
              <w:t>不应采用建筑形体和布置严重不规则的建筑结构。</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7.1.9</w:t>
            </w:r>
          </w:p>
        </w:tc>
        <w:tc>
          <w:tcPr>
            <w:tcW w:w="512" w:type="pct"/>
            <w:vMerge w:val="restart"/>
            <w:vAlign w:val="center"/>
          </w:tcPr>
          <w:p>
            <w:pPr>
              <w:widowControl/>
              <w:rPr>
                <w:rFonts w:hAnsi="宋体" w:cs="宋体"/>
                <w:b/>
                <w:bCs/>
                <w:sz w:val="20"/>
              </w:rPr>
            </w:pPr>
            <w:r>
              <w:rPr>
                <w:rFonts w:hAnsi="宋体" w:cs="宋体"/>
                <w:bCs/>
                <w:sz w:val="20"/>
              </w:rPr>
              <w:t>建筑造型要素应简约，且无大量装饰性构件。</w:t>
            </w:r>
          </w:p>
        </w:tc>
        <w:tc>
          <w:tcPr>
            <w:tcW w:w="2134" w:type="pct"/>
            <w:gridSpan w:val="8"/>
            <w:vAlign w:val="center"/>
          </w:tcPr>
          <w:p>
            <w:pPr>
              <w:widowControl/>
              <w:rPr>
                <w:rFonts w:hAnsi="宋体" w:cs="宋体"/>
                <w:bCs/>
                <w:sz w:val="20"/>
              </w:rPr>
            </w:pPr>
            <w:r>
              <w:rPr>
                <w:rFonts w:hAnsi="宋体" w:cs="宋体"/>
                <w:bCs/>
                <w:sz w:val="20"/>
              </w:rPr>
              <w:t>住宅建筑的装饰性构件造价占建筑总造价的比例不应大于2%；</w:t>
            </w:r>
          </w:p>
        </w:tc>
        <w:tc>
          <w:tcPr>
            <w:tcW w:w="766" w:type="pct"/>
            <w:gridSpan w:val="2"/>
            <w:vMerge w:val="restart"/>
            <w:vAlign w:val="center"/>
          </w:tcPr>
          <w:p>
            <w:pPr>
              <w:jc w:val="center"/>
              <w:rPr>
                <w:rFonts w:hAnsi="宋体" w:cs="宋体"/>
                <w:b/>
                <w:bCs/>
                <w:sz w:val="20"/>
              </w:rPr>
            </w:pPr>
            <w:r>
              <w:rPr>
                <w:rFonts w:hAnsi="宋体" w:cs="宋体"/>
                <w:b/>
                <w:bCs/>
                <w:sz w:val="20"/>
              </w:rPr>
              <w:t>控制项</w:t>
            </w:r>
          </w:p>
        </w:tc>
        <w:tc>
          <w:tcPr>
            <w:tcW w:w="455" w:type="pct"/>
            <w:vMerge w:val="restar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vMerge w:val="restar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55" w:type="pct"/>
            <w:vMerge w:val="continue"/>
            <w:vAlign w:val="center"/>
          </w:tcPr>
          <w:p>
            <w:pPr>
              <w:widowControl/>
              <w:rPr>
                <w:rFonts w:hAnsi="宋体" w:cs="宋体"/>
                <w:sz w:val="20"/>
              </w:rPr>
            </w:pPr>
          </w:p>
        </w:tc>
        <w:tc>
          <w:tcPr>
            <w:tcW w:w="492" w:type="pct"/>
            <w:vMerge w:val="continue"/>
            <w:noWrap/>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公共建筑的装饰性构件造价占建筑总造价的比例不应大于1%。</w:t>
            </w:r>
          </w:p>
        </w:tc>
        <w:tc>
          <w:tcPr>
            <w:tcW w:w="766" w:type="pct"/>
            <w:gridSpan w:val="2"/>
            <w:vMerge w:val="continue"/>
            <w:vAlign w:val="center"/>
          </w:tcPr>
          <w:p>
            <w:pPr>
              <w:jc w:val="center"/>
              <w:rPr>
                <w:rFonts w:hAnsi="宋体" w:cs="宋体"/>
                <w:b/>
                <w:bCs/>
                <w:sz w:val="20"/>
              </w:rPr>
            </w:pPr>
          </w:p>
        </w:tc>
        <w:tc>
          <w:tcPr>
            <w:tcW w:w="455" w:type="pct"/>
            <w:vMerge w:val="continue"/>
            <w:vAlign w:val="center"/>
          </w:tcPr>
          <w:p>
            <w:pPr>
              <w:widowControl/>
              <w:ind w:left="-63" w:leftChars="-30" w:right="-105" w:rightChars="-50"/>
              <w:rPr>
                <w:rFonts w:hAnsi="宋体" w:cs="宋体"/>
                <w:szCs w:val="21"/>
              </w:rPr>
            </w:pPr>
          </w:p>
        </w:tc>
        <w:tc>
          <w:tcPr>
            <w:tcW w:w="386" w:type="pct"/>
            <w:vMerge w:val="continue"/>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7.1.10</w:t>
            </w:r>
          </w:p>
        </w:tc>
        <w:tc>
          <w:tcPr>
            <w:tcW w:w="512" w:type="pct"/>
            <w:vMerge w:val="restart"/>
            <w:vAlign w:val="center"/>
          </w:tcPr>
          <w:p>
            <w:pPr>
              <w:widowControl/>
              <w:rPr>
                <w:rFonts w:hAnsi="宋体" w:cs="宋体"/>
                <w:bCs/>
                <w:sz w:val="20"/>
              </w:rPr>
            </w:pPr>
            <w:r>
              <w:rPr>
                <w:rFonts w:hAnsi="宋体" w:cs="宋体"/>
                <w:bCs/>
                <w:sz w:val="20"/>
              </w:rPr>
              <w:t>建筑材料选用</w:t>
            </w:r>
          </w:p>
        </w:tc>
        <w:tc>
          <w:tcPr>
            <w:tcW w:w="2134" w:type="pct"/>
            <w:gridSpan w:val="8"/>
            <w:vAlign w:val="center"/>
          </w:tcPr>
          <w:p>
            <w:pPr>
              <w:rPr>
                <w:rFonts w:hAnsi="宋体" w:cs="宋体"/>
                <w:sz w:val="20"/>
              </w:rPr>
            </w:pPr>
            <w:r>
              <w:rPr>
                <w:rFonts w:hAnsi="宋体" w:cs="宋体"/>
                <w:sz w:val="20"/>
              </w:rPr>
              <w:t>500km以内生产的建筑材料使用量占建筑材料总重量的比例应大于60%。</w:t>
            </w:r>
          </w:p>
        </w:tc>
        <w:tc>
          <w:tcPr>
            <w:tcW w:w="766" w:type="pct"/>
            <w:gridSpan w:val="2"/>
            <w:vMerge w:val="restart"/>
            <w:vAlign w:val="center"/>
          </w:tcPr>
          <w:p>
            <w:pPr>
              <w:widowControl/>
              <w:jc w:val="center"/>
              <w:rPr>
                <w:rFonts w:hAnsi="宋体" w:cs="宋体"/>
                <w:b/>
                <w:bCs/>
                <w:sz w:val="20"/>
              </w:rPr>
            </w:pPr>
            <w:r>
              <w:rPr>
                <w:rFonts w:hAnsi="宋体" w:cs="宋体"/>
                <w:b/>
                <w:bCs/>
                <w:sz w:val="20"/>
              </w:rPr>
              <w:t>控制项</w:t>
            </w:r>
          </w:p>
        </w:tc>
        <w:tc>
          <w:tcPr>
            <w:tcW w:w="455" w:type="pct"/>
            <w:vMerge w:val="restar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vMerge w:val="restar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sz w:val="20"/>
              </w:rPr>
            </w:pPr>
            <w:r>
              <w:rPr>
                <w:rFonts w:hAnsi="宋体" w:cs="宋体"/>
                <w:sz w:val="20"/>
              </w:rPr>
              <w:t>现浇混凝土应采用预拌混凝土，建筑砂浆应采用预拌砂浆。</w:t>
            </w:r>
          </w:p>
        </w:tc>
        <w:tc>
          <w:tcPr>
            <w:tcW w:w="766" w:type="pct"/>
            <w:gridSpan w:val="2"/>
            <w:vMerge w:val="continue"/>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vMerge w:val="continue"/>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7.2.1</w:t>
            </w:r>
          </w:p>
        </w:tc>
        <w:tc>
          <w:tcPr>
            <w:tcW w:w="512" w:type="pct"/>
            <w:vMerge w:val="restart"/>
            <w:vAlign w:val="center"/>
          </w:tcPr>
          <w:p>
            <w:pPr>
              <w:widowControl/>
              <w:rPr>
                <w:rFonts w:hAnsi="宋体" w:cs="宋体"/>
                <w:bCs/>
                <w:sz w:val="20"/>
              </w:rPr>
            </w:pPr>
            <w:r>
              <w:rPr>
                <w:rFonts w:hAnsi="宋体" w:cs="宋体"/>
                <w:bCs/>
                <w:sz w:val="20"/>
              </w:rPr>
              <w:t>节约集约利用土地</w:t>
            </w:r>
          </w:p>
        </w:tc>
        <w:tc>
          <w:tcPr>
            <w:tcW w:w="2134" w:type="pct"/>
            <w:gridSpan w:val="8"/>
            <w:vAlign w:val="center"/>
          </w:tcPr>
          <w:p>
            <w:pPr>
              <w:widowControl/>
              <w:rPr>
                <w:rFonts w:hAnsi="宋体" w:cs="宋体"/>
                <w:bCs/>
                <w:sz w:val="20"/>
              </w:rPr>
            </w:pPr>
            <w:r>
              <w:rPr>
                <w:rFonts w:hAnsi="宋体" w:cs="宋体"/>
                <w:bCs/>
                <w:sz w:val="20"/>
              </w:rPr>
              <w:t>住宅建筑根据其所在居住街坊人均住宅用地规则评定。</w:t>
            </w:r>
          </w:p>
        </w:tc>
        <w:tc>
          <w:tcPr>
            <w:tcW w:w="391" w:type="pct"/>
            <w:vAlign w:val="center"/>
          </w:tcPr>
          <w:p>
            <w:pPr>
              <w:widowControl/>
              <w:jc w:val="center"/>
              <w:rPr>
                <w:rFonts w:hAnsi="宋体" w:cs="宋体"/>
                <w:b/>
                <w:bCs/>
                <w:sz w:val="20"/>
              </w:rPr>
            </w:pPr>
            <w:r>
              <w:rPr>
                <w:rFonts w:hAnsi="宋体" w:cs="宋体"/>
                <w:b/>
                <w:bCs/>
                <w:sz w:val="20"/>
              </w:rPr>
              <w:t>20</w:t>
            </w:r>
          </w:p>
        </w:tc>
        <w:tc>
          <w:tcPr>
            <w:tcW w:w="375" w:type="pct"/>
            <w:vMerge w:val="restart"/>
            <w:vAlign w:val="center"/>
          </w:tcPr>
          <w:p>
            <w:pPr>
              <w:widowControl/>
              <w:jc w:val="center"/>
              <w:rPr>
                <w:rFonts w:hAnsi="宋体" w:cs="宋体"/>
                <w:b/>
                <w:bCs/>
                <w:sz w:val="20"/>
              </w:rPr>
            </w:pPr>
            <w:r>
              <w:rPr>
                <w:rFonts w:hAnsi="宋体" w:cs="宋体"/>
                <w:b/>
                <w:bCs/>
                <w:sz w:val="20"/>
              </w:rPr>
              <w:t>20</w:t>
            </w:r>
          </w:p>
        </w:tc>
        <w:tc>
          <w:tcPr>
            <w:tcW w:w="455" w:type="pct"/>
            <w:vMerge w:val="restar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55" w:type="pct"/>
            <w:vMerge w:val="continue"/>
            <w:vAlign w:val="center"/>
          </w:tcPr>
          <w:p>
            <w:pPr>
              <w:widowControl/>
              <w:rPr>
                <w:rFonts w:hAnsi="宋体" w:cs="宋体"/>
                <w:sz w:val="20"/>
              </w:rPr>
            </w:pPr>
          </w:p>
        </w:tc>
        <w:tc>
          <w:tcPr>
            <w:tcW w:w="492" w:type="pct"/>
            <w:vMerge w:val="continue"/>
            <w:noWrap/>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公共建筑根据不同功能建筑的容积率规则评定。</w:t>
            </w:r>
          </w:p>
        </w:tc>
        <w:tc>
          <w:tcPr>
            <w:tcW w:w="391" w:type="pct"/>
            <w:vAlign w:val="center"/>
          </w:tcPr>
          <w:p>
            <w:pPr>
              <w:jc w:val="center"/>
              <w:rPr>
                <w:rFonts w:hAnsi="宋体" w:cs="宋体"/>
                <w:b/>
                <w:bCs/>
                <w:sz w:val="20"/>
              </w:rPr>
            </w:pPr>
            <w:r>
              <w:rPr>
                <w:rFonts w:hAnsi="宋体" w:cs="宋体"/>
                <w:b/>
                <w:bCs/>
                <w:sz w:val="20"/>
              </w:rPr>
              <w:t>20</w:t>
            </w:r>
          </w:p>
        </w:tc>
        <w:tc>
          <w:tcPr>
            <w:tcW w:w="375" w:type="pct"/>
            <w:vMerge w:val="continue"/>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7.2.2</w:t>
            </w:r>
          </w:p>
        </w:tc>
        <w:tc>
          <w:tcPr>
            <w:tcW w:w="512" w:type="pct"/>
            <w:vMerge w:val="restart"/>
            <w:shd w:val="clear" w:color="000000" w:fill="FFFFFF"/>
            <w:vAlign w:val="center"/>
          </w:tcPr>
          <w:p>
            <w:pPr>
              <w:widowControl/>
              <w:rPr>
                <w:rFonts w:hAnsi="宋体" w:cs="宋体"/>
                <w:bCs/>
                <w:sz w:val="20"/>
              </w:rPr>
            </w:pPr>
            <w:r>
              <w:rPr>
                <w:rFonts w:hAnsi="宋体" w:cs="宋体"/>
                <w:bCs/>
                <w:sz w:val="20"/>
              </w:rPr>
              <w:t>合理开发利用地下空间</w:t>
            </w:r>
          </w:p>
        </w:tc>
        <w:tc>
          <w:tcPr>
            <w:tcW w:w="2134" w:type="pct"/>
            <w:gridSpan w:val="8"/>
            <w:shd w:val="clear" w:color="000000" w:fill="FFFFFF"/>
            <w:vAlign w:val="center"/>
          </w:tcPr>
          <w:p>
            <w:pPr>
              <w:rPr>
                <w:rFonts w:hAnsi="宋体" w:cs="宋体"/>
                <w:sz w:val="20"/>
              </w:rPr>
            </w:pPr>
            <w:r>
              <w:rPr>
                <w:rFonts w:hAnsi="宋体" w:cs="宋体"/>
                <w:sz w:val="20"/>
              </w:rPr>
              <w:t>住宅建筑地下建筑面积与地上建筑面积的比率</w:t>
            </w:r>
            <w:r>
              <w:rPr>
                <w:rFonts w:hAnsi="宋体" w:cs="宋体"/>
                <w:iCs/>
                <w:sz w:val="20"/>
              </w:rPr>
              <w:t>R</w:t>
            </w:r>
            <w:r>
              <w:rPr>
                <w:rFonts w:hAnsi="宋体" w:cs="宋体"/>
                <w:sz w:val="20"/>
              </w:rPr>
              <w:t>r，地下一层建筑面积与总用地面积的比率</w:t>
            </w:r>
            <w:r>
              <w:rPr>
                <w:rFonts w:hAnsi="宋体" w:cs="宋体"/>
                <w:iCs/>
                <w:sz w:val="20"/>
              </w:rPr>
              <w:t>R</w:t>
            </w:r>
            <w:r>
              <w:rPr>
                <w:rFonts w:hAnsi="宋体" w:cs="宋体"/>
                <w:sz w:val="20"/>
              </w:rPr>
              <w:t>p：</w:t>
            </w:r>
          </w:p>
          <w:p>
            <w:pPr>
              <w:rPr>
                <w:rFonts w:hAnsi="宋体" w:cs="宋体"/>
                <w:sz w:val="20"/>
              </w:rPr>
            </w:pPr>
            <w:r>
              <w:rPr>
                <w:rFonts w:hAnsi="宋体" w:cs="宋体"/>
                <w:sz w:val="20"/>
              </w:rPr>
              <w:t>5%≤</w:t>
            </w:r>
            <w:r>
              <w:rPr>
                <w:rFonts w:hAnsi="宋体" w:cs="宋体"/>
                <w:iCs/>
                <w:sz w:val="20"/>
              </w:rPr>
              <w:t>R</w:t>
            </w:r>
            <w:r>
              <w:rPr>
                <w:rFonts w:hAnsi="宋体" w:cs="宋体"/>
                <w:sz w:val="20"/>
              </w:rPr>
              <w:t>r＜20%，得5分；</w:t>
            </w:r>
          </w:p>
          <w:p>
            <w:pPr>
              <w:rPr>
                <w:rFonts w:hAnsi="宋体" w:cs="宋体"/>
                <w:sz w:val="20"/>
              </w:rPr>
            </w:pPr>
            <w:r>
              <w:rPr>
                <w:rFonts w:hAnsi="宋体" w:cs="宋体"/>
                <w:iCs/>
                <w:sz w:val="20"/>
              </w:rPr>
              <w:t>R</w:t>
            </w:r>
            <w:r>
              <w:rPr>
                <w:rFonts w:hAnsi="宋体" w:cs="宋体"/>
                <w:sz w:val="20"/>
              </w:rPr>
              <w:t>r≥20%，得7分；</w:t>
            </w:r>
          </w:p>
          <w:p>
            <w:pPr>
              <w:rPr>
                <w:rFonts w:hAnsi="宋体" w:cs="宋体"/>
                <w:bCs/>
                <w:sz w:val="20"/>
              </w:rPr>
            </w:pPr>
            <w:r>
              <w:rPr>
                <w:rFonts w:hAnsi="宋体" w:cs="宋体"/>
                <w:iCs/>
                <w:sz w:val="20"/>
              </w:rPr>
              <w:t>R</w:t>
            </w:r>
            <w:r>
              <w:rPr>
                <w:rFonts w:hAnsi="宋体" w:cs="宋体"/>
                <w:sz w:val="20"/>
              </w:rPr>
              <w:t>r≥35%且</w:t>
            </w:r>
            <w:r>
              <w:rPr>
                <w:rFonts w:hAnsi="宋体" w:cs="宋体"/>
                <w:iCs/>
                <w:sz w:val="20"/>
              </w:rPr>
              <w:t>R</w:t>
            </w:r>
            <w:r>
              <w:rPr>
                <w:rFonts w:hAnsi="宋体" w:cs="宋体"/>
                <w:sz w:val="20"/>
              </w:rPr>
              <w:t>p＜60%，得12分。</w:t>
            </w:r>
          </w:p>
        </w:tc>
        <w:tc>
          <w:tcPr>
            <w:tcW w:w="391" w:type="pct"/>
            <w:shd w:val="clear" w:color="000000" w:fill="FFFFFF"/>
            <w:vAlign w:val="center"/>
          </w:tcPr>
          <w:p>
            <w:pPr>
              <w:widowControl/>
              <w:jc w:val="center"/>
              <w:rPr>
                <w:rFonts w:hAnsi="宋体" w:cs="宋体"/>
                <w:b/>
                <w:bCs/>
                <w:sz w:val="20"/>
              </w:rPr>
            </w:pPr>
            <w:r>
              <w:rPr>
                <w:rFonts w:hAnsi="宋体" w:cs="宋体"/>
                <w:b/>
                <w:bCs/>
                <w:sz w:val="20"/>
              </w:rPr>
              <w:t>12</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12</w:t>
            </w:r>
          </w:p>
        </w:tc>
        <w:tc>
          <w:tcPr>
            <w:tcW w:w="455" w:type="pct"/>
            <w:vMerge w:val="restar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55" w:type="pct"/>
            <w:vMerge w:val="continue"/>
            <w:shd w:val="clear" w:color="000000" w:fill="FFFFFF"/>
            <w:vAlign w:val="center"/>
          </w:tcPr>
          <w:p>
            <w:pPr>
              <w:widowControl/>
              <w:rPr>
                <w:rFonts w:hAnsi="宋体" w:cs="宋体"/>
                <w:sz w:val="20"/>
              </w:rPr>
            </w:pPr>
          </w:p>
        </w:tc>
        <w:tc>
          <w:tcPr>
            <w:tcW w:w="492" w:type="pct"/>
            <w:vMerge w:val="continue"/>
            <w:shd w:val="clear" w:color="000000" w:fill="FFFFFF"/>
            <w:noWrap/>
            <w:vAlign w:val="center"/>
          </w:tcPr>
          <w:p>
            <w:pPr>
              <w:widowControl/>
              <w:rPr>
                <w:rFonts w:hAnsi="宋体" w:cs="宋体"/>
                <w:sz w:val="20"/>
              </w:rPr>
            </w:pPr>
          </w:p>
        </w:tc>
        <w:tc>
          <w:tcPr>
            <w:tcW w:w="512" w:type="pct"/>
            <w:vMerge w:val="continue"/>
            <w:shd w:val="clear" w:color="000000" w:fill="FFFFFF"/>
            <w:vAlign w:val="center"/>
          </w:tcPr>
          <w:p>
            <w:pPr>
              <w:widowControl/>
              <w:rPr>
                <w:rFonts w:hAnsi="宋体" w:cs="宋体"/>
                <w:bCs/>
                <w:sz w:val="20"/>
              </w:rPr>
            </w:pPr>
          </w:p>
        </w:tc>
        <w:tc>
          <w:tcPr>
            <w:tcW w:w="2134" w:type="pct"/>
            <w:gridSpan w:val="8"/>
            <w:shd w:val="clear" w:color="000000" w:fill="FFFFFF"/>
            <w:vAlign w:val="center"/>
          </w:tcPr>
          <w:p>
            <w:pPr>
              <w:rPr>
                <w:rFonts w:hAnsi="宋体" w:cs="宋体"/>
                <w:bCs/>
                <w:sz w:val="20"/>
              </w:rPr>
            </w:pPr>
            <w:r>
              <w:rPr>
                <w:rFonts w:hAnsi="宋体" w:cs="宋体"/>
                <w:bCs/>
                <w:sz w:val="20"/>
              </w:rPr>
              <w:t>公共建筑</w:t>
            </w:r>
            <w:r>
              <w:rPr>
                <w:rFonts w:hAnsi="宋体" w:cs="宋体"/>
                <w:sz w:val="20"/>
              </w:rPr>
              <w:t>地下建筑面积与总用地面积之比</w:t>
            </w: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，地下一层建筑面积与总用地面积的比率</w:t>
            </w:r>
            <w:r>
              <w:rPr>
                <w:rFonts w:hAnsi="宋体" w:cs="宋体"/>
                <w:iCs/>
                <w:sz w:val="20"/>
              </w:rPr>
              <w:t>R</w:t>
            </w:r>
            <w:r>
              <w:rPr>
                <w:rFonts w:hAnsi="宋体" w:cs="宋体"/>
                <w:sz w:val="20"/>
              </w:rPr>
              <w:t>p：</w:t>
            </w:r>
          </w:p>
          <w:p>
            <w:pPr>
              <w:widowControl/>
              <w:rPr>
                <w:rFonts w:hAnsi="宋体" w:cs="宋体"/>
                <w:sz w:val="20"/>
              </w:rPr>
            </w:pP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≥0.5，得5分；</w:t>
            </w:r>
          </w:p>
          <w:p>
            <w:pPr>
              <w:rPr>
                <w:rFonts w:hAnsi="宋体" w:cs="宋体"/>
                <w:sz w:val="20"/>
              </w:rPr>
            </w:pP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≥0.7且</w:t>
            </w:r>
            <w:r>
              <w:rPr>
                <w:rFonts w:hAnsi="宋体" w:cs="宋体"/>
                <w:iCs/>
                <w:sz w:val="20"/>
              </w:rPr>
              <w:t>R</w:t>
            </w:r>
            <w:r>
              <w:rPr>
                <w:rFonts w:hAnsi="宋体" w:cs="宋体"/>
                <w:sz w:val="20"/>
              </w:rPr>
              <w:t>p＜70%，得7分；</w:t>
            </w:r>
          </w:p>
          <w:p>
            <w:pPr>
              <w:rPr>
                <w:rFonts w:hAnsi="宋体" w:cs="宋体"/>
                <w:bCs/>
                <w:sz w:val="20"/>
              </w:rPr>
            </w:pP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≥1.0且</w:t>
            </w:r>
            <w:r>
              <w:rPr>
                <w:rFonts w:hAnsi="宋体" w:cs="宋体"/>
                <w:iCs/>
                <w:sz w:val="20"/>
              </w:rPr>
              <w:t>R</w:t>
            </w:r>
            <w:r>
              <w:rPr>
                <w:rFonts w:hAnsi="宋体" w:cs="宋体"/>
                <w:sz w:val="20"/>
              </w:rPr>
              <w:t>p＜60%，得12分。</w:t>
            </w:r>
          </w:p>
        </w:tc>
        <w:tc>
          <w:tcPr>
            <w:tcW w:w="391" w:type="pct"/>
            <w:shd w:val="clear" w:color="000000" w:fill="FFFFFF"/>
            <w:vAlign w:val="center"/>
          </w:tcPr>
          <w:p>
            <w:pPr>
              <w:jc w:val="center"/>
              <w:rPr>
                <w:rFonts w:hAnsi="宋体" w:cs="宋体"/>
                <w:b/>
                <w:bCs/>
                <w:sz w:val="20"/>
              </w:rPr>
            </w:pPr>
            <w:r>
              <w:rPr>
                <w:rFonts w:hAnsi="宋体" w:cs="宋体"/>
                <w:b/>
                <w:bCs/>
                <w:sz w:val="20"/>
              </w:rPr>
              <w:t>12</w:t>
            </w:r>
          </w:p>
        </w:tc>
        <w:tc>
          <w:tcPr>
            <w:tcW w:w="375" w:type="pct"/>
            <w:vMerge w:val="continue"/>
            <w:shd w:val="clear" w:color="000000" w:fill="FFFFFF"/>
            <w:vAlign w:val="center"/>
          </w:tcPr>
          <w:p>
            <w:pPr>
              <w:widowControl/>
              <w:jc w:val="center"/>
              <w:rPr>
                <w:rFonts w:hAnsi="宋体" w:cs="宋体"/>
                <w:b/>
                <w:bCs/>
                <w:sz w:val="20"/>
              </w:rPr>
            </w:pPr>
          </w:p>
        </w:tc>
        <w:tc>
          <w:tcPr>
            <w:tcW w:w="455" w:type="pct"/>
            <w:vMerge w:val="continue"/>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55" w:type="pct"/>
            <w:vMerge w:val="continue"/>
            <w:shd w:val="clear" w:color="000000" w:fill="FFFFFF"/>
            <w:vAlign w:val="center"/>
          </w:tcPr>
          <w:p>
            <w:pPr>
              <w:widowControl/>
              <w:rPr>
                <w:rFonts w:hAnsi="宋体" w:cs="宋体"/>
                <w:sz w:val="20"/>
              </w:rPr>
            </w:pPr>
          </w:p>
        </w:tc>
        <w:tc>
          <w:tcPr>
            <w:tcW w:w="492" w:type="pct"/>
            <w:vMerge w:val="continue"/>
            <w:shd w:val="clear" w:color="000000" w:fill="FFFFFF"/>
            <w:noWrap/>
            <w:vAlign w:val="center"/>
          </w:tcPr>
          <w:p>
            <w:pPr>
              <w:widowControl/>
              <w:rPr>
                <w:rFonts w:hAnsi="宋体" w:cs="宋体"/>
                <w:sz w:val="20"/>
              </w:rPr>
            </w:pPr>
          </w:p>
        </w:tc>
        <w:tc>
          <w:tcPr>
            <w:tcW w:w="2646" w:type="pct"/>
            <w:gridSpan w:val="9"/>
            <w:shd w:val="clear" w:color="000000" w:fill="FFFFFF"/>
            <w:vAlign w:val="center"/>
          </w:tcPr>
          <w:p>
            <w:pPr>
              <w:rPr>
                <w:rFonts w:hAnsi="宋体" w:cs="宋体"/>
                <w:b/>
                <w:bCs/>
                <w:sz w:val="20"/>
              </w:rPr>
            </w:pPr>
            <w:r>
              <w:rPr>
                <w:rFonts w:hAnsi="宋体" w:cs="宋体"/>
                <w:bCs/>
                <w:sz w:val="20"/>
              </w:rPr>
              <w:t>或不适宜开发地下空间。</w:t>
            </w:r>
          </w:p>
        </w:tc>
        <w:tc>
          <w:tcPr>
            <w:tcW w:w="391" w:type="pct"/>
            <w:shd w:val="clear" w:color="000000" w:fill="FFFFFF"/>
            <w:vAlign w:val="center"/>
          </w:tcPr>
          <w:p>
            <w:pPr>
              <w:jc w:val="center"/>
              <w:rPr>
                <w:rFonts w:hAnsi="宋体" w:cs="宋体"/>
                <w:b/>
                <w:bCs/>
                <w:sz w:val="20"/>
              </w:rPr>
            </w:pPr>
            <w:r>
              <w:rPr>
                <w:rFonts w:hAnsi="宋体" w:cs="宋体"/>
                <w:b/>
                <w:bCs/>
                <w:sz w:val="20"/>
              </w:rPr>
              <w:t>12</w:t>
            </w:r>
          </w:p>
        </w:tc>
        <w:tc>
          <w:tcPr>
            <w:tcW w:w="375" w:type="pct"/>
            <w:vMerge w:val="continue"/>
            <w:shd w:val="clear" w:color="000000" w:fill="FFFFFF"/>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7.2.3</w:t>
            </w:r>
          </w:p>
        </w:tc>
        <w:tc>
          <w:tcPr>
            <w:tcW w:w="730" w:type="pct"/>
            <w:gridSpan w:val="3"/>
            <w:vMerge w:val="restart"/>
            <w:vAlign w:val="center"/>
          </w:tcPr>
          <w:p>
            <w:pPr>
              <w:widowControl/>
              <w:rPr>
                <w:rFonts w:hAnsi="宋体" w:cs="宋体"/>
                <w:b/>
                <w:bCs/>
                <w:sz w:val="20"/>
              </w:rPr>
            </w:pPr>
            <w:r>
              <w:rPr>
                <w:rFonts w:hAnsi="宋体" w:cs="宋体"/>
                <w:sz w:val="20"/>
              </w:rPr>
              <w:t>采用机械式停车设施、地下停车库或地面停车楼等方式。</w:t>
            </w:r>
          </w:p>
        </w:tc>
        <w:tc>
          <w:tcPr>
            <w:tcW w:w="1916" w:type="pct"/>
            <w:gridSpan w:val="6"/>
            <w:vAlign w:val="center"/>
          </w:tcPr>
          <w:p>
            <w:pPr>
              <w:widowControl/>
              <w:rPr>
                <w:rFonts w:hAnsi="宋体" w:cs="宋体"/>
                <w:b/>
                <w:bCs/>
                <w:sz w:val="20"/>
              </w:rPr>
            </w:pPr>
            <w:r>
              <w:rPr>
                <w:rFonts w:hAnsi="宋体" w:cs="宋体"/>
                <w:sz w:val="20"/>
              </w:rPr>
              <w:t>住宅建筑地面停车位数量与住宅总套数的比率小于10%。</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730" w:type="pct"/>
            <w:gridSpan w:val="3"/>
            <w:vMerge w:val="continue"/>
            <w:vAlign w:val="center"/>
          </w:tcPr>
          <w:p>
            <w:pPr>
              <w:widowControl/>
              <w:rPr>
                <w:rFonts w:hAnsi="宋体" w:cs="宋体"/>
                <w:b/>
                <w:bCs/>
                <w:sz w:val="20"/>
              </w:rPr>
            </w:pPr>
          </w:p>
        </w:tc>
        <w:tc>
          <w:tcPr>
            <w:tcW w:w="1916" w:type="pct"/>
            <w:gridSpan w:val="6"/>
            <w:vAlign w:val="center"/>
          </w:tcPr>
          <w:p>
            <w:pPr>
              <w:widowControl/>
              <w:rPr>
                <w:rFonts w:hAnsi="宋体" w:cs="宋体"/>
                <w:b/>
                <w:bCs/>
                <w:sz w:val="20"/>
              </w:rPr>
            </w:pPr>
            <w:r>
              <w:rPr>
                <w:rFonts w:hAnsi="宋体" w:cs="宋体"/>
                <w:sz w:val="20"/>
              </w:rPr>
              <w:t>公共建筑地面停车占地面积与其总建设用地面积的比率小于8%。</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7.2.4</w:t>
            </w:r>
          </w:p>
        </w:tc>
        <w:tc>
          <w:tcPr>
            <w:tcW w:w="512" w:type="pct"/>
            <w:vAlign w:val="center"/>
          </w:tcPr>
          <w:p>
            <w:pPr>
              <w:widowControl/>
              <w:rPr>
                <w:rFonts w:hAnsi="宋体" w:cs="宋体"/>
                <w:bCs/>
                <w:sz w:val="20"/>
              </w:rPr>
            </w:pPr>
            <w:r>
              <w:rPr>
                <w:rFonts w:hAnsi="宋体" w:cs="宋体"/>
                <w:bCs/>
                <w:sz w:val="20"/>
              </w:rPr>
              <w:t>围护结构的热工性能优化</w:t>
            </w:r>
          </w:p>
        </w:tc>
        <w:tc>
          <w:tcPr>
            <w:tcW w:w="2134" w:type="pct"/>
            <w:gridSpan w:val="8"/>
            <w:vAlign w:val="center"/>
          </w:tcPr>
          <w:p>
            <w:pPr>
              <w:widowControl/>
              <w:rPr>
                <w:rFonts w:hAnsi="宋体" w:cs="宋体"/>
                <w:bCs/>
                <w:sz w:val="20"/>
              </w:rPr>
            </w:pPr>
            <w:r>
              <w:rPr>
                <w:rFonts w:hAnsi="宋体" w:cs="宋体"/>
                <w:bCs/>
                <w:sz w:val="20"/>
              </w:rPr>
              <w:t xml:space="preserve">围护结构热工性能比国家现行相关建筑节能设计标准规定的提高幅度达到5%，或建筑供暖空调负荷降低5%，得5分；                        </w:t>
            </w:r>
          </w:p>
          <w:p>
            <w:pPr>
              <w:widowControl/>
              <w:rPr>
                <w:rFonts w:hAnsi="宋体" w:cs="宋体"/>
                <w:bCs/>
                <w:sz w:val="20"/>
              </w:rPr>
            </w:pPr>
            <w:r>
              <w:rPr>
                <w:rFonts w:hAnsi="宋体" w:cs="宋体"/>
                <w:bCs/>
                <w:sz w:val="20"/>
              </w:rPr>
              <w:t xml:space="preserve">围护结构热工性能比国家现行相关建筑节能设计标准规定的提高幅度达到10%，或建筑供暖空调负荷降低10%，得10分；        </w:t>
            </w:r>
          </w:p>
          <w:p>
            <w:pPr>
              <w:widowControl/>
              <w:rPr>
                <w:rFonts w:hAnsi="宋体" w:cs="宋体"/>
                <w:bCs/>
                <w:sz w:val="20"/>
              </w:rPr>
            </w:pPr>
            <w:r>
              <w:rPr>
                <w:rFonts w:hAnsi="宋体" w:cs="宋体"/>
                <w:bCs/>
                <w:sz w:val="20"/>
              </w:rPr>
              <w:t>围护结构热工性能比国家现行相关建筑节能设计标准规定的提高幅度达到15%，或建筑供暖空调负荷降低15%，得15分。</w:t>
            </w:r>
          </w:p>
        </w:tc>
        <w:tc>
          <w:tcPr>
            <w:tcW w:w="391" w:type="pct"/>
            <w:vAlign w:val="center"/>
          </w:tcPr>
          <w:p>
            <w:pPr>
              <w:widowControl/>
              <w:jc w:val="center"/>
              <w:rPr>
                <w:rFonts w:hAnsi="宋体" w:cs="宋体"/>
                <w:b/>
                <w:bCs/>
                <w:sz w:val="20"/>
              </w:rPr>
            </w:pPr>
            <w:r>
              <w:rPr>
                <w:rFonts w:hAnsi="宋体" w:cs="宋体"/>
                <w:b/>
                <w:bCs/>
                <w:sz w:val="20"/>
              </w:rPr>
              <w:t>15</w:t>
            </w:r>
          </w:p>
        </w:tc>
        <w:tc>
          <w:tcPr>
            <w:tcW w:w="375" w:type="pc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7.2.5</w:t>
            </w:r>
          </w:p>
        </w:tc>
        <w:tc>
          <w:tcPr>
            <w:tcW w:w="2646" w:type="pct"/>
            <w:gridSpan w:val="9"/>
            <w:vAlign w:val="center"/>
          </w:tcPr>
          <w:p>
            <w:pPr>
              <w:widowControl/>
              <w:rPr>
                <w:rFonts w:hAnsi="宋体" w:cs="宋体"/>
                <w:b/>
                <w:bCs/>
                <w:sz w:val="20"/>
              </w:rPr>
            </w:pPr>
            <w:r>
              <w:rPr>
                <w:rFonts w:hAnsi="宋体" w:cs="宋体"/>
                <w:sz w:val="20"/>
              </w:rPr>
              <w:t>供暖空调系统的冷、热源机组能效均优于现行国家标准《公共建筑节能设计标准》GB 50189的规定以及现行有关国家标准能效限定值的要求。</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7.2.6</w:t>
            </w:r>
          </w:p>
        </w:tc>
        <w:tc>
          <w:tcPr>
            <w:tcW w:w="558" w:type="pct"/>
            <w:gridSpan w:val="2"/>
            <w:vMerge w:val="restart"/>
            <w:vAlign w:val="center"/>
          </w:tcPr>
          <w:p>
            <w:pPr>
              <w:widowControl/>
              <w:rPr>
                <w:rFonts w:hAnsi="宋体" w:cs="宋体"/>
                <w:bCs/>
                <w:sz w:val="20"/>
              </w:rPr>
            </w:pPr>
            <w:r>
              <w:rPr>
                <w:rFonts w:hAnsi="宋体" w:cs="宋体"/>
                <w:bCs/>
                <w:sz w:val="20"/>
              </w:rPr>
              <w:t>末端系统及输配系统性能优化</w:t>
            </w:r>
          </w:p>
        </w:tc>
        <w:tc>
          <w:tcPr>
            <w:tcW w:w="2088" w:type="pct"/>
            <w:gridSpan w:val="7"/>
            <w:vAlign w:val="center"/>
          </w:tcPr>
          <w:p>
            <w:pPr>
              <w:widowControl/>
              <w:rPr>
                <w:rFonts w:hAnsi="宋体" w:cs="宋体"/>
                <w:bCs/>
                <w:sz w:val="20"/>
              </w:rPr>
            </w:pPr>
            <w:r>
              <w:rPr>
                <w:rFonts w:hAnsi="宋体" w:cs="宋体"/>
                <w:bCs/>
                <w:sz w:val="20"/>
              </w:rPr>
              <w:t>通风空调系统风机的单位风量耗功率比现行国家标准《公共建筑节能设计标准》GB 50189的规定低20%；</w:t>
            </w:r>
          </w:p>
          <w:p>
            <w:pPr>
              <w:widowControl/>
              <w:rPr>
                <w:rFonts w:hAnsi="宋体" w:cs="宋体"/>
                <w:bCs/>
                <w:sz w:val="20"/>
              </w:rPr>
            </w:pPr>
            <w:r>
              <w:rPr>
                <w:rFonts w:hAnsi="宋体" w:cs="宋体"/>
                <w:bCs/>
                <w:sz w:val="20"/>
              </w:rPr>
              <w:t>或采用分体空调和多联机空调（热泵）机组。</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restart"/>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58" w:type="pct"/>
            <w:gridSpan w:val="2"/>
            <w:vMerge w:val="continue"/>
            <w:vAlign w:val="center"/>
          </w:tcPr>
          <w:p>
            <w:pPr>
              <w:widowControl/>
              <w:rPr>
                <w:rFonts w:hAnsi="宋体" w:cs="宋体"/>
                <w:bCs/>
                <w:sz w:val="20"/>
              </w:rPr>
            </w:pPr>
          </w:p>
        </w:tc>
        <w:tc>
          <w:tcPr>
            <w:tcW w:w="2088" w:type="pct"/>
            <w:gridSpan w:val="7"/>
            <w:vAlign w:val="center"/>
          </w:tcPr>
          <w:p>
            <w:pPr>
              <w:widowControl/>
              <w:rPr>
                <w:rFonts w:hAnsi="宋体" w:cs="宋体"/>
                <w:bCs/>
                <w:sz w:val="20"/>
              </w:rPr>
            </w:pPr>
            <w:r>
              <w:rPr>
                <w:rFonts w:hAnsi="宋体" w:cs="宋体"/>
                <w:bCs/>
                <w:sz w:val="20"/>
              </w:rPr>
              <w:t>集中供暖系统热水循环泵的耗电输热比、空调冷热水系统循环水泵的耗电输冷（热）比比现行国家标准《民用建筑供暖通风与空气调节设计规范》GB 50736规定值低20%；</w:t>
            </w:r>
          </w:p>
          <w:p>
            <w:pPr>
              <w:widowControl/>
              <w:rPr>
                <w:rFonts w:hAnsi="宋体" w:cs="宋体"/>
                <w:bCs/>
                <w:sz w:val="20"/>
              </w:rPr>
            </w:pPr>
            <w:r>
              <w:rPr>
                <w:rFonts w:hAnsi="宋体" w:cs="宋体"/>
                <w:bCs/>
                <w:sz w:val="20"/>
              </w:rPr>
              <w:t>或非集中采暖空调系统项目。</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7.2.7</w:t>
            </w:r>
          </w:p>
        </w:tc>
        <w:tc>
          <w:tcPr>
            <w:tcW w:w="558" w:type="pct"/>
            <w:gridSpan w:val="2"/>
            <w:vMerge w:val="restart"/>
            <w:vAlign w:val="center"/>
          </w:tcPr>
          <w:p>
            <w:pPr>
              <w:widowControl/>
              <w:rPr>
                <w:rFonts w:hAnsi="宋体" w:cs="宋体"/>
                <w:bCs/>
                <w:sz w:val="20"/>
              </w:rPr>
            </w:pPr>
            <w:r>
              <w:rPr>
                <w:rFonts w:hAnsi="宋体" w:cs="宋体"/>
                <w:bCs/>
                <w:sz w:val="20"/>
              </w:rPr>
              <w:t>节能型电气设备及节能控制措施</w:t>
            </w:r>
          </w:p>
        </w:tc>
        <w:tc>
          <w:tcPr>
            <w:tcW w:w="2088" w:type="pct"/>
            <w:gridSpan w:val="7"/>
            <w:vAlign w:val="center"/>
          </w:tcPr>
          <w:p>
            <w:pPr>
              <w:widowControl/>
              <w:rPr>
                <w:rFonts w:hAnsi="宋体" w:cs="宋体"/>
                <w:bCs/>
                <w:sz w:val="20"/>
              </w:rPr>
            </w:pPr>
            <w:r>
              <w:rPr>
                <w:rFonts w:hAnsi="宋体" w:cs="宋体"/>
                <w:bCs/>
                <w:sz w:val="20"/>
              </w:rPr>
              <w:t>主要功能房间的照明功率密度值达到现行国家标准《建筑照明设计标准》GB 50034规定的目标值。</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58" w:type="pct"/>
            <w:gridSpan w:val="2"/>
            <w:vMerge w:val="continue"/>
            <w:vAlign w:val="center"/>
          </w:tcPr>
          <w:p>
            <w:pPr>
              <w:widowControl/>
              <w:rPr>
                <w:rFonts w:hAnsi="宋体" w:cs="宋体"/>
                <w:bCs/>
                <w:sz w:val="20"/>
              </w:rPr>
            </w:pPr>
          </w:p>
        </w:tc>
        <w:tc>
          <w:tcPr>
            <w:tcW w:w="2088" w:type="pct"/>
            <w:gridSpan w:val="7"/>
            <w:vAlign w:val="center"/>
          </w:tcPr>
          <w:p>
            <w:pPr>
              <w:widowControl/>
              <w:rPr>
                <w:rFonts w:hAnsi="宋体" w:cs="宋体"/>
                <w:bCs/>
                <w:sz w:val="20"/>
              </w:rPr>
            </w:pPr>
            <w:r>
              <w:rPr>
                <w:rFonts w:hAnsi="宋体" w:cs="宋体"/>
                <w:bCs/>
                <w:sz w:val="20"/>
              </w:rPr>
              <w:t>采光区域的人工照明随天然光照度变化自动调节。</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58" w:type="pct"/>
            <w:gridSpan w:val="2"/>
            <w:vMerge w:val="continue"/>
            <w:vAlign w:val="center"/>
          </w:tcPr>
          <w:p>
            <w:pPr>
              <w:widowControl/>
              <w:rPr>
                <w:rFonts w:hAnsi="宋体" w:cs="宋体"/>
                <w:bCs/>
                <w:sz w:val="20"/>
              </w:rPr>
            </w:pPr>
          </w:p>
        </w:tc>
        <w:tc>
          <w:tcPr>
            <w:tcW w:w="2088" w:type="pct"/>
            <w:gridSpan w:val="7"/>
            <w:vAlign w:val="center"/>
          </w:tcPr>
          <w:p>
            <w:pPr>
              <w:widowControl/>
              <w:rPr>
                <w:rFonts w:hAnsi="宋体" w:cs="宋体"/>
                <w:bCs/>
                <w:sz w:val="20"/>
              </w:rPr>
            </w:pPr>
            <w:r>
              <w:rPr>
                <w:rFonts w:hAnsi="宋体" w:cs="宋体"/>
                <w:bCs/>
                <w:sz w:val="20"/>
              </w:rPr>
              <w:t>照明产品、三相配电变压器、水泵、风机等设备满足国家现行有关标准的节能评价值的要求。</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7.2.8</w:t>
            </w:r>
          </w:p>
        </w:tc>
        <w:tc>
          <w:tcPr>
            <w:tcW w:w="558" w:type="pct"/>
            <w:gridSpan w:val="2"/>
            <w:vAlign w:val="center"/>
          </w:tcPr>
          <w:p>
            <w:pPr>
              <w:widowControl/>
              <w:rPr>
                <w:rFonts w:hAnsi="宋体" w:cs="宋体"/>
                <w:bCs/>
                <w:sz w:val="20"/>
              </w:rPr>
            </w:pPr>
            <w:r>
              <w:rPr>
                <w:rFonts w:hAnsi="宋体" w:cs="宋体"/>
                <w:bCs/>
                <w:sz w:val="20"/>
              </w:rPr>
              <w:t>建筑能耗优化</w:t>
            </w:r>
          </w:p>
        </w:tc>
        <w:tc>
          <w:tcPr>
            <w:tcW w:w="2088" w:type="pct"/>
            <w:gridSpan w:val="7"/>
            <w:vAlign w:val="center"/>
          </w:tcPr>
          <w:p>
            <w:pPr>
              <w:widowControl/>
              <w:rPr>
                <w:rFonts w:hAnsi="宋体" w:cs="宋体"/>
                <w:bCs/>
                <w:sz w:val="20"/>
              </w:rPr>
            </w:pPr>
            <w:r>
              <w:rPr>
                <w:rFonts w:hAnsi="宋体" w:cs="宋体"/>
                <w:bCs/>
                <w:sz w:val="20"/>
              </w:rPr>
              <w:t>建筑能耗相比国家现行有关建筑节能标准降低10%，得5分；</w:t>
            </w:r>
          </w:p>
          <w:p>
            <w:pPr>
              <w:widowControl/>
              <w:rPr>
                <w:rFonts w:hAnsi="宋体" w:cs="宋体"/>
                <w:bCs/>
                <w:sz w:val="20"/>
              </w:rPr>
            </w:pPr>
            <w:r>
              <w:rPr>
                <w:rFonts w:hAnsi="宋体" w:cs="宋体"/>
                <w:bCs/>
                <w:sz w:val="20"/>
              </w:rPr>
              <w:t>建筑能耗相比国家现行有关建筑节能标准降低20%，得10分。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7.2.9</w:t>
            </w:r>
          </w:p>
        </w:tc>
        <w:tc>
          <w:tcPr>
            <w:tcW w:w="2646" w:type="pct"/>
            <w:gridSpan w:val="9"/>
            <w:vAlign w:val="center"/>
          </w:tcPr>
          <w:p>
            <w:pPr>
              <w:widowControl/>
              <w:rPr>
                <w:rFonts w:hAnsi="宋体" w:cs="宋体"/>
                <w:b/>
                <w:bCs/>
                <w:sz w:val="20"/>
              </w:rPr>
            </w:pPr>
            <w:r>
              <w:rPr>
                <w:rFonts w:hAnsi="宋体" w:cs="宋体"/>
                <w:sz w:val="20"/>
              </w:rPr>
              <w:t>结合当地气候和自然资源条件合理利用可再生能源。</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7.2.10</w:t>
            </w:r>
          </w:p>
        </w:tc>
        <w:tc>
          <w:tcPr>
            <w:tcW w:w="512" w:type="pct"/>
            <w:vAlign w:val="center"/>
          </w:tcPr>
          <w:p>
            <w:pPr>
              <w:widowControl/>
              <w:rPr>
                <w:rFonts w:hAnsi="宋体" w:cs="宋体"/>
                <w:bCs/>
                <w:sz w:val="20"/>
              </w:rPr>
            </w:pPr>
            <w:r>
              <w:rPr>
                <w:rFonts w:hAnsi="宋体" w:cs="宋体"/>
                <w:sz w:val="20"/>
              </w:rPr>
              <w:t>使用较高用水效率等级的卫生器具。</w:t>
            </w:r>
          </w:p>
        </w:tc>
        <w:tc>
          <w:tcPr>
            <w:tcW w:w="2134" w:type="pct"/>
            <w:gridSpan w:val="8"/>
            <w:vAlign w:val="center"/>
          </w:tcPr>
          <w:p>
            <w:pPr>
              <w:widowControl/>
              <w:rPr>
                <w:rFonts w:hAnsi="宋体" w:cs="宋体"/>
                <w:bCs/>
                <w:sz w:val="20"/>
              </w:rPr>
            </w:pPr>
            <w:r>
              <w:rPr>
                <w:rFonts w:hAnsi="宋体" w:cs="宋体"/>
                <w:bCs/>
                <w:sz w:val="20"/>
              </w:rPr>
              <w:t>全部卫生器具的用水效率等级达到2级，得8分；</w:t>
            </w:r>
          </w:p>
          <w:p>
            <w:pPr>
              <w:widowControl/>
              <w:rPr>
                <w:rFonts w:hAnsi="宋体" w:cs="宋体"/>
                <w:bCs/>
                <w:sz w:val="20"/>
              </w:rPr>
            </w:pPr>
            <w:r>
              <w:rPr>
                <w:rFonts w:hAnsi="宋体" w:cs="宋体"/>
                <w:bCs/>
                <w:sz w:val="20"/>
              </w:rPr>
              <w:t>50%以上卫生器具的用水效率等级达到1级且其他达到2级，得12分；</w:t>
            </w:r>
          </w:p>
          <w:p>
            <w:pPr>
              <w:widowControl/>
              <w:rPr>
                <w:rFonts w:hAnsi="宋体" w:cs="宋体"/>
                <w:bCs/>
                <w:sz w:val="20"/>
              </w:rPr>
            </w:pPr>
            <w:r>
              <w:rPr>
                <w:rFonts w:hAnsi="宋体" w:cs="宋体"/>
                <w:bCs/>
                <w:sz w:val="20"/>
              </w:rPr>
              <w:t>全部卫生器具的用水效率等级达到1级，得15分。</w:t>
            </w:r>
          </w:p>
        </w:tc>
        <w:tc>
          <w:tcPr>
            <w:tcW w:w="391" w:type="pct"/>
            <w:vAlign w:val="center"/>
          </w:tcPr>
          <w:p>
            <w:pPr>
              <w:widowControl/>
              <w:jc w:val="center"/>
              <w:rPr>
                <w:rFonts w:hAnsi="宋体" w:cs="宋体"/>
                <w:b/>
                <w:bCs/>
                <w:sz w:val="20"/>
              </w:rPr>
            </w:pPr>
            <w:r>
              <w:rPr>
                <w:rFonts w:hAnsi="宋体" w:cs="宋体"/>
                <w:b/>
                <w:bCs/>
                <w:sz w:val="20"/>
              </w:rPr>
              <w:t>15</w:t>
            </w:r>
          </w:p>
        </w:tc>
        <w:tc>
          <w:tcPr>
            <w:tcW w:w="375" w:type="pc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7.2.11</w:t>
            </w:r>
          </w:p>
        </w:tc>
        <w:tc>
          <w:tcPr>
            <w:tcW w:w="512" w:type="pct"/>
            <w:vMerge w:val="restart"/>
            <w:vAlign w:val="center"/>
          </w:tcPr>
          <w:p>
            <w:pPr>
              <w:widowControl/>
              <w:rPr>
                <w:rFonts w:hAnsi="宋体" w:cs="宋体"/>
                <w:bCs/>
                <w:sz w:val="20"/>
              </w:rPr>
            </w:pPr>
            <w:r>
              <w:rPr>
                <w:rFonts w:hAnsi="宋体" w:cs="宋体"/>
                <w:sz w:val="20"/>
              </w:rPr>
              <w:t>绿化灌溉及空调冷却水系统采用节水设备或技术。</w:t>
            </w:r>
          </w:p>
        </w:tc>
        <w:tc>
          <w:tcPr>
            <w:tcW w:w="2134" w:type="pct"/>
            <w:gridSpan w:val="8"/>
            <w:vAlign w:val="center"/>
          </w:tcPr>
          <w:p>
            <w:pPr>
              <w:widowControl/>
              <w:rPr>
                <w:rFonts w:hAnsi="宋体" w:cs="宋体"/>
                <w:bCs/>
                <w:sz w:val="20"/>
              </w:rPr>
            </w:pPr>
            <w:r>
              <w:rPr>
                <w:rFonts w:hAnsi="宋体" w:cs="宋体"/>
                <w:bCs/>
                <w:sz w:val="20"/>
              </w:rPr>
              <w:t>采用节水灌溉系统，得4分；</w:t>
            </w:r>
          </w:p>
          <w:p>
            <w:pPr>
              <w:widowControl/>
              <w:rPr>
                <w:rFonts w:hAnsi="宋体" w:cs="宋体"/>
                <w:bCs/>
                <w:sz w:val="20"/>
              </w:rPr>
            </w:pPr>
            <w:r>
              <w:rPr>
                <w:rFonts w:hAnsi="宋体" w:cs="宋体"/>
                <w:bCs/>
                <w:sz w:val="20"/>
              </w:rPr>
              <w:t>在采用节水灌溉系统的基础上，设置土壤湿度感应器、雨天自动关闭装置等节水控制措施，种植无需永久灌溉植物，得6分。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restart"/>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循环冷却水系统采取设置水处理措施、加大集水盘、设置平衡管或平衡水箱等方式，避免冷却水泵停泵时冷却水溢出，得3分；</w:t>
            </w:r>
          </w:p>
          <w:p>
            <w:pPr>
              <w:widowControl/>
              <w:rPr>
                <w:rFonts w:hAnsi="宋体" w:cs="宋体"/>
                <w:bCs/>
                <w:sz w:val="20"/>
              </w:rPr>
            </w:pPr>
            <w:r>
              <w:rPr>
                <w:rFonts w:hAnsi="宋体" w:cs="宋体"/>
                <w:bCs/>
                <w:sz w:val="20"/>
              </w:rPr>
              <w:t>采用无蒸发耗水量的冷却技术，得6分。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7.2.12</w:t>
            </w:r>
          </w:p>
        </w:tc>
        <w:tc>
          <w:tcPr>
            <w:tcW w:w="1146" w:type="pct"/>
            <w:gridSpan w:val="8"/>
            <w:vMerge w:val="restart"/>
            <w:vAlign w:val="center"/>
          </w:tcPr>
          <w:p>
            <w:pPr>
              <w:widowControl/>
              <w:rPr>
                <w:rFonts w:hAnsi="宋体" w:cs="宋体"/>
                <w:bCs/>
                <w:sz w:val="20"/>
              </w:rPr>
            </w:pPr>
            <w:r>
              <w:rPr>
                <w:rFonts w:hAnsi="宋体" w:cs="宋体"/>
                <w:sz w:val="20"/>
              </w:rPr>
              <w:t>结合雨水综合利用设施营造室外景观水体，室外景观水体利用雨水的补水量大于水体蒸发量的60%，且采用保障水体水质的生态水处理技术。</w:t>
            </w:r>
          </w:p>
        </w:tc>
        <w:tc>
          <w:tcPr>
            <w:tcW w:w="1500" w:type="pct"/>
            <w:vAlign w:val="center"/>
          </w:tcPr>
          <w:p>
            <w:pPr>
              <w:widowControl/>
              <w:rPr>
                <w:rFonts w:hAnsi="宋体" w:cs="宋体"/>
                <w:bCs/>
                <w:sz w:val="20"/>
              </w:rPr>
            </w:pPr>
            <w:r>
              <w:rPr>
                <w:rFonts w:hAnsi="宋体" w:cs="宋体"/>
                <w:bCs/>
                <w:sz w:val="20"/>
              </w:rPr>
              <w:t>对进入室外景观水体的雨水，利用生态设施削减径流污染。</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restar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1146" w:type="pct"/>
            <w:gridSpan w:val="8"/>
            <w:vMerge w:val="continue"/>
            <w:vAlign w:val="center"/>
          </w:tcPr>
          <w:p>
            <w:pPr>
              <w:widowControl/>
              <w:rPr>
                <w:rFonts w:hAnsi="宋体" w:cs="宋体"/>
                <w:bCs/>
                <w:sz w:val="20"/>
              </w:rPr>
            </w:pPr>
          </w:p>
        </w:tc>
        <w:tc>
          <w:tcPr>
            <w:tcW w:w="1500" w:type="pct"/>
            <w:vAlign w:val="center"/>
          </w:tcPr>
          <w:p>
            <w:pPr>
              <w:widowControl/>
              <w:rPr>
                <w:rFonts w:hAnsi="宋体" w:cs="宋体"/>
                <w:bCs/>
                <w:sz w:val="20"/>
              </w:rPr>
            </w:pPr>
            <w:r>
              <w:rPr>
                <w:rFonts w:hAnsi="宋体" w:cs="宋体"/>
                <w:bCs/>
                <w:sz w:val="20"/>
              </w:rPr>
              <w:t>利用水生动、植物保障室外景观水体水质。</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2646" w:type="pct"/>
            <w:gridSpan w:val="9"/>
            <w:vAlign w:val="center"/>
          </w:tcPr>
          <w:p>
            <w:pPr>
              <w:widowControl/>
              <w:rPr>
                <w:rFonts w:hAnsi="宋体" w:cs="宋体"/>
                <w:bCs/>
                <w:sz w:val="20"/>
              </w:rPr>
            </w:pPr>
            <w:r>
              <w:rPr>
                <w:rFonts w:hAnsi="宋体" w:cs="宋体"/>
                <w:bCs/>
                <w:sz w:val="20"/>
              </w:rPr>
              <w:t>未设置景观水体。</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7.2.13</w:t>
            </w:r>
          </w:p>
        </w:tc>
        <w:tc>
          <w:tcPr>
            <w:tcW w:w="512" w:type="pct"/>
            <w:vMerge w:val="restart"/>
            <w:vAlign w:val="center"/>
          </w:tcPr>
          <w:p>
            <w:pPr>
              <w:widowControl/>
              <w:rPr>
                <w:rFonts w:hAnsi="宋体" w:cs="宋体"/>
                <w:bCs/>
                <w:sz w:val="20"/>
              </w:rPr>
            </w:pPr>
            <w:r>
              <w:rPr>
                <w:rFonts w:hAnsi="宋体" w:cs="宋体"/>
                <w:sz w:val="20"/>
              </w:rPr>
              <w:t>使用非传统水源。</w:t>
            </w:r>
          </w:p>
        </w:tc>
        <w:tc>
          <w:tcPr>
            <w:tcW w:w="2134" w:type="pct"/>
            <w:gridSpan w:val="8"/>
            <w:vAlign w:val="center"/>
          </w:tcPr>
          <w:p>
            <w:pPr>
              <w:widowControl/>
              <w:rPr>
                <w:rFonts w:hAnsi="宋体" w:cs="宋体"/>
                <w:bCs/>
                <w:sz w:val="20"/>
              </w:rPr>
            </w:pPr>
            <w:r>
              <w:rPr>
                <w:rFonts w:hAnsi="宋体" w:cs="宋体"/>
                <w:bCs/>
                <w:sz w:val="20"/>
              </w:rPr>
              <w:t>绿化灌溉、车库及道路冲洗、洗车用水采用非传统水源的用水量占其总用水量的比例不低于40%，得3分；</w:t>
            </w:r>
          </w:p>
          <w:p>
            <w:pPr>
              <w:widowControl/>
              <w:rPr>
                <w:rFonts w:hAnsi="宋体" w:cs="宋体"/>
                <w:bCs/>
                <w:sz w:val="20"/>
              </w:rPr>
            </w:pPr>
            <w:r>
              <w:rPr>
                <w:rFonts w:hAnsi="宋体" w:cs="宋体"/>
                <w:bCs/>
                <w:sz w:val="20"/>
              </w:rPr>
              <w:t>绿化灌溉、车库及道路冲洗、洗车用水采用非传统水源的用水量占其总用水量的比例不低于60%，得5分。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冲厕采用非传统水源的用水量占其总用水量的比例不低于30%，得3分；</w:t>
            </w:r>
          </w:p>
          <w:p>
            <w:pPr>
              <w:widowControl/>
              <w:rPr>
                <w:rFonts w:hAnsi="宋体" w:cs="宋体"/>
                <w:bCs/>
                <w:sz w:val="20"/>
              </w:rPr>
            </w:pPr>
            <w:r>
              <w:rPr>
                <w:rFonts w:hAnsi="宋体" w:cs="宋体"/>
                <w:bCs/>
                <w:sz w:val="20"/>
              </w:rPr>
              <w:t>冲厕采用非传统水源的用水量占其总用水量的比例不低于50%，得5分。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冷却水补水采用非传统水源的用水量占其总用水量的比例不低于20%，得3分；</w:t>
            </w:r>
          </w:p>
          <w:p>
            <w:pPr>
              <w:widowControl/>
              <w:rPr>
                <w:rFonts w:hAnsi="宋体" w:cs="宋体"/>
                <w:bCs/>
                <w:sz w:val="20"/>
              </w:rPr>
            </w:pPr>
            <w:r>
              <w:rPr>
                <w:rFonts w:hAnsi="宋体" w:cs="宋体"/>
                <w:bCs/>
                <w:sz w:val="20"/>
              </w:rPr>
              <w:t>冷却水补水采用非传统水源的用水量占其总用水量的比例不低于40%，得5分。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7.2.14</w:t>
            </w:r>
          </w:p>
        </w:tc>
        <w:tc>
          <w:tcPr>
            <w:tcW w:w="2646" w:type="pct"/>
            <w:gridSpan w:val="9"/>
            <w:vAlign w:val="center"/>
          </w:tcPr>
          <w:p>
            <w:pPr>
              <w:widowControl/>
              <w:rPr>
                <w:rFonts w:hAnsi="宋体" w:cs="宋体"/>
                <w:bCs/>
                <w:sz w:val="20"/>
              </w:rPr>
            </w:pPr>
            <w:r>
              <w:rPr>
                <w:rFonts w:hAnsi="宋体" w:cs="宋体"/>
                <w:sz w:val="20"/>
              </w:rPr>
              <w:t>建筑所有区域实施土建工程与装修工程一体化设计及施工。</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7.2.15</w:t>
            </w:r>
          </w:p>
        </w:tc>
        <w:tc>
          <w:tcPr>
            <w:tcW w:w="512" w:type="pct"/>
            <w:vMerge w:val="restart"/>
            <w:vAlign w:val="center"/>
          </w:tcPr>
          <w:p>
            <w:pPr>
              <w:widowControl/>
              <w:rPr>
                <w:rFonts w:hAnsi="宋体" w:cs="宋体"/>
                <w:bCs/>
                <w:sz w:val="20"/>
              </w:rPr>
            </w:pPr>
            <w:r>
              <w:rPr>
                <w:rFonts w:hAnsi="宋体" w:cs="宋体"/>
                <w:bCs/>
                <w:sz w:val="20"/>
              </w:rPr>
              <w:t>合理选用建筑结构材料与构建</w:t>
            </w:r>
          </w:p>
          <w:p>
            <w:pPr>
              <w:widowControl/>
              <w:rPr>
                <w:rFonts w:hAnsi="宋体" w:cs="宋体"/>
                <w:bCs/>
                <w:sz w:val="20"/>
              </w:rPr>
            </w:pPr>
            <w:r>
              <w:rPr>
                <w:rFonts w:hAnsi="宋体" w:cs="宋体"/>
                <w:bCs/>
                <w:sz w:val="20"/>
              </w:rPr>
              <w:t>。</w:t>
            </w:r>
          </w:p>
        </w:tc>
        <w:tc>
          <w:tcPr>
            <w:tcW w:w="503" w:type="pct"/>
            <w:gridSpan w:val="6"/>
            <w:vMerge w:val="restart"/>
            <w:vAlign w:val="center"/>
          </w:tcPr>
          <w:p>
            <w:pPr>
              <w:widowControl/>
              <w:rPr>
                <w:rFonts w:hAnsi="宋体" w:cs="宋体"/>
                <w:bCs/>
                <w:sz w:val="20"/>
              </w:rPr>
            </w:pPr>
            <w:r>
              <w:rPr>
                <w:rFonts w:hAnsi="宋体" w:cs="宋体"/>
                <w:bCs/>
                <w:sz w:val="20"/>
              </w:rPr>
              <w:t>高强钢筋(□混凝土结构)</w:t>
            </w:r>
          </w:p>
        </w:tc>
        <w:tc>
          <w:tcPr>
            <w:tcW w:w="1631" w:type="pct"/>
            <w:gridSpan w:val="2"/>
            <w:vAlign w:val="center"/>
          </w:tcPr>
          <w:p>
            <w:pPr>
              <w:rPr>
                <w:rFonts w:hAnsi="宋体" w:cs="宋体"/>
                <w:sz w:val="20"/>
              </w:rPr>
            </w:pPr>
            <w:r>
              <w:rPr>
                <w:rFonts w:hAnsi="宋体" w:cs="宋体"/>
                <w:sz w:val="20"/>
              </w:rPr>
              <w:t>400MPa级及以上强度等级钢筋应用比例达到85%。</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continue"/>
            <w:vAlign w:val="center"/>
          </w:tcPr>
          <w:p>
            <w:pPr>
              <w:widowControl/>
              <w:rPr>
                <w:rFonts w:hAnsi="宋体" w:cs="宋体"/>
                <w:bCs/>
                <w:sz w:val="20"/>
              </w:rPr>
            </w:pPr>
          </w:p>
        </w:tc>
        <w:tc>
          <w:tcPr>
            <w:tcW w:w="1631" w:type="pct"/>
            <w:gridSpan w:val="2"/>
            <w:vAlign w:val="center"/>
          </w:tcPr>
          <w:p>
            <w:pPr>
              <w:rPr>
                <w:rFonts w:hAnsi="宋体" w:cs="宋体"/>
                <w:sz w:val="20"/>
              </w:rPr>
            </w:pPr>
            <w:r>
              <w:rPr>
                <w:rFonts w:hAnsi="宋体" w:cs="宋体"/>
                <w:sz w:val="20"/>
              </w:rPr>
              <w:t>混凝土竖向承重结构采用强度等级不小于C50混凝土用量占竖向承重结构中混凝土总量的比例达到50%。</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restart"/>
            <w:vAlign w:val="center"/>
          </w:tcPr>
          <w:p>
            <w:pPr>
              <w:rPr>
                <w:rFonts w:hAnsi="宋体" w:cs="宋体"/>
                <w:bCs/>
                <w:sz w:val="20"/>
              </w:rPr>
            </w:pPr>
            <w:r>
              <w:rPr>
                <w:rFonts w:hAnsi="宋体" w:cs="宋体"/>
                <w:bCs/>
                <w:sz w:val="20"/>
              </w:rPr>
              <w:t>高强钢筋(□钢结构)</w:t>
            </w:r>
          </w:p>
        </w:tc>
        <w:tc>
          <w:tcPr>
            <w:tcW w:w="1631" w:type="pct"/>
            <w:gridSpan w:val="2"/>
            <w:vAlign w:val="center"/>
          </w:tcPr>
          <w:p>
            <w:pPr>
              <w:rPr>
                <w:rFonts w:hAnsi="宋体" w:cs="宋体"/>
                <w:sz w:val="20"/>
              </w:rPr>
            </w:pPr>
            <w:r>
              <w:rPr>
                <w:rFonts w:hAnsi="宋体" w:cs="宋体"/>
                <w:sz w:val="20"/>
              </w:rPr>
              <w:t>Q345及以上高强钢材用量占钢材总量的比例达到50%,得3分；</w:t>
            </w:r>
          </w:p>
          <w:p>
            <w:pPr>
              <w:rPr>
                <w:rFonts w:hAnsi="宋体" w:cs="宋体"/>
                <w:sz w:val="20"/>
              </w:rPr>
            </w:pPr>
            <w:r>
              <w:rPr>
                <w:rFonts w:hAnsi="宋体" w:cs="宋体"/>
                <w:sz w:val="20"/>
              </w:rPr>
              <w:t>Q345及以上高强钢材用量占钢材总量的比例达到70%,得4分。</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continue"/>
            <w:vAlign w:val="center"/>
          </w:tcPr>
          <w:p>
            <w:pPr>
              <w:widowControl/>
              <w:rPr>
                <w:rFonts w:hAnsi="宋体" w:cs="宋体"/>
                <w:bCs/>
                <w:sz w:val="20"/>
              </w:rPr>
            </w:pPr>
          </w:p>
        </w:tc>
        <w:tc>
          <w:tcPr>
            <w:tcW w:w="1631" w:type="pct"/>
            <w:gridSpan w:val="2"/>
            <w:vAlign w:val="center"/>
          </w:tcPr>
          <w:p>
            <w:pPr>
              <w:rPr>
                <w:rFonts w:hAnsi="宋体" w:cs="宋体"/>
                <w:sz w:val="20"/>
              </w:rPr>
            </w:pPr>
            <w:r>
              <w:rPr>
                <w:rFonts w:hAnsi="宋体" w:cs="宋体"/>
                <w:sz w:val="20"/>
              </w:rPr>
              <w:t>螺栓连接等非现场焊接节点占现场全部连接、拼接节点的数量比例达到50%。</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continue"/>
            <w:vAlign w:val="center"/>
          </w:tcPr>
          <w:p>
            <w:pPr>
              <w:widowControl/>
              <w:rPr>
                <w:rFonts w:hAnsi="宋体" w:cs="宋体"/>
                <w:bCs/>
                <w:sz w:val="20"/>
              </w:rPr>
            </w:pPr>
          </w:p>
        </w:tc>
        <w:tc>
          <w:tcPr>
            <w:tcW w:w="1631" w:type="pct"/>
            <w:gridSpan w:val="2"/>
            <w:vAlign w:val="center"/>
          </w:tcPr>
          <w:p>
            <w:pPr>
              <w:rPr>
                <w:rFonts w:hAnsi="宋体" w:cs="宋体"/>
                <w:sz w:val="20"/>
              </w:rPr>
            </w:pPr>
            <w:r>
              <w:rPr>
                <w:rFonts w:hAnsi="宋体" w:cs="宋体"/>
                <w:sz w:val="20"/>
              </w:rPr>
              <w:t>采用施工时免支撑的楼层面板。</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sz w:val="20"/>
              </w:rPr>
            </w:pPr>
            <w:r>
              <w:rPr>
                <w:rFonts w:hAnsi="宋体" w:cs="宋体"/>
                <w:bCs/>
                <w:sz w:val="20"/>
              </w:rPr>
              <w:t>高强钢筋(□混合结构)</w:t>
            </w:r>
            <w:r>
              <w:rPr>
                <w:rFonts w:hAnsi="宋体" w:cs="宋体"/>
                <w:sz w:val="20"/>
              </w:rPr>
              <w:t xml:space="preserve"> </w:t>
            </w:r>
          </w:p>
          <w:p>
            <w:pPr>
              <w:widowControl/>
              <w:rPr>
                <w:rFonts w:hAnsi="宋体" w:cs="宋体"/>
                <w:bCs/>
                <w:sz w:val="20"/>
              </w:rPr>
            </w:pPr>
            <w:r>
              <w:rPr>
                <w:rFonts w:hAnsi="宋体" w:cs="宋体"/>
                <w:bCs/>
                <w:sz w:val="20"/>
              </w:rPr>
              <w:t>混凝土结构部分，10分</w:t>
            </w:r>
            <w:r>
              <w:rPr>
                <w:rFonts w:hint="eastAsia" w:hAnsi="宋体" w:cs="宋体"/>
                <w:bCs/>
                <w:sz w:val="20"/>
              </w:rPr>
              <w:t>；</w:t>
            </w:r>
          </w:p>
          <w:p>
            <w:pPr>
              <w:widowControl/>
              <w:rPr>
                <w:rFonts w:hAnsi="宋体" w:cs="宋体"/>
                <w:bCs/>
                <w:sz w:val="20"/>
              </w:rPr>
            </w:pPr>
            <w:r>
              <w:rPr>
                <w:rFonts w:hAnsi="宋体" w:cs="宋体"/>
                <w:bCs/>
                <w:sz w:val="20"/>
              </w:rPr>
              <w:t>钢结构部分，10分</w:t>
            </w:r>
            <w:r>
              <w:rPr>
                <w:rFonts w:hint="eastAsia" w:hAnsi="宋体" w:cs="宋体"/>
                <w:bCs/>
                <w:sz w:val="20"/>
              </w:rPr>
              <w:t>；</w:t>
            </w:r>
          </w:p>
          <w:p>
            <w:pPr>
              <w:widowControl/>
              <w:rPr>
                <w:rFonts w:hAnsi="宋体" w:cs="宋体"/>
                <w:bCs/>
                <w:sz w:val="20"/>
              </w:rPr>
            </w:pPr>
            <w:r>
              <w:rPr>
                <w:rFonts w:hAnsi="宋体" w:cs="宋体"/>
                <w:bCs/>
                <w:sz w:val="20"/>
              </w:rPr>
              <w:t>合计（取平均值），10分</w:t>
            </w:r>
            <w:r>
              <w:rPr>
                <w:rFonts w:hint="eastAsia" w:hAnsi="宋体" w:cs="宋体"/>
                <w:bCs/>
                <w:sz w:val="20"/>
              </w:rPr>
              <w:t>；</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7.2.16</w:t>
            </w:r>
          </w:p>
        </w:tc>
        <w:tc>
          <w:tcPr>
            <w:tcW w:w="2646" w:type="pct"/>
            <w:gridSpan w:val="9"/>
            <w:vAlign w:val="center"/>
          </w:tcPr>
          <w:p>
            <w:pPr>
              <w:widowControl/>
              <w:rPr>
                <w:rFonts w:hAnsi="宋体" w:cs="宋体"/>
                <w:sz w:val="20"/>
              </w:rPr>
            </w:pPr>
            <w:r>
              <w:rPr>
                <w:rFonts w:hAnsi="宋体" w:cs="宋体"/>
                <w:sz w:val="20"/>
              </w:rPr>
              <w:t>建筑装修选用工业化内装部品：</w:t>
            </w:r>
          </w:p>
          <w:p>
            <w:pPr>
              <w:widowControl/>
              <w:rPr>
                <w:rFonts w:hAnsi="宋体" w:cs="宋体"/>
              </w:rPr>
            </w:pPr>
            <w:r>
              <w:rPr>
                <w:rFonts w:hAnsi="宋体" w:cs="宋体"/>
                <w:sz w:val="20"/>
              </w:rPr>
              <w:t>建筑装修选用工业化内装部品占同类部品用量比例达到50%以上的部品种类，达到1种，得3分；达到3种，得5分；达到3种以上，得8分。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7.2.17</w:t>
            </w:r>
          </w:p>
        </w:tc>
        <w:tc>
          <w:tcPr>
            <w:tcW w:w="512" w:type="pct"/>
            <w:vMerge w:val="restart"/>
            <w:vAlign w:val="center"/>
          </w:tcPr>
          <w:p>
            <w:pPr>
              <w:widowControl/>
              <w:rPr>
                <w:rFonts w:hAnsi="宋体" w:cs="宋体"/>
                <w:bCs/>
                <w:sz w:val="20"/>
              </w:rPr>
            </w:pPr>
            <w:r>
              <w:rPr>
                <w:rFonts w:hAnsi="宋体" w:cs="宋体"/>
                <w:bCs/>
                <w:sz w:val="20"/>
              </w:rPr>
              <w:t>可再循环材料、可再利用材料</w:t>
            </w:r>
          </w:p>
        </w:tc>
        <w:tc>
          <w:tcPr>
            <w:tcW w:w="2134" w:type="pct"/>
            <w:gridSpan w:val="8"/>
            <w:vAlign w:val="center"/>
          </w:tcPr>
          <w:p>
            <w:pPr>
              <w:widowControl/>
              <w:rPr>
                <w:rFonts w:hAnsi="宋体" w:cs="宋体"/>
                <w:bCs/>
                <w:sz w:val="20"/>
              </w:rPr>
            </w:pPr>
            <w:r>
              <w:rPr>
                <w:rFonts w:hAnsi="宋体" w:cs="宋体"/>
                <w:bCs/>
                <w:sz w:val="20"/>
              </w:rPr>
              <w:t>住宅建筑6%,得3分；10%，得6分。</w:t>
            </w:r>
          </w:p>
        </w:tc>
        <w:tc>
          <w:tcPr>
            <w:tcW w:w="391" w:type="pct"/>
            <w:vMerge w:val="restart"/>
            <w:vAlign w:val="center"/>
          </w:tcPr>
          <w:p>
            <w:pPr>
              <w:widowControl/>
              <w:jc w:val="center"/>
              <w:rPr>
                <w:rFonts w:hAnsi="宋体" w:cs="宋体"/>
                <w:b/>
                <w:bCs/>
                <w:sz w:val="20"/>
              </w:rPr>
            </w:pPr>
            <w:r>
              <w:rPr>
                <w:rFonts w:hAnsi="宋体" w:cs="宋体"/>
                <w:b/>
                <w:bCs/>
                <w:sz w:val="20"/>
              </w:rPr>
              <w:t>6</w:t>
            </w:r>
          </w:p>
        </w:tc>
        <w:tc>
          <w:tcPr>
            <w:tcW w:w="375" w:type="pct"/>
            <w:vMerge w:val="restart"/>
            <w:vAlign w:val="center"/>
          </w:tcPr>
          <w:p>
            <w:pPr>
              <w:widowControl/>
              <w:jc w:val="center"/>
              <w:rPr>
                <w:rFonts w:hAnsi="宋体" w:cs="宋体"/>
                <w:b/>
                <w:bCs/>
                <w:sz w:val="20"/>
              </w:rPr>
            </w:pPr>
            <w:r>
              <w:rPr>
                <w:rFonts w:hAnsi="宋体" w:cs="宋体"/>
                <w:b/>
                <w:bCs/>
                <w:sz w:val="20"/>
              </w:rPr>
              <w:t>12</w:t>
            </w:r>
          </w:p>
        </w:tc>
        <w:tc>
          <w:tcPr>
            <w:tcW w:w="455" w:type="pct"/>
            <w:vMerge w:val="restar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255" w:type="pct"/>
            <w:vMerge w:val="continue"/>
            <w:vAlign w:val="center"/>
          </w:tcPr>
          <w:p>
            <w:pPr>
              <w:widowControl/>
              <w:rPr>
                <w:rFonts w:hAnsi="宋体" w:cs="宋体"/>
                <w:sz w:val="20"/>
              </w:rPr>
            </w:pPr>
          </w:p>
        </w:tc>
        <w:tc>
          <w:tcPr>
            <w:tcW w:w="492" w:type="pct"/>
            <w:vMerge w:val="continue"/>
            <w:noWrap/>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公共建筑10%,得3分；15%，得6分。</w:t>
            </w:r>
          </w:p>
        </w:tc>
        <w:tc>
          <w:tcPr>
            <w:tcW w:w="391" w:type="pct"/>
            <w:vMerge w:val="continue"/>
            <w:vAlign w:val="center"/>
          </w:tcPr>
          <w:p>
            <w:pPr>
              <w:widowControl/>
              <w:jc w:val="center"/>
              <w:rPr>
                <w:rFonts w:hAnsi="宋体" w:cs="宋体"/>
                <w:b/>
                <w:bCs/>
                <w:sz w:val="20"/>
              </w:rPr>
            </w:pPr>
          </w:p>
        </w:tc>
        <w:tc>
          <w:tcPr>
            <w:tcW w:w="375" w:type="pct"/>
            <w:vMerge w:val="continue"/>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Align w:val="center"/>
          </w:tcPr>
          <w:p>
            <w:pPr>
              <w:widowControl/>
              <w:jc w:val="center"/>
              <w:rPr>
                <w:rFonts w:hAnsi="宋体" w:cs="宋体"/>
                <w:bCs/>
                <w:sz w:val="20"/>
              </w:rPr>
            </w:pPr>
            <w:r>
              <w:rPr>
                <w:rFonts w:hAnsi="宋体" w:cs="宋体"/>
                <w:bCs/>
                <w:sz w:val="20"/>
              </w:rPr>
              <w:t>利废</w:t>
            </w:r>
          </w:p>
          <w:p>
            <w:pPr>
              <w:widowControl/>
              <w:jc w:val="center"/>
              <w:rPr>
                <w:rFonts w:hAnsi="宋体" w:cs="宋体"/>
                <w:bCs/>
                <w:sz w:val="20"/>
              </w:rPr>
            </w:pPr>
            <w:r>
              <w:rPr>
                <w:rFonts w:hAnsi="宋体" w:cs="宋体"/>
                <w:bCs/>
                <w:sz w:val="20"/>
              </w:rPr>
              <w:t>建材</w:t>
            </w:r>
          </w:p>
        </w:tc>
        <w:tc>
          <w:tcPr>
            <w:tcW w:w="2134" w:type="pct"/>
            <w:gridSpan w:val="8"/>
            <w:vAlign w:val="center"/>
          </w:tcPr>
          <w:p>
            <w:pPr>
              <w:widowControl/>
              <w:rPr>
                <w:rFonts w:hAnsi="宋体" w:cs="宋体"/>
                <w:bCs/>
                <w:sz w:val="20"/>
              </w:rPr>
            </w:pPr>
            <w:r>
              <w:rPr>
                <w:rFonts w:hAnsi="宋体" w:cs="宋体"/>
                <w:bCs/>
                <w:sz w:val="20"/>
              </w:rPr>
              <w:t>采用一种利废建材，其占同类建材的用量比例不低于50%，得3分；</w:t>
            </w:r>
          </w:p>
          <w:p>
            <w:pPr>
              <w:widowControl/>
              <w:rPr>
                <w:rFonts w:hAnsi="宋体" w:cs="宋体"/>
                <w:bCs/>
                <w:sz w:val="20"/>
              </w:rPr>
            </w:pPr>
            <w:r>
              <w:rPr>
                <w:rFonts w:hAnsi="宋体" w:cs="宋体"/>
                <w:bCs/>
                <w:sz w:val="20"/>
              </w:rPr>
              <w:t>采用二种及以上的利废建材，每一种占同类建材的用量比例均不低于30%，得6分。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7.2.18</w:t>
            </w:r>
          </w:p>
        </w:tc>
        <w:tc>
          <w:tcPr>
            <w:tcW w:w="512" w:type="pct"/>
            <w:vAlign w:val="center"/>
          </w:tcPr>
          <w:p>
            <w:pPr>
              <w:widowControl/>
              <w:jc w:val="center"/>
              <w:rPr>
                <w:rFonts w:hAnsi="宋体" w:cs="宋体"/>
                <w:bCs/>
                <w:sz w:val="20"/>
              </w:rPr>
            </w:pPr>
            <w:r>
              <w:rPr>
                <w:rFonts w:hAnsi="宋体" w:cs="宋体"/>
                <w:bCs/>
                <w:sz w:val="20"/>
              </w:rPr>
              <w:t>绿色</w:t>
            </w:r>
          </w:p>
          <w:p>
            <w:pPr>
              <w:widowControl/>
              <w:jc w:val="center"/>
              <w:rPr>
                <w:rFonts w:hAnsi="宋体" w:cs="宋体"/>
                <w:bCs/>
                <w:sz w:val="20"/>
              </w:rPr>
            </w:pPr>
            <w:r>
              <w:rPr>
                <w:rFonts w:hAnsi="宋体" w:cs="宋体"/>
                <w:bCs/>
                <w:sz w:val="20"/>
              </w:rPr>
              <w:t>建材</w:t>
            </w:r>
          </w:p>
        </w:tc>
        <w:tc>
          <w:tcPr>
            <w:tcW w:w="2134" w:type="pct"/>
            <w:gridSpan w:val="8"/>
            <w:vAlign w:val="center"/>
          </w:tcPr>
          <w:p>
            <w:pPr>
              <w:widowControl/>
              <w:rPr>
                <w:rFonts w:hAnsi="宋体" w:cs="宋体"/>
                <w:bCs/>
                <w:sz w:val="20"/>
              </w:rPr>
            </w:pPr>
            <w:r>
              <w:rPr>
                <w:rFonts w:hAnsi="宋体" w:cs="宋体"/>
                <w:bCs/>
                <w:sz w:val="20"/>
              </w:rPr>
              <w:t>绿色建材应用比例不低于30%，得4分；</w:t>
            </w:r>
          </w:p>
          <w:p>
            <w:pPr>
              <w:widowControl/>
              <w:rPr>
                <w:rFonts w:hAnsi="宋体" w:cs="宋体"/>
                <w:bCs/>
                <w:sz w:val="20"/>
              </w:rPr>
            </w:pPr>
            <w:r>
              <w:rPr>
                <w:rFonts w:hAnsi="宋体" w:cs="宋体"/>
                <w:bCs/>
                <w:sz w:val="20"/>
              </w:rPr>
              <w:t>绿色建材应用比例不低于50%，得8分；</w:t>
            </w:r>
          </w:p>
          <w:p>
            <w:pPr>
              <w:widowControl/>
              <w:rPr>
                <w:rFonts w:hAnsi="宋体" w:cs="宋体"/>
                <w:bCs/>
                <w:sz w:val="20"/>
              </w:rPr>
            </w:pPr>
            <w:r>
              <w:rPr>
                <w:rFonts w:hAnsi="宋体" w:cs="宋体"/>
                <w:bCs/>
                <w:sz w:val="20"/>
              </w:rPr>
              <w:t>绿色建材应用比例不低于70%，得12分。</w:t>
            </w:r>
          </w:p>
        </w:tc>
        <w:tc>
          <w:tcPr>
            <w:tcW w:w="391" w:type="pct"/>
            <w:vAlign w:val="center"/>
          </w:tcPr>
          <w:p>
            <w:pPr>
              <w:widowControl/>
              <w:jc w:val="center"/>
              <w:rPr>
                <w:rFonts w:hAnsi="宋体" w:cs="宋体"/>
                <w:b/>
                <w:bCs/>
                <w:sz w:val="20"/>
              </w:rPr>
            </w:pPr>
            <w:r>
              <w:rPr>
                <w:rFonts w:hAnsi="宋体" w:cs="宋体"/>
                <w:b/>
                <w:bCs/>
                <w:sz w:val="20"/>
              </w:rPr>
              <w:t>12</w:t>
            </w:r>
          </w:p>
        </w:tc>
        <w:tc>
          <w:tcPr>
            <w:tcW w:w="375" w:type="pct"/>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环境宜居</w:t>
            </w:r>
          </w:p>
        </w:tc>
        <w:tc>
          <w:tcPr>
            <w:tcW w:w="492" w:type="pct"/>
            <w:noWrap/>
            <w:vAlign w:val="center"/>
          </w:tcPr>
          <w:p>
            <w:pPr>
              <w:widowControl/>
              <w:rPr>
                <w:rFonts w:hAnsi="宋体" w:cs="宋体"/>
                <w:sz w:val="20"/>
              </w:rPr>
            </w:pPr>
            <w:r>
              <w:rPr>
                <w:rFonts w:hAnsi="宋体" w:cs="宋体"/>
                <w:sz w:val="20"/>
              </w:rPr>
              <w:t>8.1.1</w:t>
            </w:r>
          </w:p>
        </w:tc>
        <w:tc>
          <w:tcPr>
            <w:tcW w:w="2646" w:type="pct"/>
            <w:gridSpan w:val="9"/>
            <w:vAlign w:val="center"/>
          </w:tcPr>
          <w:p>
            <w:pPr>
              <w:rPr>
                <w:rFonts w:hAnsi="宋体" w:cs="宋体"/>
                <w:sz w:val="20"/>
              </w:rPr>
            </w:pPr>
            <w:r>
              <w:rPr>
                <w:rFonts w:hAnsi="宋体" w:cs="宋体"/>
                <w:sz w:val="20"/>
              </w:rPr>
              <w:t>建筑规划布局应满足日照标准，且不得降低周边建筑的日照标准。</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8.1.2</w:t>
            </w:r>
          </w:p>
        </w:tc>
        <w:tc>
          <w:tcPr>
            <w:tcW w:w="2646" w:type="pct"/>
            <w:gridSpan w:val="9"/>
            <w:vAlign w:val="center"/>
          </w:tcPr>
          <w:p>
            <w:pPr>
              <w:rPr>
                <w:rFonts w:hAnsi="宋体" w:cs="宋体"/>
                <w:sz w:val="20"/>
              </w:rPr>
            </w:pPr>
            <w:r>
              <w:rPr>
                <w:rFonts w:hAnsi="宋体" w:cs="宋体"/>
                <w:sz w:val="20"/>
              </w:rPr>
              <w:t>室外热环境应满足国家现行有关标准的要求。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8.1.3</w:t>
            </w:r>
          </w:p>
        </w:tc>
        <w:tc>
          <w:tcPr>
            <w:tcW w:w="2646" w:type="pct"/>
            <w:gridSpan w:val="9"/>
            <w:vAlign w:val="center"/>
          </w:tcPr>
          <w:p>
            <w:pPr>
              <w:rPr>
                <w:rFonts w:hAnsi="宋体" w:cs="宋体"/>
                <w:sz w:val="20"/>
              </w:rPr>
            </w:pPr>
            <w:r>
              <w:rPr>
                <w:rFonts w:hAnsi="宋体" w:cs="宋体"/>
                <w:sz w:val="20"/>
              </w:rPr>
              <w:t>配建的绿地应符合所在地城乡规划的要求，应合理选择绿化方式，植物种植应适应当地气候和土壤，且应无毒害、易维护，种植区域覆土深度和排水能力应满足植物生产需求，并应采用复层绿化方式。</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8.1.4</w:t>
            </w:r>
          </w:p>
        </w:tc>
        <w:tc>
          <w:tcPr>
            <w:tcW w:w="2646" w:type="pct"/>
            <w:gridSpan w:val="9"/>
            <w:vAlign w:val="center"/>
          </w:tcPr>
          <w:p>
            <w:pPr>
              <w:rPr>
                <w:rFonts w:hAnsi="宋体" w:cs="宋体"/>
                <w:sz w:val="20"/>
              </w:rPr>
            </w:pPr>
            <w:r>
              <w:rPr>
                <w:rFonts w:hAnsi="宋体" w:cs="宋体"/>
                <w:sz w:val="20"/>
              </w:rPr>
              <w:t>场地的竖向设计应有利于雨水的收集或排放，应有效组织雨水的下渗、滞蓄或再利用；对大于10hm</w:t>
            </w:r>
            <w:r>
              <w:rPr>
                <w:rFonts w:hAnsi="宋体" w:cs="宋体"/>
                <w:sz w:val="20"/>
                <w:vertAlign w:val="superscript"/>
              </w:rPr>
              <w:t>2</w:t>
            </w:r>
            <w:r>
              <w:rPr>
                <w:rFonts w:hAnsi="宋体" w:cs="宋体"/>
                <w:sz w:val="20"/>
              </w:rPr>
              <w:t>的场地应进行雨水控制利用专项设计。</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8.1.5</w:t>
            </w:r>
          </w:p>
        </w:tc>
        <w:tc>
          <w:tcPr>
            <w:tcW w:w="2646" w:type="pct"/>
            <w:gridSpan w:val="9"/>
            <w:vAlign w:val="center"/>
          </w:tcPr>
          <w:p>
            <w:pPr>
              <w:rPr>
                <w:rFonts w:hAnsi="宋体" w:cs="宋体"/>
                <w:sz w:val="20"/>
              </w:rPr>
            </w:pPr>
            <w:r>
              <w:rPr>
                <w:rFonts w:hAnsi="宋体" w:cs="宋体"/>
                <w:sz w:val="20"/>
              </w:rPr>
              <w:t>建筑内外均应设置便于识别和使用的标识系统。</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8.1.6</w:t>
            </w:r>
          </w:p>
        </w:tc>
        <w:tc>
          <w:tcPr>
            <w:tcW w:w="2646" w:type="pct"/>
            <w:gridSpan w:val="9"/>
            <w:vAlign w:val="center"/>
          </w:tcPr>
          <w:p>
            <w:pPr>
              <w:rPr>
                <w:rFonts w:hAnsi="宋体" w:cs="宋体"/>
                <w:sz w:val="20"/>
              </w:rPr>
            </w:pPr>
            <w:r>
              <w:rPr>
                <w:rFonts w:hAnsi="宋体" w:cs="宋体"/>
                <w:sz w:val="20"/>
              </w:rPr>
              <w:t>场地内不应有排放超标的污染源。</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8.1.7</w:t>
            </w:r>
          </w:p>
        </w:tc>
        <w:tc>
          <w:tcPr>
            <w:tcW w:w="2646" w:type="pct"/>
            <w:gridSpan w:val="9"/>
            <w:vAlign w:val="center"/>
          </w:tcPr>
          <w:p>
            <w:pPr>
              <w:rPr>
                <w:rFonts w:hAnsi="宋体" w:cs="宋体"/>
                <w:sz w:val="20"/>
              </w:rPr>
            </w:pPr>
            <w:r>
              <w:rPr>
                <w:rFonts w:hAnsi="宋体" w:cs="宋体"/>
                <w:sz w:val="20"/>
              </w:rPr>
              <w:t>生活垃圾应分类收集，垃圾容器和收集点的设置应合理并应与周围景观协调。</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8.2.1</w:t>
            </w:r>
          </w:p>
        </w:tc>
        <w:tc>
          <w:tcPr>
            <w:tcW w:w="512" w:type="pct"/>
            <w:vMerge w:val="restart"/>
            <w:vAlign w:val="center"/>
          </w:tcPr>
          <w:p>
            <w:pPr>
              <w:widowControl/>
              <w:rPr>
                <w:rFonts w:hAnsi="宋体" w:cs="宋体"/>
                <w:bCs/>
                <w:sz w:val="20"/>
              </w:rPr>
            </w:pPr>
            <w:r>
              <w:rPr>
                <w:rFonts w:hAnsi="宋体" w:cs="宋体"/>
                <w:sz w:val="20"/>
              </w:rPr>
              <w:t>充分保护或修复场地生态环境，合理布局建筑及景观。</w:t>
            </w:r>
          </w:p>
        </w:tc>
        <w:tc>
          <w:tcPr>
            <w:tcW w:w="2134" w:type="pct"/>
            <w:gridSpan w:val="8"/>
            <w:vAlign w:val="center"/>
          </w:tcPr>
          <w:p>
            <w:pPr>
              <w:rPr>
                <w:rFonts w:hAnsi="宋体" w:cs="宋体"/>
                <w:sz w:val="20"/>
              </w:rPr>
            </w:pPr>
            <w:r>
              <w:rPr>
                <w:rFonts w:hAnsi="宋体" w:cs="宋体"/>
                <w:sz w:val="20"/>
              </w:rPr>
              <w:t>保护场地内原有的自然水域、湿地、植被等，保持场地内的生态系统与场地外生态系统的连贯性。</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采取净地表层土回收利用等生态补偿措施。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根据场地实际状况，采取其他生态恢复或补偿措施。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8.2.2</w:t>
            </w:r>
          </w:p>
        </w:tc>
        <w:tc>
          <w:tcPr>
            <w:tcW w:w="2646" w:type="pct"/>
            <w:gridSpan w:val="9"/>
            <w:vAlign w:val="center"/>
          </w:tcPr>
          <w:p>
            <w:pPr>
              <w:widowControl/>
              <w:rPr>
                <w:rFonts w:hAnsi="宋体" w:cs="宋体"/>
                <w:bCs/>
                <w:sz w:val="20"/>
              </w:rPr>
            </w:pPr>
            <w:r>
              <w:rPr>
                <w:rFonts w:hAnsi="宋体" w:cs="宋体"/>
                <w:sz w:val="20"/>
              </w:rPr>
              <w:t>规划场地地表和屋面雨水径流，对场地雨水实施外排总量控制。</w:t>
            </w:r>
          </w:p>
          <w:p>
            <w:pPr>
              <w:widowControl/>
              <w:rPr>
                <w:rFonts w:hAnsi="宋体" w:cs="宋体"/>
                <w:bCs/>
                <w:sz w:val="20"/>
              </w:rPr>
            </w:pPr>
            <w:r>
              <w:rPr>
                <w:rFonts w:hAnsi="宋体" w:cs="宋体"/>
                <w:bCs/>
                <w:sz w:val="20"/>
              </w:rPr>
              <w:t>场地年径流总量控制率达到55%，得5分；</w:t>
            </w:r>
          </w:p>
          <w:p>
            <w:pPr>
              <w:widowControl/>
              <w:rPr>
                <w:rFonts w:hAnsi="宋体" w:cs="宋体"/>
                <w:bCs/>
                <w:sz w:val="20"/>
              </w:rPr>
            </w:pPr>
            <w:r>
              <w:rPr>
                <w:rFonts w:hAnsi="宋体" w:cs="宋体"/>
                <w:bCs/>
                <w:sz w:val="20"/>
              </w:rPr>
              <w:t>场地年径流总量控制率达到70%，得10分。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8.2.3</w:t>
            </w:r>
          </w:p>
        </w:tc>
        <w:tc>
          <w:tcPr>
            <w:tcW w:w="512" w:type="pct"/>
            <w:vMerge w:val="restart"/>
            <w:shd w:val="clear" w:color="000000" w:fill="FFFFFF"/>
            <w:vAlign w:val="center"/>
          </w:tcPr>
          <w:p>
            <w:pPr>
              <w:widowControl/>
              <w:rPr>
                <w:rFonts w:hAnsi="宋体" w:cs="宋体"/>
                <w:bCs/>
                <w:sz w:val="20"/>
              </w:rPr>
            </w:pPr>
            <w:r>
              <w:rPr>
                <w:rFonts w:hAnsi="宋体" w:cs="宋体"/>
                <w:sz w:val="20"/>
              </w:rPr>
              <w:t>充分利用场地空间设置绿化用地。</w:t>
            </w:r>
          </w:p>
        </w:tc>
        <w:tc>
          <w:tcPr>
            <w:tcW w:w="2134" w:type="pct"/>
            <w:gridSpan w:val="8"/>
            <w:shd w:val="clear" w:color="000000" w:fill="FFFFFF"/>
            <w:vAlign w:val="center"/>
          </w:tcPr>
          <w:p>
            <w:pPr>
              <w:widowControl/>
              <w:rPr>
                <w:rFonts w:hAnsi="宋体" w:cs="宋体"/>
                <w:bCs/>
                <w:sz w:val="20"/>
              </w:rPr>
            </w:pPr>
            <w:r>
              <w:rPr>
                <w:rFonts w:hAnsi="宋体" w:cs="宋体"/>
                <w:sz w:val="20"/>
              </w:rPr>
              <w:t>绿地率达到规划指标的105%及以上。</w:t>
            </w:r>
          </w:p>
        </w:tc>
        <w:tc>
          <w:tcPr>
            <w:tcW w:w="391" w:type="pct"/>
            <w:shd w:val="clear" w:color="000000" w:fill="FFFFFF"/>
            <w:vAlign w:val="center"/>
          </w:tcPr>
          <w:p>
            <w:pPr>
              <w:widowControl/>
              <w:jc w:val="center"/>
              <w:rPr>
                <w:rFonts w:hAnsi="宋体" w:cs="宋体"/>
                <w:b/>
                <w:bCs/>
                <w:sz w:val="20"/>
              </w:rPr>
            </w:pPr>
            <w:r>
              <w:rPr>
                <w:rFonts w:hAnsi="宋体" w:cs="宋体"/>
                <w:b/>
                <w:bCs/>
                <w:sz w:val="20"/>
              </w:rPr>
              <w:t>10</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16</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350" w:type="pct"/>
            <w:gridSpan w:val="5"/>
            <w:vMerge w:val="restart"/>
            <w:shd w:val="clear" w:color="auto" w:fill="auto"/>
            <w:vAlign w:val="center"/>
          </w:tcPr>
          <w:p>
            <w:pPr>
              <w:widowControl/>
              <w:rPr>
                <w:rFonts w:hAnsi="宋体" w:cs="宋体"/>
                <w:bCs/>
                <w:sz w:val="20"/>
              </w:rPr>
            </w:pPr>
            <w:r>
              <w:rPr>
                <w:rFonts w:hAnsi="宋体" w:cs="宋体"/>
                <w:bCs/>
                <w:sz w:val="20"/>
              </w:rPr>
              <w:t>住宅</w:t>
            </w:r>
          </w:p>
          <w:p>
            <w:pPr>
              <w:widowControl/>
              <w:rPr>
                <w:rFonts w:hAnsi="宋体" w:cs="宋体"/>
                <w:bCs/>
                <w:sz w:val="20"/>
              </w:rPr>
            </w:pPr>
            <w:r>
              <w:rPr>
                <w:rFonts w:hAnsi="宋体" w:cs="宋体"/>
                <w:bCs/>
                <w:sz w:val="20"/>
              </w:rPr>
              <w:t>项目</w:t>
            </w:r>
          </w:p>
        </w:tc>
        <w:tc>
          <w:tcPr>
            <w:tcW w:w="1784" w:type="pct"/>
            <w:gridSpan w:val="3"/>
            <w:shd w:val="clear" w:color="auto" w:fill="auto"/>
            <w:vAlign w:val="center"/>
          </w:tcPr>
          <w:p>
            <w:pPr>
              <w:widowControl/>
              <w:rPr>
                <w:rFonts w:hAnsi="宋体" w:cs="宋体"/>
                <w:bCs/>
                <w:sz w:val="20"/>
              </w:rPr>
            </w:pPr>
            <w:r>
              <w:rPr>
                <w:rFonts w:hAnsi="宋体" w:cs="宋体"/>
                <w:bCs/>
                <w:sz w:val="20"/>
              </w:rPr>
              <w:t>□新区建设</w:t>
            </w:r>
          </w:p>
          <w:p>
            <w:pPr>
              <w:widowControl/>
              <w:rPr>
                <w:rFonts w:hAnsi="宋体" w:cs="宋体"/>
                <w:bCs/>
                <w:sz w:val="20"/>
              </w:rPr>
            </w:pPr>
            <w:r>
              <w:rPr>
                <w:rFonts w:hAnsi="宋体" w:cs="宋体"/>
                <w:bCs/>
                <w:sz w:val="20"/>
              </w:rPr>
              <w:t>所在居住街坊内人均集中绿地面积Ag（m</w:t>
            </w:r>
            <w:r>
              <w:rPr>
                <w:rFonts w:hAnsi="宋体" w:cs="宋体"/>
                <w:bCs/>
                <w:sz w:val="20"/>
                <w:vertAlign w:val="superscript"/>
              </w:rPr>
              <w:t>2</w:t>
            </w:r>
            <w:r>
              <w:rPr>
                <w:rFonts w:hAnsi="宋体" w:cs="宋体"/>
                <w:bCs/>
                <w:sz w:val="20"/>
              </w:rPr>
              <w:t xml:space="preserve">/人）：                               </w:t>
            </w:r>
          </w:p>
          <w:p>
            <w:pPr>
              <w:widowControl/>
              <w:rPr>
                <w:rFonts w:hAnsi="宋体" w:cs="宋体"/>
                <w:bCs/>
                <w:sz w:val="20"/>
              </w:rPr>
            </w:pPr>
            <w:r>
              <w:rPr>
                <w:rFonts w:hAnsi="宋体" w:cs="宋体"/>
                <w:bCs/>
                <w:sz w:val="20"/>
              </w:rPr>
              <w:t>Ag=0.50，得2分；</w:t>
            </w:r>
          </w:p>
          <w:p>
            <w:pPr>
              <w:widowControl/>
              <w:rPr>
                <w:rFonts w:hAnsi="宋体" w:cs="宋体"/>
                <w:bCs/>
                <w:sz w:val="20"/>
              </w:rPr>
            </w:pPr>
            <w:r>
              <w:rPr>
                <w:rFonts w:hAnsi="宋体" w:cs="宋体"/>
                <w:bCs/>
                <w:sz w:val="20"/>
              </w:rPr>
              <w:t>0.50＜Ag＜0.60 ，得4分；</w:t>
            </w:r>
          </w:p>
          <w:p>
            <w:pPr>
              <w:widowControl/>
              <w:rPr>
                <w:rFonts w:hAnsi="宋体" w:cs="宋体"/>
                <w:bCs/>
                <w:sz w:val="20"/>
              </w:rPr>
            </w:pPr>
            <w:r>
              <w:rPr>
                <w:rFonts w:hAnsi="宋体" w:cs="宋体"/>
                <w:bCs/>
                <w:sz w:val="20"/>
              </w:rPr>
              <w:t>Ag≥0.60，得6分。</w:t>
            </w:r>
          </w:p>
        </w:tc>
        <w:tc>
          <w:tcPr>
            <w:tcW w:w="391" w:type="pct"/>
            <w:shd w:val="clear" w:color="auto" w:fill="auto"/>
            <w:vAlign w:val="center"/>
          </w:tcPr>
          <w:p>
            <w:pPr>
              <w:widowControl/>
              <w:jc w:val="center"/>
              <w:rPr>
                <w:rFonts w:hAnsi="宋体" w:cs="宋体"/>
                <w:b/>
                <w:bCs/>
                <w:sz w:val="20"/>
              </w:rPr>
            </w:pPr>
            <w:r>
              <w:rPr>
                <w:rFonts w:hAnsi="宋体" w:cs="宋体"/>
                <w:b/>
                <w:bCs/>
                <w:sz w:val="20"/>
              </w:rPr>
              <w:t>6</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350" w:type="pct"/>
            <w:gridSpan w:val="5"/>
            <w:vMerge w:val="continue"/>
            <w:shd w:val="clear" w:color="auto" w:fill="auto"/>
            <w:vAlign w:val="center"/>
          </w:tcPr>
          <w:p>
            <w:pPr>
              <w:widowControl/>
              <w:rPr>
                <w:rFonts w:hAnsi="宋体" w:cs="宋体"/>
                <w:bCs/>
                <w:sz w:val="20"/>
              </w:rPr>
            </w:pPr>
          </w:p>
        </w:tc>
        <w:tc>
          <w:tcPr>
            <w:tcW w:w="1784" w:type="pct"/>
            <w:gridSpan w:val="3"/>
            <w:shd w:val="clear" w:color="auto" w:fill="auto"/>
            <w:vAlign w:val="center"/>
          </w:tcPr>
          <w:p>
            <w:pPr>
              <w:widowControl/>
              <w:rPr>
                <w:rFonts w:hAnsi="宋体" w:cs="宋体"/>
                <w:bCs/>
                <w:sz w:val="20"/>
              </w:rPr>
            </w:pPr>
            <w:r>
              <w:rPr>
                <w:rFonts w:hAnsi="宋体" w:cs="宋体"/>
                <w:bCs/>
                <w:sz w:val="20"/>
              </w:rPr>
              <w:t>□旧区改造</w:t>
            </w:r>
          </w:p>
          <w:p>
            <w:pPr>
              <w:widowControl/>
              <w:rPr>
                <w:rFonts w:hAnsi="宋体" w:cs="宋体"/>
                <w:bCs/>
                <w:sz w:val="20"/>
              </w:rPr>
            </w:pPr>
            <w:r>
              <w:rPr>
                <w:rFonts w:hAnsi="宋体" w:cs="宋体"/>
                <w:bCs/>
                <w:sz w:val="20"/>
              </w:rPr>
              <w:t>所在居住街坊内人均集中绿地面积Ag（m</w:t>
            </w:r>
            <w:r>
              <w:rPr>
                <w:rFonts w:hAnsi="宋体" w:cs="宋体"/>
                <w:bCs/>
                <w:sz w:val="20"/>
                <w:vertAlign w:val="superscript"/>
              </w:rPr>
              <w:t>2</w:t>
            </w:r>
            <w:r>
              <w:rPr>
                <w:rFonts w:hAnsi="宋体" w:cs="宋体"/>
                <w:bCs/>
                <w:sz w:val="20"/>
              </w:rPr>
              <w:t xml:space="preserve">/人）：                        </w:t>
            </w:r>
          </w:p>
          <w:p>
            <w:pPr>
              <w:widowControl/>
              <w:rPr>
                <w:rFonts w:hAnsi="宋体" w:cs="宋体"/>
                <w:bCs/>
                <w:sz w:val="20"/>
              </w:rPr>
            </w:pPr>
            <w:r>
              <w:rPr>
                <w:rFonts w:hAnsi="宋体" w:cs="宋体"/>
                <w:bCs/>
                <w:sz w:val="20"/>
              </w:rPr>
              <w:t>Ag=0.35，得2分；</w:t>
            </w:r>
          </w:p>
          <w:p>
            <w:pPr>
              <w:widowControl/>
              <w:rPr>
                <w:rFonts w:hAnsi="宋体" w:cs="宋体"/>
                <w:bCs/>
                <w:sz w:val="20"/>
              </w:rPr>
            </w:pPr>
            <w:r>
              <w:rPr>
                <w:rFonts w:hAnsi="宋体" w:cs="宋体"/>
                <w:bCs/>
                <w:sz w:val="20"/>
              </w:rPr>
              <w:t>0.35＜Ag＜0.45，得4分；</w:t>
            </w:r>
          </w:p>
          <w:p>
            <w:pPr>
              <w:widowControl/>
              <w:rPr>
                <w:rFonts w:hAnsi="宋体" w:cs="宋体"/>
                <w:bCs/>
                <w:sz w:val="20"/>
              </w:rPr>
            </w:pPr>
            <w:r>
              <w:rPr>
                <w:rFonts w:hAnsi="宋体" w:cs="宋体"/>
                <w:bCs/>
                <w:sz w:val="20"/>
              </w:rPr>
              <w:t>Ag≥0.45，得6分。</w:t>
            </w:r>
          </w:p>
        </w:tc>
        <w:tc>
          <w:tcPr>
            <w:tcW w:w="391" w:type="pct"/>
            <w:shd w:val="clear" w:color="auto" w:fill="auto"/>
            <w:vAlign w:val="center"/>
          </w:tcPr>
          <w:p>
            <w:pPr>
              <w:widowControl/>
              <w:jc w:val="center"/>
              <w:rPr>
                <w:rFonts w:hAnsi="宋体" w:cs="宋体"/>
                <w:b/>
                <w:bCs/>
                <w:sz w:val="20"/>
              </w:rPr>
            </w:pPr>
            <w:r>
              <w:rPr>
                <w:rFonts w:hAnsi="宋体" w:cs="宋体"/>
                <w:b/>
                <w:bCs/>
                <w:sz w:val="20"/>
              </w:rPr>
              <w:t>6</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350" w:type="pct"/>
            <w:gridSpan w:val="5"/>
            <w:shd w:val="clear" w:color="auto" w:fill="auto"/>
            <w:vAlign w:val="center"/>
          </w:tcPr>
          <w:p>
            <w:pPr>
              <w:widowControl/>
              <w:rPr>
                <w:rFonts w:hAnsi="宋体" w:cs="宋体"/>
                <w:bCs/>
                <w:sz w:val="20"/>
              </w:rPr>
            </w:pPr>
            <w:r>
              <w:rPr>
                <w:rFonts w:hAnsi="宋体" w:cs="宋体"/>
                <w:bCs/>
                <w:sz w:val="20"/>
              </w:rPr>
              <w:t>公共</w:t>
            </w:r>
          </w:p>
          <w:p>
            <w:pPr>
              <w:widowControl/>
              <w:rPr>
                <w:rFonts w:hAnsi="宋体" w:cs="宋体"/>
                <w:bCs/>
                <w:sz w:val="20"/>
              </w:rPr>
            </w:pPr>
            <w:r>
              <w:rPr>
                <w:rFonts w:hAnsi="宋体" w:cs="宋体"/>
                <w:bCs/>
                <w:sz w:val="20"/>
              </w:rPr>
              <w:t>建筑</w:t>
            </w:r>
          </w:p>
        </w:tc>
        <w:tc>
          <w:tcPr>
            <w:tcW w:w="1784" w:type="pct"/>
            <w:gridSpan w:val="3"/>
            <w:shd w:val="clear" w:color="auto" w:fill="auto"/>
            <w:vAlign w:val="center"/>
          </w:tcPr>
          <w:p>
            <w:pPr>
              <w:widowControl/>
              <w:rPr>
                <w:rFonts w:hAnsi="宋体" w:cs="宋体"/>
                <w:bCs/>
                <w:sz w:val="20"/>
              </w:rPr>
            </w:pPr>
            <w:r>
              <w:rPr>
                <w:rFonts w:hAnsi="宋体" w:cs="宋体"/>
                <w:bCs/>
                <w:sz w:val="20"/>
              </w:rPr>
              <w:t>绿地向公众开放。</w:t>
            </w:r>
          </w:p>
        </w:tc>
        <w:tc>
          <w:tcPr>
            <w:tcW w:w="391" w:type="pct"/>
            <w:shd w:val="clear" w:color="auto" w:fill="auto"/>
            <w:vAlign w:val="center"/>
          </w:tcPr>
          <w:p>
            <w:pPr>
              <w:widowControl/>
              <w:jc w:val="center"/>
              <w:rPr>
                <w:rFonts w:hAnsi="宋体" w:cs="宋体"/>
                <w:b/>
                <w:bCs/>
                <w:sz w:val="20"/>
              </w:rPr>
            </w:pPr>
            <w:r>
              <w:rPr>
                <w:rFonts w:hAnsi="宋体" w:cs="宋体"/>
                <w:b/>
                <w:bCs/>
                <w:sz w:val="20"/>
              </w:rPr>
              <w:t>6</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8.2.4</w:t>
            </w:r>
          </w:p>
        </w:tc>
        <w:tc>
          <w:tcPr>
            <w:tcW w:w="512" w:type="pct"/>
            <w:vMerge w:val="restart"/>
            <w:shd w:val="clear" w:color="000000" w:fill="FFFFFF"/>
            <w:vAlign w:val="center"/>
          </w:tcPr>
          <w:p>
            <w:pPr>
              <w:widowControl/>
              <w:rPr>
                <w:rFonts w:hAnsi="宋体" w:cs="宋体"/>
                <w:bCs/>
                <w:sz w:val="20"/>
              </w:rPr>
            </w:pPr>
            <w:r>
              <w:rPr>
                <w:rFonts w:hAnsi="宋体" w:cs="宋体"/>
                <w:bCs/>
                <w:sz w:val="20"/>
              </w:rPr>
              <w:t>室外吸烟区设置</w:t>
            </w:r>
          </w:p>
        </w:tc>
        <w:tc>
          <w:tcPr>
            <w:tcW w:w="2134" w:type="pct"/>
            <w:gridSpan w:val="8"/>
            <w:shd w:val="clear" w:color="000000" w:fill="FFFFFF"/>
            <w:vAlign w:val="center"/>
          </w:tcPr>
          <w:p>
            <w:pPr>
              <w:widowControl/>
              <w:rPr>
                <w:rFonts w:hAnsi="宋体" w:cs="宋体"/>
                <w:bCs/>
                <w:sz w:val="20"/>
              </w:rPr>
            </w:pPr>
            <w:r>
              <w:rPr>
                <w:rFonts w:hAnsi="宋体" w:cs="宋体"/>
                <w:bCs/>
                <w:sz w:val="20"/>
              </w:rPr>
              <w:t>室外吸烟区布置在建筑主出入口的主导风的下风向，与所有建筑出入口、新风进气口和可开启窗扇的距离不少于8m，且距离儿童和老人活动场地不少于8m。</w:t>
            </w:r>
          </w:p>
        </w:tc>
        <w:tc>
          <w:tcPr>
            <w:tcW w:w="391" w:type="pct"/>
            <w:shd w:val="clear" w:color="000000" w:fill="FFFFFF"/>
            <w:vAlign w:val="center"/>
          </w:tcPr>
          <w:p>
            <w:pPr>
              <w:widowControl/>
              <w:jc w:val="center"/>
              <w:rPr>
                <w:rFonts w:hAnsi="宋体" w:cs="宋体"/>
                <w:b/>
                <w:bCs/>
                <w:sz w:val="20"/>
              </w:rPr>
            </w:pPr>
            <w:r>
              <w:rPr>
                <w:rFonts w:hAnsi="宋体" w:cs="宋体"/>
                <w:b/>
                <w:bCs/>
                <w:sz w:val="20"/>
              </w:rPr>
              <w:t>5</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9</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widowControl/>
              <w:rPr>
                <w:rFonts w:hAnsi="宋体" w:cs="宋体"/>
                <w:bCs/>
                <w:sz w:val="20"/>
              </w:rPr>
            </w:pPr>
            <w:r>
              <w:rPr>
                <w:rFonts w:hAnsi="宋体" w:cs="宋体"/>
                <w:bCs/>
                <w:sz w:val="20"/>
              </w:rPr>
              <w:t>室外吸烟区与绿植结合布置，并合理配置座椅和带烟头收集的垃圾筒，从建筑主出入口至室外吸烟区的导向标识完整、定位标识醒目，吸烟区设置吸烟有害健康的警示标识。</w:t>
            </w:r>
          </w:p>
        </w:tc>
        <w:tc>
          <w:tcPr>
            <w:tcW w:w="391" w:type="pct"/>
            <w:shd w:val="clear" w:color="auto" w:fill="auto"/>
            <w:vAlign w:val="center"/>
          </w:tcPr>
          <w:p>
            <w:pPr>
              <w:widowControl/>
              <w:jc w:val="center"/>
              <w:rPr>
                <w:rFonts w:hAnsi="宋体" w:cs="宋体"/>
                <w:b/>
                <w:bCs/>
                <w:sz w:val="20"/>
              </w:rPr>
            </w:pPr>
            <w:r>
              <w:rPr>
                <w:rFonts w:hAnsi="宋体" w:cs="宋体"/>
                <w:b/>
                <w:bCs/>
                <w:sz w:val="20"/>
              </w:rPr>
              <w:t>4</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8.2.5</w:t>
            </w:r>
          </w:p>
        </w:tc>
        <w:tc>
          <w:tcPr>
            <w:tcW w:w="512" w:type="pct"/>
            <w:vMerge w:val="restart"/>
            <w:vAlign w:val="center"/>
          </w:tcPr>
          <w:p>
            <w:pPr>
              <w:widowControl/>
              <w:rPr>
                <w:rFonts w:hAnsi="宋体" w:cs="宋体"/>
                <w:bCs/>
                <w:sz w:val="20"/>
              </w:rPr>
            </w:pPr>
            <w:r>
              <w:rPr>
                <w:rFonts w:hAnsi="宋体" w:cs="宋体"/>
                <w:bCs/>
                <w:sz w:val="20"/>
              </w:rPr>
              <w:t>雨水基础设施</w:t>
            </w:r>
          </w:p>
        </w:tc>
        <w:tc>
          <w:tcPr>
            <w:tcW w:w="2134" w:type="pct"/>
            <w:gridSpan w:val="8"/>
            <w:vAlign w:val="center"/>
          </w:tcPr>
          <w:p>
            <w:pPr>
              <w:rPr>
                <w:rFonts w:hAnsi="宋体" w:cs="宋体"/>
                <w:sz w:val="20"/>
              </w:rPr>
            </w:pPr>
            <w:r>
              <w:rPr>
                <w:rFonts w:hAnsi="宋体" w:cs="宋体"/>
                <w:sz w:val="20"/>
              </w:rPr>
              <w:t>下凹式绿地、雨水花园等有调蓄雨水功能的绿地和水体的面积之和占绿地面积的比例达到40%，得3分；达到60%，得5分。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衔接和引导不少于80%的屋面雨水进入地面生态设施。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衔接和引导不少于80%的道路雨水进入地面生态设施。</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硬质铺装地面中透水铺装面积的比例达到50%。</w:t>
            </w:r>
          </w:p>
        </w:tc>
        <w:tc>
          <w:tcPr>
            <w:tcW w:w="391" w:type="pct"/>
            <w:vAlign w:val="center"/>
          </w:tcPr>
          <w:p>
            <w:pPr>
              <w:widowControl/>
              <w:jc w:val="center"/>
              <w:rPr>
                <w:rFonts w:hAnsi="宋体" w:cs="宋体"/>
                <w:b/>
                <w:bCs/>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8.2.6</w:t>
            </w:r>
          </w:p>
        </w:tc>
        <w:tc>
          <w:tcPr>
            <w:tcW w:w="2646" w:type="pct"/>
            <w:gridSpan w:val="9"/>
            <w:vAlign w:val="center"/>
          </w:tcPr>
          <w:p>
            <w:pPr>
              <w:widowControl/>
              <w:rPr>
                <w:rFonts w:hAnsi="宋体" w:cs="宋体"/>
                <w:sz w:val="20"/>
              </w:rPr>
            </w:pPr>
            <w:r>
              <w:rPr>
                <w:rFonts w:hAnsi="宋体" w:cs="宋体"/>
                <w:sz w:val="20"/>
              </w:rPr>
              <w:t>场地内的环境噪声优于现行国家标准《声环境质量标准》GB 3096的要求。</w:t>
            </w:r>
          </w:p>
          <w:p>
            <w:pPr>
              <w:widowControl/>
              <w:rPr>
                <w:rFonts w:hAnsi="宋体" w:cs="宋体"/>
                <w:sz w:val="20"/>
              </w:rPr>
            </w:pPr>
            <w:r>
              <w:rPr>
                <w:rFonts w:hAnsi="宋体" w:cs="宋体"/>
                <w:sz w:val="20"/>
              </w:rPr>
              <w:t>2类声环境功能区标准限值＜环境噪声值≤3类声环境功能区标准限值，得5分；</w:t>
            </w:r>
          </w:p>
          <w:p>
            <w:pPr>
              <w:widowControl/>
              <w:rPr>
                <w:rFonts w:hAnsi="宋体" w:cs="宋体"/>
                <w:bCs/>
                <w:sz w:val="20"/>
              </w:rPr>
            </w:pPr>
            <w:r>
              <w:rPr>
                <w:rFonts w:hAnsi="宋体" w:cs="宋体"/>
                <w:sz w:val="20"/>
              </w:rPr>
              <w:t>环境噪声值≤2类声环境功能区标准限值，得10分。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8.2.7</w:t>
            </w:r>
          </w:p>
        </w:tc>
        <w:tc>
          <w:tcPr>
            <w:tcW w:w="512" w:type="pct"/>
            <w:vMerge w:val="restart"/>
            <w:shd w:val="clear" w:color="000000" w:fill="FFFFFF"/>
            <w:vAlign w:val="center"/>
          </w:tcPr>
          <w:p>
            <w:pPr>
              <w:widowControl/>
              <w:rPr>
                <w:rFonts w:hAnsi="宋体" w:cs="宋体"/>
                <w:bCs/>
                <w:sz w:val="20"/>
              </w:rPr>
            </w:pPr>
            <w:r>
              <w:rPr>
                <w:rFonts w:hAnsi="宋体" w:cs="宋体"/>
                <w:bCs/>
                <w:sz w:val="20"/>
              </w:rPr>
              <w:t>光污染</w:t>
            </w:r>
          </w:p>
        </w:tc>
        <w:tc>
          <w:tcPr>
            <w:tcW w:w="2134" w:type="pct"/>
            <w:gridSpan w:val="8"/>
            <w:shd w:val="clear" w:color="000000" w:fill="FFFFFF"/>
            <w:vAlign w:val="center"/>
          </w:tcPr>
          <w:p>
            <w:pPr>
              <w:rPr>
                <w:rFonts w:hAnsi="宋体" w:cs="宋体"/>
                <w:sz w:val="20"/>
              </w:rPr>
            </w:pPr>
            <w:r>
              <w:rPr>
                <w:rFonts w:hAnsi="宋体" w:cs="宋体"/>
                <w:sz w:val="20"/>
              </w:rPr>
              <w:t>玻璃幕墙的可见光反射比及反射光对周边环境的影响符合《玻璃幕墙光热性能》GB/T 18091的规定。</w:t>
            </w:r>
          </w:p>
        </w:tc>
        <w:tc>
          <w:tcPr>
            <w:tcW w:w="391" w:type="pct"/>
            <w:shd w:val="clear" w:color="000000" w:fill="FFFFFF"/>
            <w:vAlign w:val="center"/>
          </w:tcPr>
          <w:p>
            <w:pPr>
              <w:widowControl/>
              <w:jc w:val="center"/>
              <w:rPr>
                <w:rFonts w:hAnsi="宋体" w:cs="宋体"/>
                <w:b/>
                <w:bCs/>
                <w:sz w:val="20"/>
              </w:rPr>
            </w:pPr>
            <w:r>
              <w:rPr>
                <w:rFonts w:hAnsi="宋体" w:cs="宋体"/>
                <w:b/>
                <w:bCs/>
                <w:sz w:val="20"/>
              </w:rPr>
              <w:t>5</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10</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auto" w:fill="auto"/>
            <w:vAlign w:val="center"/>
          </w:tcPr>
          <w:p>
            <w:pPr>
              <w:widowControl/>
              <w:rPr>
                <w:rFonts w:hAnsi="宋体" w:cs="宋体"/>
                <w:sz w:val="20"/>
              </w:rPr>
            </w:pPr>
          </w:p>
        </w:tc>
        <w:tc>
          <w:tcPr>
            <w:tcW w:w="492" w:type="pct"/>
            <w:vMerge w:val="continue"/>
            <w:shd w:val="clear" w:color="auto" w:fill="auto"/>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rPr>
                <w:rFonts w:hAnsi="宋体" w:cs="宋体"/>
                <w:sz w:val="20"/>
              </w:rPr>
            </w:pPr>
            <w:r>
              <w:rPr>
                <w:rFonts w:hAnsi="宋体" w:cs="宋体"/>
                <w:sz w:val="20"/>
              </w:rPr>
              <w:t>室外夜景照明光污染的限制符合现行国家标准《室外照明干扰光限制规范》GB/T 35626和现行行业标准《城市夜景照明设计规范》JGJ 163的规定</w:t>
            </w:r>
          </w:p>
        </w:tc>
        <w:tc>
          <w:tcPr>
            <w:tcW w:w="391" w:type="pct"/>
            <w:shd w:val="clear" w:color="auto" w:fill="auto"/>
            <w:vAlign w:val="center"/>
          </w:tcPr>
          <w:p>
            <w:pPr>
              <w:widowControl/>
              <w:jc w:val="center"/>
              <w:rPr>
                <w:rFonts w:hAnsi="宋体" w:cs="宋体"/>
                <w:b/>
                <w:bCs/>
                <w:sz w:val="20"/>
              </w:rPr>
            </w:pPr>
            <w:r>
              <w:rPr>
                <w:rFonts w:hAnsi="宋体" w:cs="宋体"/>
                <w:b/>
                <w:bCs/>
                <w:sz w:val="20"/>
              </w:rPr>
              <w:t>5</w:t>
            </w:r>
          </w:p>
        </w:tc>
        <w:tc>
          <w:tcPr>
            <w:tcW w:w="375" w:type="pct"/>
            <w:vMerge w:val="continue"/>
            <w:shd w:val="clear" w:color="auto" w:fill="auto"/>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8.2.8</w:t>
            </w:r>
          </w:p>
        </w:tc>
        <w:tc>
          <w:tcPr>
            <w:tcW w:w="512" w:type="pct"/>
            <w:vMerge w:val="restart"/>
            <w:vAlign w:val="center"/>
          </w:tcPr>
          <w:p>
            <w:pPr>
              <w:widowControl/>
              <w:rPr>
                <w:rFonts w:hAnsi="宋体" w:cs="宋体"/>
                <w:bCs/>
                <w:sz w:val="20"/>
              </w:rPr>
            </w:pPr>
            <w:r>
              <w:rPr>
                <w:rFonts w:hAnsi="宋体" w:cs="宋体"/>
                <w:bCs/>
                <w:sz w:val="20"/>
              </w:rPr>
              <w:t>场地风环境</w:t>
            </w:r>
          </w:p>
        </w:tc>
        <w:tc>
          <w:tcPr>
            <w:tcW w:w="2134" w:type="pct"/>
            <w:gridSpan w:val="8"/>
            <w:vAlign w:val="center"/>
          </w:tcPr>
          <w:p>
            <w:pPr>
              <w:rPr>
                <w:rFonts w:hAnsi="宋体" w:cs="宋体"/>
                <w:sz w:val="20"/>
              </w:rPr>
            </w:pPr>
            <w:r>
              <w:rPr>
                <w:rFonts w:hAnsi="宋体" w:cs="宋体"/>
                <w:sz w:val="20"/>
              </w:rPr>
              <w:t>冬季典型风速和风向条件下，建筑物周围人行区距地高1.5m处风速小于5m/s，户外休息区、儿童娱乐区风速小于2m/s，且室外风速放大系数小于2。</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sz w:val="20"/>
              </w:rPr>
            </w:pPr>
            <w:r>
              <w:rPr>
                <w:rFonts w:hAnsi="宋体" w:cs="宋体"/>
                <w:sz w:val="20"/>
              </w:rPr>
              <w:t>冬季典型风速和风向条件下，除迎风第一排建筑外，建筑迎风面与背风面表面风压差不大于5Pa；只有一排建筑，可直接得分</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过渡季、夏季典型风速和风向条件下，场地内人活动区不出现涡旋或无风区。</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过渡季、夏季典型风速和风向条件下，50%以上可开启外窗室内外表面的风压差大于0.5Pa。</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8.2.9</w:t>
            </w:r>
          </w:p>
        </w:tc>
        <w:tc>
          <w:tcPr>
            <w:tcW w:w="512" w:type="pct"/>
            <w:vMerge w:val="restart"/>
            <w:vAlign w:val="center"/>
          </w:tcPr>
          <w:p>
            <w:pPr>
              <w:widowControl/>
              <w:rPr>
                <w:rFonts w:hAnsi="宋体" w:cs="宋体"/>
                <w:bCs/>
                <w:sz w:val="20"/>
              </w:rPr>
            </w:pPr>
            <w:r>
              <w:rPr>
                <w:rFonts w:hAnsi="宋体" w:cs="宋体"/>
                <w:bCs/>
                <w:sz w:val="20"/>
              </w:rPr>
              <w:t>热岛强度</w:t>
            </w:r>
          </w:p>
        </w:tc>
        <w:tc>
          <w:tcPr>
            <w:tcW w:w="2134" w:type="pct"/>
            <w:gridSpan w:val="8"/>
            <w:vAlign w:val="center"/>
          </w:tcPr>
          <w:p>
            <w:pPr>
              <w:rPr>
                <w:rFonts w:hAnsi="宋体" w:cs="宋体"/>
                <w:sz w:val="20"/>
              </w:rPr>
            </w:pPr>
            <w:r>
              <w:rPr>
                <w:rFonts w:hAnsi="宋体" w:cs="宋体"/>
                <w:sz w:val="20"/>
              </w:rPr>
              <w:t>场地中处于建筑阴影区外的步道、游憩场、庭院、广场等室外活动场地设有乔木、花架等遮阴措施的面积比例：</w:t>
            </w:r>
          </w:p>
          <w:p>
            <w:pPr>
              <w:rPr>
                <w:rFonts w:hAnsi="宋体" w:cs="宋体"/>
                <w:sz w:val="20"/>
              </w:rPr>
            </w:pPr>
            <w:r>
              <w:rPr>
                <w:rFonts w:hAnsi="宋体" w:cs="宋体"/>
                <w:sz w:val="20"/>
              </w:rPr>
              <w:t>□住宅建筑达30%，□公共建筑达10%，得2分；</w:t>
            </w:r>
          </w:p>
          <w:p>
            <w:pPr>
              <w:rPr>
                <w:rFonts w:hAnsi="宋体" w:cs="宋体"/>
                <w:sz w:val="20"/>
              </w:rPr>
            </w:pPr>
            <w:r>
              <w:rPr>
                <w:rFonts w:hAnsi="宋体" w:cs="宋体"/>
                <w:sz w:val="20"/>
              </w:rPr>
              <w:t>□住宅建筑达50%，□公共建筑达20%，得3分；</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场地中处于建筑阴影区外的机动车道，路面太阳辐射反射系数不小于0.4，或设有遮荫面积较大的行道树的路段长度超过70%。</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rPr>
            </w:pPr>
            <w:r>
              <w:rPr>
                <w:rFonts w:hAnsi="宋体" w:cs="宋体"/>
                <w:sz w:val="20"/>
              </w:rPr>
              <w:t>屋顶的绿化面积、太阳能板水平投影面积以及太阳辐射反射系数不小于0.4的屋面面积合计达到75%。</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提高与创新</w:t>
            </w:r>
          </w:p>
        </w:tc>
        <w:tc>
          <w:tcPr>
            <w:tcW w:w="492" w:type="pct"/>
            <w:noWrap/>
            <w:vAlign w:val="center"/>
          </w:tcPr>
          <w:p>
            <w:pPr>
              <w:widowControl/>
              <w:rPr>
                <w:rFonts w:hAnsi="宋体" w:cs="宋体"/>
                <w:sz w:val="20"/>
              </w:rPr>
            </w:pPr>
            <w:r>
              <w:rPr>
                <w:rFonts w:hAnsi="宋体" w:cs="宋体"/>
                <w:sz w:val="20"/>
              </w:rPr>
              <w:t>9.2.1</w:t>
            </w:r>
          </w:p>
        </w:tc>
        <w:tc>
          <w:tcPr>
            <w:tcW w:w="2646" w:type="pct"/>
            <w:gridSpan w:val="9"/>
            <w:vAlign w:val="center"/>
          </w:tcPr>
          <w:p>
            <w:pPr>
              <w:widowControl/>
              <w:rPr>
                <w:rFonts w:hAnsi="宋体" w:cs="宋体"/>
                <w:bCs/>
                <w:sz w:val="20"/>
              </w:rPr>
            </w:pPr>
            <w:r>
              <w:rPr>
                <w:rFonts w:hAnsi="宋体" w:cs="宋体"/>
                <w:bCs/>
                <w:sz w:val="20"/>
              </w:rPr>
              <w:t>降低建筑供暖空调系统的能耗：</w:t>
            </w:r>
          </w:p>
          <w:p>
            <w:pPr>
              <w:widowControl/>
              <w:rPr>
                <w:rFonts w:hAnsi="宋体" w:cs="宋体"/>
                <w:bCs/>
                <w:sz w:val="20"/>
              </w:rPr>
            </w:pPr>
            <w:r>
              <w:rPr>
                <w:rFonts w:hAnsi="宋体" w:cs="宋体"/>
                <w:bCs/>
                <w:sz w:val="20"/>
              </w:rPr>
              <w:t>建筑供暖空调系统能耗比国家现行有关建筑节能标准降低40%，得10分；</w:t>
            </w:r>
          </w:p>
          <w:p>
            <w:pPr>
              <w:widowControl/>
              <w:rPr>
                <w:rFonts w:hAnsi="宋体" w:cs="宋体"/>
                <w:bCs/>
                <w:sz w:val="20"/>
              </w:rPr>
            </w:pPr>
            <w:r>
              <w:rPr>
                <w:rFonts w:hAnsi="宋体" w:cs="宋体"/>
                <w:bCs/>
                <w:sz w:val="20"/>
              </w:rPr>
              <w:t>建筑供暖空调系统能耗比国家现行有关建筑节能标准降低50%，得15分；</w:t>
            </w:r>
          </w:p>
          <w:p>
            <w:pPr>
              <w:widowControl/>
              <w:rPr>
                <w:rFonts w:hAnsi="宋体" w:cs="宋体"/>
                <w:bCs/>
                <w:sz w:val="20"/>
              </w:rPr>
            </w:pPr>
            <w:r>
              <w:rPr>
                <w:rFonts w:hAnsi="宋体" w:cs="宋体"/>
                <w:bCs/>
                <w:sz w:val="20"/>
              </w:rPr>
              <w:t>建筑供暖空调系统能耗比国家现行有关建筑节能标准降低60%，得20分；</w:t>
            </w:r>
          </w:p>
          <w:p>
            <w:pPr>
              <w:widowControl/>
              <w:rPr>
                <w:rFonts w:hAnsi="宋体" w:cs="宋体"/>
                <w:bCs/>
                <w:sz w:val="20"/>
              </w:rPr>
            </w:pPr>
            <w:r>
              <w:rPr>
                <w:rFonts w:hAnsi="宋体" w:cs="宋体"/>
                <w:bCs/>
                <w:sz w:val="20"/>
              </w:rPr>
              <w:t>建筑供暖空调系统能耗比国家现行有关建筑节能标准降低70%，得25分；</w:t>
            </w:r>
          </w:p>
          <w:p>
            <w:pPr>
              <w:widowControl/>
              <w:rPr>
                <w:rFonts w:hAnsi="宋体" w:cs="宋体"/>
                <w:bCs/>
                <w:sz w:val="20"/>
              </w:rPr>
            </w:pPr>
            <w:r>
              <w:rPr>
                <w:rFonts w:hAnsi="宋体" w:cs="宋体"/>
                <w:bCs/>
                <w:sz w:val="20"/>
              </w:rPr>
              <w:t>建筑供暖空调系统能耗比国家现行有关建筑节能标准降低80%，得30分。</w:t>
            </w:r>
          </w:p>
        </w:tc>
        <w:tc>
          <w:tcPr>
            <w:tcW w:w="391" w:type="pct"/>
            <w:vAlign w:val="center"/>
          </w:tcPr>
          <w:p>
            <w:pPr>
              <w:widowControl/>
              <w:jc w:val="center"/>
              <w:rPr>
                <w:rFonts w:hAnsi="宋体" w:cs="宋体"/>
                <w:b/>
                <w:bCs/>
                <w:sz w:val="20"/>
              </w:rPr>
            </w:pPr>
            <w:r>
              <w:rPr>
                <w:rFonts w:hAnsi="宋体" w:cs="宋体"/>
                <w:b/>
                <w:bCs/>
                <w:sz w:val="20"/>
              </w:rPr>
              <w:t>30</w:t>
            </w:r>
          </w:p>
        </w:tc>
        <w:tc>
          <w:tcPr>
            <w:tcW w:w="375" w:type="pct"/>
            <w:vAlign w:val="center"/>
          </w:tcPr>
          <w:p>
            <w:pPr>
              <w:widowControl/>
              <w:jc w:val="center"/>
              <w:rPr>
                <w:rFonts w:hAnsi="宋体" w:cs="宋体"/>
                <w:b/>
                <w:bCs/>
                <w:sz w:val="20"/>
              </w:rPr>
            </w:pPr>
            <w:r>
              <w:rPr>
                <w:rFonts w:hAnsi="宋体" w:cs="宋体"/>
                <w:b/>
                <w:bCs/>
                <w:sz w:val="20"/>
              </w:rPr>
              <w:t>30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9.2.2</w:t>
            </w:r>
          </w:p>
        </w:tc>
        <w:tc>
          <w:tcPr>
            <w:tcW w:w="2646" w:type="pct"/>
            <w:gridSpan w:val="9"/>
            <w:vAlign w:val="center"/>
          </w:tcPr>
          <w:p>
            <w:pPr>
              <w:widowControl/>
              <w:rPr>
                <w:rFonts w:hAnsi="宋体" w:cs="宋体"/>
                <w:bCs/>
                <w:sz w:val="20"/>
              </w:rPr>
            </w:pPr>
            <w:r>
              <w:rPr>
                <w:rFonts w:hAnsi="宋体" w:cs="宋体"/>
                <w:bCs/>
                <w:sz w:val="20"/>
              </w:rPr>
              <w:t>采用适宜地区特色的建筑风貌设计，因地制宜传承地域建筑文化。</w:t>
            </w:r>
          </w:p>
        </w:tc>
        <w:tc>
          <w:tcPr>
            <w:tcW w:w="391" w:type="pct"/>
            <w:vAlign w:val="center"/>
          </w:tcPr>
          <w:p>
            <w:pPr>
              <w:widowControl/>
              <w:jc w:val="center"/>
              <w:rPr>
                <w:rFonts w:hAnsi="宋体" w:cs="宋体"/>
                <w:b/>
                <w:bCs/>
                <w:sz w:val="20"/>
              </w:rPr>
            </w:pPr>
            <w:r>
              <w:rPr>
                <w:rFonts w:hAnsi="宋体" w:cs="宋体"/>
                <w:b/>
                <w:bCs/>
                <w:sz w:val="20"/>
              </w:rPr>
              <w:t>20</w:t>
            </w:r>
          </w:p>
        </w:tc>
        <w:tc>
          <w:tcPr>
            <w:tcW w:w="375" w:type="pct"/>
            <w:vAlign w:val="center"/>
          </w:tcPr>
          <w:p>
            <w:pPr>
              <w:widowControl/>
              <w:jc w:val="center"/>
              <w:rPr>
                <w:rFonts w:hAnsi="宋体" w:cs="宋体"/>
                <w:b/>
                <w:bCs/>
                <w:sz w:val="20"/>
              </w:rPr>
            </w:pPr>
            <w:r>
              <w:rPr>
                <w:rFonts w:hAnsi="宋体" w:cs="宋体"/>
                <w:b/>
                <w:bCs/>
                <w:sz w:val="20"/>
              </w:rPr>
              <w:t>20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9.2.3</w:t>
            </w:r>
          </w:p>
        </w:tc>
        <w:tc>
          <w:tcPr>
            <w:tcW w:w="2646" w:type="pct"/>
            <w:gridSpan w:val="9"/>
            <w:vAlign w:val="center"/>
          </w:tcPr>
          <w:p>
            <w:pPr>
              <w:widowControl/>
              <w:rPr>
                <w:rFonts w:hAnsi="宋体" w:cs="宋体"/>
                <w:bCs/>
                <w:sz w:val="20"/>
              </w:rPr>
            </w:pPr>
            <w:r>
              <w:rPr>
                <w:rFonts w:hAnsi="宋体" w:cs="宋体"/>
                <w:bCs/>
                <w:sz w:val="20"/>
              </w:rPr>
              <w:t>合理选用废弃场地进行建设，或充分利尚可使用的旧建筑。</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9.2.4</w:t>
            </w:r>
          </w:p>
        </w:tc>
        <w:tc>
          <w:tcPr>
            <w:tcW w:w="2646" w:type="pct"/>
            <w:gridSpan w:val="9"/>
            <w:vAlign w:val="center"/>
          </w:tcPr>
          <w:p>
            <w:pPr>
              <w:widowControl/>
              <w:rPr>
                <w:rFonts w:hAnsi="宋体" w:cs="宋体"/>
                <w:bCs/>
                <w:sz w:val="20"/>
              </w:rPr>
            </w:pPr>
            <w:r>
              <w:rPr>
                <w:rFonts w:hAnsi="宋体" w:cs="宋体"/>
                <w:bCs/>
                <w:sz w:val="20"/>
              </w:rPr>
              <w:t>场地绿容率计算值不低于3.0，得3分；</w:t>
            </w:r>
          </w:p>
          <w:p>
            <w:pPr>
              <w:widowControl/>
              <w:rPr>
                <w:rFonts w:hAnsi="宋体" w:cs="宋体"/>
                <w:bCs/>
                <w:sz w:val="20"/>
              </w:rPr>
            </w:pPr>
            <w:r>
              <w:rPr>
                <w:rFonts w:hAnsi="宋体" w:cs="宋体"/>
                <w:bCs/>
                <w:sz w:val="20"/>
              </w:rPr>
              <w:t>场地绿容率实测值不低于3.0，得5分。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9.2.5</w:t>
            </w:r>
          </w:p>
        </w:tc>
        <w:tc>
          <w:tcPr>
            <w:tcW w:w="512" w:type="pct"/>
            <w:vMerge w:val="restart"/>
            <w:vAlign w:val="center"/>
          </w:tcPr>
          <w:p>
            <w:pPr>
              <w:widowControl/>
              <w:rPr>
                <w:rFonts w:hAnsi="宋体" w:cs="宋体"/>
                <w:bCs/>
                <w:sz w:val="20"/>
              </w:rPr>
            </w:pPr>
            <w:r>
              <w:rPr>
                <w:rFonts w:hAnsi="宋体" w:cs="宋体"/>
                <w:bCs/>
                <w:sz w:val="20"/>
              </w:rPr>
              <w:t>特殊结构体系</w:t>
            </w:r>
          </w:p>
        </w:tc>
        <w:tc>
          <w:tcPr>
            <w:tcW w:w="2134" w:type="pct"/>
            <w:gridSpan w:val="8"/>
            <w:vAlign w:val="center"/>
          </w:tcPr>
          <w:p>
            <w:pPr>
              <w:widowControl/>
              <w:rPr>
                <w:rFonts w:hAnsi="宋体" w:cs="宋体"/>
                <w:bCs/>
                <w:sz w:val="20"/>
              </w:rPr>
            </w:pPr>
            <w:r>
              <w:rPr>
                <w:rFonts w:hAnsi="宋体" w:cs="宋体"/>
                <w:bCs/>
                <w:sz w:val="20"/>
              </w:rPr>
              <w:t>主体结构采用钢结构、木结构。</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主体结构采用装配式混凝土结构，地上部分预制构件应用混凝土体积占混凝土总体积的比例达到35%，得5分；</w:t>
            </w:r>
          </w:p>
          <w:p>
            <w:pPr>
              <w:widowControl/>
              <w:rPr>
                <w:rFonts w:hAnsi="宋体" w:cs="宋体"/>
                <w:bCs/>
                <w:sz w:val="20"/>
              </w:rPr>
            </w:pPr>
            <w:r>
              <w:rPr>
                <w:rFonts w:hAnsi="宋体" w:cs="宋体"/>
                <w:bCs/>
                <w:sz w:val="20"/>
              </w:rPr>
              <w:t>主体结构采用装配式混凝土结构，地上部分预制构件应用混凝土体积占混凝土总体积的比例达到50%，得10分。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9.2.6</w:t>
            </w:r>
          </w:p>
        </w:tc>
        <w:tc>
          <w:tcPr>
            <w:tcW w:w="2646" w:type="pct"/>
            <w:gridSpan w:val="9"/>
            <w:vAlign w:val="center"/>
          </w:tcPr>
          <w:p>
            <w:pPr>
              <w:widowControl/>
              <w:rPr>
                <w:rFonts w:hAnsi="宋体" w:cs="宋体"/>
                <w:bCs/>
                <w:sz w:val="20"/>
              </w:rPr>
            </w:pPr>
            <w:r>
              <w:rPr>
                <w:rFonts w:hAnsi="宋体" w:cs="宋体"/>
                <w:bCs/>
                <w:sz w:val="20"/>
              </w:rPr>
              <w:t>BIM技术在建筑的规划设计、施工建造和运行维护阶段中应用情况与得分：在其中一个阶段应用，得5分；在其中两个阶段应用，得10分；在其中三个阶段应用，得15分。</w:t>
            </w:r>
          </w:p>
          <w:p>
            <w:pPr>
              <w:pStyle w:val="13"/>
              <w:ind w:firstLine="0" w:firstLineChars="0"/>
              <w:jc w:val="both"/>
              <w:rPr>
                <w:rFonts w:hAnsi="宋体" w:eastAsia="宋体"/>
                <w:lang w:eastAsia="zh-CN"/>
              </w:rPr>
            </w:pPr>
            <w:r>
              <w:rPr>
                <w:rFonts w:hAnsi="宋体" w:eastAsia="宋体" w:cs="宋体"/>
                <w:bCs/>
                <w:lang w:eastAsia="zh-CN"/>
              </w:rPr>
              <w:t>□规划设计阶段；□施工建造；□运行维护阶段；</w:t>
            </w:r>
          </w:p>
        </w:tc>
        <w:tc>
          <w:tcPr>
            <w:tcW w:w="391" w:type="pct"/>
            <w:vAlign w:val="center"/>
          </w:tcPr>
          <w:p>
            <w:pPr>
              <w:widowControl/>
              <w:jc w:val="center"/>
              <w:rPr>
                <w:rFonts w:hAnsi="宋体" w:cs="宋体"/>
                <w:b/>
                <w:bCs/>
                <w:sz w:val="20"/>
              </w:rPr>
            </w:pPr>
            <w:r>
              <w:rPr>
                <w:rFonts w:hAnsi="宋体" w:cs="宋体"/>
                <w:b/>
                <w:bCs/>
                <w:sz w:val="20"/>
              </w:rPr>
              <w:t>15</w:t>
            </w:r>
          </w:p>
        </w:tc>
        <w:tc>
          <w:tcPr>
            <w:tcW w:w="375" w:type="pc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noWrap/>
            <w:vAlign w:val="center"/>
          </w:tcPr>
          <w:p>
            <w:pPr>
              <w:widowControl/>
              <w:rPr>
                <w:rFonts w:hAnsi="宋体" w:cs="宋体"/>
                <w:sz w:val="20"/>
              </w:rPr>
            </w:pPr>
            <w:r>
              <w:rPr>
                <w:rFonts w:hAnsi="宋体" w:cs="宋体"/>
                <w:sz w:val="20"/>
              </w:rPr>
              <w:t>9.2.7</w:t>
            </w:r>
          </w:p>
        </w:tc>
        <w:tc>
          <w:tcPr>
            <w:tcW w:w="2646" w:type="pct"/>
            <w:gridSpan w:val="9"/>
            <w:vAlign w:val="center"/>
          </w:tcPr>
          <w:p>
            <w:pPr>
              <w:widowControl/>
              <w:rPr>
                <w:rFonts w:hAnsi="宋体" w:cs="宋体"/>
                <w:bCs/>
                <w:sz w:val="20"/>
              </w:rPr>
            </w:pPr>
            <w:r>
              <w:rPr>
                <w:rFonts w:hAnsi="宋体" w:cs="宋体"/>
                <w:bCs/>
                <w:sz w:val="20"/>
              </w:rPr>
              <w:t>进行建筑碳排放计算分析，采取措施降低单位面积碳排放强度。</w:t>
            </w:r>
          </w:p>
        </w:tc>
        <w:tc>
          <w:tcPr>
            <w:tcW w:w="391" w:type="pct"/>
            <w:vAlign w:val="center"/>
          </w:tcPr>
          <w:p>
            <w:pPr>
              <w:widowControl/>
              <w:jc w:val="center"/>
              <w:rPr>
                <w:rFonts w:hAnsi="宋体" w:cs="宋体"/>
                <w:b/>
                <w:bCs/>
                <w:sz w:val="20"/>
              </w:rPr>
            </w:pPr>
            <w:r>
              <w:rPr>
                <w:rFonts w:hAnsi="宋体" w:cs="宋体"/>
                <w:b/>
                <w:bCs/>
                <w:sz w:val="20"/>
              </w:rPr>
              <w:t>12</w:t>
            </w:r>
          </w:p>
        </w:tc>
        <w:tc>
          <w:tcPr>
            <w:tcW w:w="375" w:type="pct"/>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9.2.8</w:t>
            </w:r>
          </w:p>
        </w:tc>
        <w:tc>
          <w:tcPr>
            <w:tcW w:w="512" w:type="pct"/>
            <w:vMerge w:val="restart"/>
            <w:vAlign w:val="center"/>
          </w:tcPr>
          <w:p>
            <w:pPr>
              <w:widowControl/>
              <w:rPr>
                <w:rFonts w:hAnsi="宋体" w:cs="宋体"/>
                <w:bCs/>
                <w:sz w:val="20"/>
              </w:rPr>
            </w:pPr>
            <w:r>
              <w:rPr>
                <w:rFonts w:hAnsi="宋体" w:cs="宋体"/>
                <w:bCs/>
                <w:sz w:val="20"/>
              </w:rPr>
              <w:t>绿色施工和管理</w:t>
            </w:r>
          </w:p>
        </w:tc>
        <w:tc>
          <w:tcPr>
            <w:tcW w:w="2134" w:type="pct"/>
            <w:gridSpan w:val="8"/>
            <w:vAlign w:val="center"/>
          </w:tcPr>
          <w:p>
            <w:pPr>
              <w:rPr>
                <w:rFonts w:hAnsi="宋体" w:cs="宋体"/>
                <w:sz w:val="20"/>
              </w:rPr>
            </w:pPr>
            <w:r>
              <w:rPr>
                <w:rFonts w:hAnsi="宋体" w:cs="宋体"/>
                <w:sz w:val="20"/>
              </w:rPr>
              <w:t>获得绿色施工优良等级或绿色施工示范工程认定。</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vAlign w:val="center"/>
          </w:tcPr>
          <w:p>
            <w:pPr>
              <w:widowControl/>
              <w:jc w:val="center"/>
              <w:rPr>
                <w:rFonts w:hAnsi="宋体" w:cs="宋体"/>
                <w:b/>
                <w:bCs/>
                <w:sz w:val="20"/>
              </w:rPr>
            </w:pPr>
            <w:r>
              <w:rPr>
                <w:rFonts w:hAnsi="宋体" w:cs="宋体"/>
                <w:b/>
                <w:bCs/>
                <w:sz w:val="20"/>
              </w:rPr>
              <w:t>20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采取措施减少预拌混凝土损耗，损耗率降低至1.0%。</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采取措施减少现场加工钢筋损耗，损耗率降低至1.5%。</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现浇混凝土构件采用铝模等免墙面粉刷的模板体系。</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9.2.9</w:t>
            </w:r>
          </w:p>
        </w:tc>
        <w:tc>
          <w:tcPr>
            <w:tcW w:w="512" w:type="pct"/>
            <w:vMerge w:val="restart"/>
            <w:vAlign w:val="center"/>
          </w:tcPr>
          <w:p>
            <w:pPr>
              <w:widowControl/>
              <w:rPr>
                <w:rFonts w:hAnsi="宋体" w:cs="宋体"/>
                <w:bCs/>
                <w:sz w:val="20"/>
              </w:rPr>
            </w:pPr>
            <w:r>
              <w:rPr>
                <w:rFonts w:hAnsi="宋体" w:cs="宋体"/>
                <w:bCs/>
                <w:sz w:val="20"/>
              </w:rPr>
              <w:t>保险承保范围包括地基基础工程、主体结构工程、屋面防水工程和其他土建工程的质量问题</w:t>
            </w:r>
          </w:p>
        </w:tc>
        <w:tc>
          <w:tcPr>
            <w:tcW w:w="2134" w:type="pct"/>
            <w:gridSpan w:val="8"/>
            <w:vAlign w:val="center"/>
          </w:tcPr>
          <w:p>
            <w:pPr>
              <w:rPr>
                <w:rFonts w:hAnsi="宋体" w:cs="宋体"/>
                <w:sz w:val="20"/>
              </w:rPr>
            </w:pPr>
            <w:r>
              <w:rPr>
                <w:rFonts w:hAnsi="宋体" w:cs="宋体"/>
                <w:sz w:val="20"/>
              </w:rPr>
              <w:t>保险承保范围包括地基基础工程、主体结构工程、屋面防水工程和其他土建工程的质量问题。</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vAlign w:val="center"/>
          </w:tcPr>
          <w:p>
            <w:pPr>
              <w:widowControl/>
              <w:jc w:val="center"/>
              <w:rPr>
                <w:rFonts w:hAnsi="宋体" w:cs="宋体"/>
                <w:b/>
                <w:bCs/>
                <w:sz w:val="20"/>
              </w:rPr>
            </w:pPr>
            <w:r>
              <w:rPr>
                <w:rFonts w:hAnsi="宋体" w:cs="宋体"/>
                <w:b/>
                <w:bCs/>
                <w:sz w:val="20"/>
              </w:rPr>
              <w:t>20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保险承保范围包括装修工程、电气管线、上下水管线的安装工程,供热、供冷系统工程的质量问题。</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5" w:type="pct"/>
            <w:vMerge w:val="continue"/>
            <w:vAlign w:val="center"/>
          </w:tcPr>
          <w:p>
            <w:pPr>
              <w:widowControl/>
              <w:rPr>
                <w:rFonts w:hAnsi="宋体" w:cs="宋体"/>
                <w:sz w:val="20"/>
              </w:rPr>
            </w:pPr>
          </w:p>
        </w:tc>
        <w:tc>
          <w:tcPr>
            <w:tcW w:w="492" w:type="pct"/>
            <w:vMerge w:val="restart"/>
            <w:noWrap/>
            <w:vAlign w:val="center"/>
          </w:tcPr>
          <w:p>
            <w:pPr>
              <w:widowControl/>
              <w:rPr>
                <w:rFonts w:hAnsi="宋体" w:cs="宋体"/>
                <w:sz w:val="20"/>
              </w:rPr>
            </w:pPr>
            <w:r>
              <w:rPr>
                <w:rFonts w:hAnsi="宋体" w:cs="宋体"/>
                <w:sz w:val="20"/>
              </w:rPr>
              <w:t>9.2.10</w:t>
            </w:r>
          </w:p>
        </w:tc>
        <w:tc>
          <w:tcPr>
            <w:tcW w:w="512" w:type="pct"/>
            <w:vMerge w:val="restart"/>
            <w:vAlign w:val="center"/>
          </w:tcPr>
          <w:p>
            <w:pPr>
              <w:widowControl/>
              <w:rPr>
                <w:rFonts w:hAnsi="宋体" w:cs="宋体"/>
                <w:bCs/>
                <w:sz w:val="20"/>
              </w:rPr>
            </w:pPr>
            <w:r>
              <w:rPr>
                <w:rFonts w:hAnsi="宋体" w:cs="宋体"/>
                <w:bCs/>
                <w:sz w:val="20"/>
              </w:rPr>
              <w:t>其他创新策略</w:t>
            </w:r>
          </w:p>
        </w:tc>
        <w:tc>
          <w:tcPr>
            <w:tcW w:w="2134" w:type="pct"/>
            <w:gridSpan w:val="8"/>
            <w:vAlign w:val="center"/>
          </w:tcPr>
          <w:p>
            <w:pPr>
              <w:rPr>
                <w:rFonts w:hAnsi="宋体" w:cs="宋体"/>
                <w:sz w:val="20"/>
              </w:rPr>
            </w:pPr>
            <w:r>
              <w:rPr>
                <w:rFonts w:hAnsi="宋体" w:cs="宋体"/>
                <w:sz w:val="20"/>
              </w:rPr>
              <w:t>采取节约资源的其他创新。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vAlign w:val="center"/>
          </w:tcPr>
          <w:p>
            <w:pPr>
              <w:widowControl/>
              <w:jc w:val="center"/>
              <w:rPr>
                <w:rFonts w:hAnsi="宋体" w:cs="宋体"/>
                <w:b/>
                <w:bCs/>
                <w:sz w:val="20"/>
              </w:rPr>
            </w:pPr>
            <w:r>
              <w:rPr>
                <w:rFonts w:hAnsi="宋体" w:cs="宋体"/>
                <w:b/>
                <w:bCs/>
                <w:sz w:val="20"/>
              </w:rPr>
              <w:t>40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采取保护生态环境的其他创新。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采取保障安全健康的其他创新。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采取智慧友好运行的其他创新。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采取传承历史文化的其他创新。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bl>
    <w:p>
      <w:pPr>
        <w:pStyle w:val="2"/>
        <w:rPr>
          <w:sz w:val="48"/>
          <w:szCs w:val="48"/>
        </w:rPr>
        <w:sectPr>
          <w:pgSz w:w="11906" w:h="16838"/>
          <w:pgMar w:top="1440" w:right="1800" w:bottom="1440" w:left="1800" w:header="851" w:footer="992" w:gutter="0"/>
          <w:cols w:space="425" w:num="1"/>
          <w:docGrid w:type="lines" w:linePitch="312" w:charSpace="0"/>
        </w:sectPr>
      </w:pPr>
      <w:bookmarkStart w:id="29" w:name="_Toc113028984"/>
      <w:r>
        <w:rPr>
          <w:rFonts w:hint="eastAsia"/>
          <w:sz w:val="48"/>
          <w:szCs w:val="48"/>
        </w:rPr>
        <w:t>第三部分：杭州市民用建筑绿色与节能设计施工图专篇填写说明</w:t>
      </w:r>
      <w:bookmarkEnd w:id="29"/>
    </w:p>
    <w:bookmarkEnd w:id="25"/>
    <w:p>
      <w:pPr>
        <w:pStyle w:val="4"/>
        <w:jc w:val="center"/>
      </w:pPr>
      <w:bookmarkStart w:id="30" w:name="_Toc109325935"/>
      <w:bookmarkStart w:id="31" w:name="_Toc113028985"/>
      <w:r>
        <w:rPr>
          <w:rFonts w:hint="eastAsia"/>
        </w:rPr>
        <w:t>3</w:t>
      </w:r>
      <w:r>
        <w:t xml:space="preserve">.1 </w:t>
      </w:r>
      <w:r>
        <w:rPr>
          <w:rFonts w:hint="eastAsia"/>
        </w:rPr>
        <w:t>总表填写说明</w:t>
      </w:r>
    </w:p>
    <w:p>
      <w:pPr>
        <w:spacing w:line="360" w:lineRule="auto"/>
        <w:rPr>
          <w:b/>
          <w:bCs/>
          <w:sz w:val="24"/>
        </w:rPr>
      </w:pPr>
      <w:r>
        <w:rPr>
          <w:rFonts w:hint="eastAsia"/>
          <w:b/>
          <w:bCs/>
          <w:sz w:val="24"/>
        </w:rPr>
        <w:t>1、工程基本情况:</w:t>
      </w:r>
    </w:p>
    <w:p>
      <w:pPr>
        <w:spacing w:line="360" w:lineRule="auto"/>
        <w:rPr>
          <w:sz w:val="24"/>
        </w:rPr>
      </w:pPr>
      <w:r>
        <w:rPr>
          <w:rFonts w:hint="eastAsia"/>
          <w:sz w:val="24"/>
        </w:rPr>
        <w:t xml:space="preserve">   此项应表述项目的主要经济技术指标、结构形式和项目投资主体等基本情况；项目的绿色建筑设计星级目标是指根据项目性质、投资主体及绿色专项规划对地块要求达到的星级要求。</w:t>
      </w:r>
    </w:p>
    <w:p>
      <w:pPr>
        <w:spacing w:line="360" w:lineRule="auto"/>
        <w:rPr>
          <w:sz w:val="24"/>
        </w:rPr>
      </w:pPr>
      <w:r>
        <w:rPr>
          <w:rFonts w:hint="eastAsia"/>
          <w:b/>
          <w:bCs/>
          <w:sz w:val="24"/>
        </w:rPr>
        <w:t>1.1</w:t>
      </w:r>
      <w:r>
        <w:rPr>
          <w:rFonts w:hint="eastAsia"/>
          <w:sz w:val="24"/>
        </w:rPr>
        <w:t xml:space="preserve"> 对于“用地内单体建筑数量”栏和“本次设计单体数量”栏：当项目分期建设或单体出图时间有先后批次时，应按实际情况进行填写；当居住建筑与配套公建共处一体时（例如，沿街商铺），“本次设计单体数量”可按出图时的子项目数量为准（但当一个子项涵盖多个相同单体楼栋时，填写的数量须叠加）。</w:t>
      </w:r>
    </w:p>
    <w:p>
      <w:pPr>
        <w:spacing w:line="360" w:lineRule="auto"/>
        <w:rPr>
          <w:sz w:val="24"/>
        </w:rPr>
      </w:pPr>
      <w:r>
        <w:rPr>
          <w:rFonts w:hint="eastAsia"/>
          <w:b/>
          <w:bCs/>
          <w:sz w:val="24"/>
        </w:rPr>
        <w:t>1.2</w:t>
      </w:r>
      <w:r>
        <w:rPr>
          <w:rFonts w:hint="eastAsia"/>
          <w:sz w:val="24"/>
        </w:rPr>
        <w:t xml:space="preserve"> 对于“项目用地面积”、“容积率”、“建筑密度”和“绿地率”等经济指标：若无法按单体独立分开时，可按项目的总指标填写（但须备注说明）；分期建设的项目若无明确的分期规划要求指标时，可按总体指标填写；其中“容积率”和“建筑密度”栏均须增加备注说明：本指标为项目的总体综合平衡指标。</w:t>
      </w:r>
    </w:p>
    <w:p>
      <w:pPr>
        <w:spacing w:line="360" w:lineRule="auto"/>
        <w:rPr>
          <w:sz w:val="24"/>
        </w:rPr>
      </w:pPr>
      <w:r>
        <w:rPr>
          <w:rFonts w:hint="eastAsia"/>
          <w:b/>
          <w:bCs/>
          <w:sz w:val="24"/>
        </w:rPr>
        <w:t>1.3</w:t>
      </w:r>
      <w:r>
        <w:rPr>
          <w:rFonts w:hint="eastAsia"/>
          <w:sz w:val="24"/>
        </w:rPr>
        <w:t xml:space="preserve"> 对于“总建筑面积”、“地下建筑面积” 和“地上建筑面积”栏：分期建设项目注明本期指标，并在后面注明分期数；配套公建建筑面积栏(如有分期建设时)：应分别注明总体配套建筑面积和本次出图配套公建面积。依据</w:t>
      </w:r>
      <w:r>
        <w:rPr>
          <w:rFonts w:hint="eastAsia" w:ascii="Times New Roman" w:cs="宋体"/>
          <w:color w:val="000000"/>
          <w:kern w:val="0"/>
          <w:sz w:val="24"/>
        </w:rPr>
        <w:t>浙江省《绿色建筑设计标准》</w:t>
      </w:r>
      <w:r>
        <w:rPr>
          <w:rFonts w:hint="eastAsia"/>
          <w:sz w:val="24"/>
        </w:rPr>
        <w:t>DB</w:t>
      </w:r>
      <w:r>
        <w:rPr>
          <w:sz w:val="24"/>
        </w:rPr>
        <w:t xml:space="preserve"> </w:t>
      </w:r>
      <w:r>
        <w:rPr>
          <w:rFonts w:hint="eastAsia"/>
          <w:sz w:val="24"/>
        </w:rPr>
        <w:t>33/1092-2021第4.1.8条，当建设项目的红线范围内既有公共建筑又有居住建筑，而居住建筑和公共建筑划分不清时，应按居住建筑及公共建筑面积比分摊，分摊结果应分别满足本标准相应指标要求。</w:t>
      </w:r>
    </w:p>
    <w:p>
      <w:pPr>
        <w:spacing w:line="360" w:lineRule="auto"/>
        <w:rPr>
          <w:sz w:val="24"/>
        </w:rPr>
      </w:pPr>
      <w:r>
        <w:rPr>
          <w:rFonts w:hint="eastAsia"/>
          <w:b/>
          <w:bCs/>
          <w:sz w:val="24"/>
        </w:rPr>
        <w:t>1.4</w:t>
      </w:r>
      <w:r>
        <w:rPr>
          <w:rFonts w:hint="eastAsia"/>
          <w:sz w:val="24"/>
        </w:rPr>
        <w:t xml:space="preserve"> “建筑高度”、“建筑层数”、“建筑主要朝向”、“地上、地下的层数”栏：当为多栋建筑群时（包括与居住建筑合建的配套公建）可按建筑的“最高~最低的高度区间”、“最多～最少的层数区间”的方式填写，也可按编号楼栋对应填写。分期建设项目在后面注明分期数。</w:t>
      </w:r>
    </w:p>
    <w:p>
      <w:pPr>
        <w:spacing w:line="360" w:lineRule="auto"/>
        <w:rPr>
          <w:sz w:val="24"/>
        </w:rPr>
      </w:pPr>
      <w:r>
        <w:rPr>
          <w:rFonts w:hint="eastAsia"/>
          <w:b/>
          <w:bCs/>
          <w:sz w:val="24"/>
        </w:rPr>
        <w:t>1.5</w:t>
      </w:r>
      <w:r>
        <w:rPr>
          <w:rFonts w:hint="eastAsia"/>
          <w:sz w:val="24"/>
        </w:rPr>
        <w:t xml:space="preserve"> “建筑工业化技术”栏：填写项目是否符合标准采用的工业化结构形式等，装配式建筑注明装配率等有强制性要求的内容，填写时未能表述清楚的事宜可在本项的“其他”栏中补充。  </w:t>
      </w:r>
    </w:p>
    <w:p>
      <w:pPr>
        <w:spacing w:line="360" w:lineRule="auto"/>
        <w:rPr>
          <w:sz w:val="24"/>
        </w:rPr>
      </w:pPr>
      <w:r>
        <w:rPr>
          <w:rFonts w:hint="eastAsia"/>
          <w:b/>
          <w:bCs/>
          <w:sz w:val="24"/>
        </w:rPr>
        <w:t>1.</w:t>
      </w:r>
      <w:r>
        <w:rPr>
          <w:b/>
          <w:bCs/>
          <w:sz w:val="24"/>
        </w:rPr>
        <w:t>6</w:t>
      </w:r>
      <w:r>
        <w:rPr>
          <w:rFonts w:hint="eastAsia"/>
          <w:sz w:val="24"/>
        </w:rPr>
        <w:t xml:space="preserve"> 低影响开发控制性指标应满足当地海绵城市专项规划实施方案要求。年径流总量控制率、综合径流系数可以在初步设计海绵城市低影响开发专篇中查阅。综合径流系数可根据《民用建筑雨水控制与利用设计规程》第3.2.1条要求计算，浙江省各地市年径流总量控制率对应的日降雨量可按《民用建筑雨水控制与利用设计规程》附录B取值。</w:t>
      </w:r>
    </w:p>
    <w:p>
      <w:pPr>
        <w:spacing w:line="360" w:lineRule="auto"/>
        <w:rPr>
          <w:sz w:val="24"/>
        </w:rPr>
      </w:pPr>
      <w:r>
        <w:rPr>
          <w:rFonts w:hint="eastAsia"/>
          <w:b/>
          <w:bCs/>
          <w:sz w:val="24"/>
        </w:rPr>
        <w:t>1.</w:t>
      </w:r>
      <w:r>
        <w:rPr>
          <w:b/>
          <w:bCs/>
          <w:sz w:val="24"/>
        </w:rPr>
        <w:t>7</w:t>
      </w:r>
      <w:r>
        <w:rPr>
          <w:rFonts w:hint="eastAsia"/>
          <w:sz w:val="24"/>
        </w:rPr>
        <w:t xml:space="preserve"> 多个建筑合并为一张表填写时，其中的设计使用年限、结构安全等级、抗震类别和设防烈度、结构形式、空调形式等不同时，可对涉及的内容相应分栏填写（按楼号填写）。</w:t>
      </w:r>
    </w:p>
    <w:p>
      <w:pPr>
        <w:spacing w:line="360" w:lineRule="auto"/>
        <w:rPr>
          <w:sz w:val="24"/>
        </w:rPr>
      </w:pPr>
      <w:r>
        <w:rPr>
          <w:rFonts w:hint="eastAsia"/>
          <w:b/>
          <w:bCs/>
          <w:sz w:val="24"/>
        </w:rPr>
        <w:t>1.</w:t>
      </w:r>
      <w:r>
        <w:rPr>
          <w:b/>
          <w:bCs/>
          <w:sz w:val="24"/>
        </w:rPr>
        <w:t>8</w:t>
      </w:r>
      <w:r>
        <w:rPr>
          <w:rFonts w:hint="eastAsia"/>
          <w:sz w:val="24"/>
        </w:rPr>
        <w:t xml:space="preserve"> “项目基准规模”、“能耗规模”栏：如施工图与节能评估时提供的相关面积、技术措施未做变更时，可直接引用节能评估报告书中的相应数据。</w:t>
      </w:r>
    </w:p>
    <w:p>
      <w:pPr>
        <w:spacing w:line="360" w:lineRule="auto"/>
        <w:rPr>
          <w:sz w:val="24"/>
        </w:rPr>
      </w:pPr>
      <w:r>
        <w:rPr>
          <w:rFonts w:hint="eastAsia"/>
          <w:b/>
          <w:bCs/>
          <w:sz w:val="24"/>
        </w:rPr>
        <w:t>1.</w:t>
      </w:r>
      <w:r>
        <w:rPr>
          <w:b/>
          <w:bCs/>
          <w:sz w:val="24"/>
        </w:rPr>
        <w:t>9</w:t>
      </w:r>
      <w:r>
        <w:rPr>
          <w:rFonts w:hint="eastAsia"/>
          <w:sz w:val="24"/>
        </w:rPr>
        <w:t xml:space="preserve"> 其他需要说明的内容：指设计项目为多种功能（如居住、公建），或分期实施、改扩建等无法在基本概况中体现的特殊情况或未注明的内容，可在此栏中进行补充说明。对一些特殊项目，例如：不同单位设计、分包设计、联合设计等情况，需在表中具体说明。</w:t>
      </w:r>
    </w:p>
    <w:p>
      <w:pPr>
        <w:spacing w:line="360" w:lineRule="auto"/>
        <w:rPr>
          <w:sz w:val="24"/>
        </w:rPr>
      </w:pPr>
    </w:p>
    <w:p>
      <w:pPr>
        <w:spacing w:line="360" w:lineRule="auto"/>
        <w:rPr>
          <w:b/>
          <w:bCs/>
          <w:sz w:val="24"/>
        </w:rPr>
      </w:pPr>
      <w:r>
        <w:rPr>
          <w:rFonts w:hint="eastAsia"/>
          <w:b/>
          <w:bCs/>
          <w:sz w:val="24"/>
        </w:rPr>
        <w:t>2.关键设计指标汇总:</w:t>
      </w:r>
    </w:p>
    <w:p>
      <w:pPr>
        <w:snapToGrid w:val="0"/>
        <w:spacing w:line="360" w:lineRule="auto"/>
        <w:jc w:val="left"/>
        <w:rPr>
          <w:rFonts w:ascii="Times New Roman" w:cs="宋体"/>
          <w:color w:val="auto"/>
          <w:kern w:val="0"/>
          <w:sz w:val="24"/>
        </w:rPr>
      </w:pPr>
      <w:r>
        <w:rPr>
          <w:rFonts w:hint="eastAsia" w:ascii="Times New Roman" w:cs="宋体"/>
          <w:color w:val="auto"/>
          <w:kern w:val="0"/>
          <w:sz w:val="24"/>
        </w:rPr>
        <w:t>2.1</w:t>
      </w:r>
      <w:r>
        <w:rPr>
          <w:rFonts w:ascii="Times New Roman" w:cs="宋体"/>
          <w:color w:val="auto"/>
          <w:kern w:val="0"/>
          <w:sz w:val="24"/>
        </w:rPr>
        <w:t xml:space="preserve"> </w:t>
      </w:r>
      <w:r>
        <w:rPr>
          <w:rFonts w:hint="eastAsia" w:ascii="Times New Roman" w:cs="宋体"/>
          <w:color w:val="auto"/>
          <w:kern w:val="0"/>
          <w:sz w:val="24"/>
        </w:rPr>
        <w:t>此项是按浙江省《绿色建筑设计标准》DB33/1092-20</w:t>
      </w:r>
      <w:r>
        <w:rPr>
          <w:rFonts w:ascii="Times New Roman" w:cs="宋体"/>
          <w:color w:val="auto"/>
          <w:kern w:val="0"/>
          <w:sz w:val="24"/>
        </w:rPr>
        <w:t>21</w:t>
      </w:r>
      <w:r>
        <w:rPr>
          <w:rFonts w:hint="eastAsia" w:ascii="Times New Roman" w:cs="宋体"/>
          <w:color w:val="auto"/>
          <w:kern w:val="0"/>
          <w:sz w:val="24"/>
        </w:rPr>
        <w:t>的要求，根据项目的节能评估报告书（表）中《民用建筑项目节能评估汇总表》相关内容，根据工程实践进行优化、整合后的关键指标表；其中各项与能耗等专项设计相关的内容及参数，需由相关专业配合，结合最终编制的节能评估文件（或节能登记表）内容填写。</w:t>
      </w:r>
    </w:p>
    <w:p>
      <w:pPr>
        <w:snapToGrid w:val="0"/>
        <w:spacing w:line="360" w:lineRule="auto"/>
        <w:jc w:val="left"/>
        <w:rPr>
          <w:rFonts w:ascii="Times New Roman" w:cs="宋体"/>
          <w:color w:val="auto"/>
          <w:kern w:val="0"/>
          <w:sz w:val="24"/>
        </w:rPr>
      </w:pPr>
      <w:r>
        <w:rPr>
          <w:rFonts w:hint="eastAsia" w:ascii="Times New Roman" w:cs="宋体"/>
          <w:color w:val="auto"/>
          <w:kern w:val="0"/>
          <w:sz w:val="24"/>
        </w:rPr>
        <w:t>2.2</w:t>
      </w:r>
      <w:r>
        <w:rPr>
          <w:rFonts w:ascii="Times New Roman" w:cs="宋体"/>
          <w:color w:val="auto"/>
          <w:kern w:val="0"/>
          <w:sz w:val="24"/>
        </w:rPr>
        <w:t xml:space="preserve"> 施工图</w:t>
      </w:r>
      <w:r>
        <w:rPr>
          <w:rFonts w:hint="eastAsia" w:ascii="Times New Roman" w:cs="宋体"/>
          <w:color w:val="auto"/>
          <w:kern w:val="0"/>
          <w:sz w:val="24"/>
        </w:rPr>
        <w:t>与节能</w:t>
      </w:r>
      <w:r>
        <w:rPr>
          <w:rFonts w:ascii="Times New Roman" w:cs="宋体"/>
          <w:color w:val="auto"/>
          <w:kern w:val="0"/>
          <w:sz w:val="24"/>
        </w:rPr>
        <w:t>评估</w:t>
      </w:r>
      <w:r>
        <w:rPr>
          <w:rFonts w:hint="eastAsia" w:ascii="Times New Roman" w:cs="宋体"/>
          <w:color w:val="auto"/>
          <w:kern w:val="0"/>
          <w:sz w:val="24"/>
        </w:rPr>
        <w:t>文件（或节能登记表）中</w:t>
      </w:r>
      <w:r>
        <w:rPr>
          <w:rFonts w:ascii="Times New Roman" w:cs="宋体"/>
          <w:color w:val="auto"/>
          <w:kern w:val="0"/>
          <w:sz w:val="24"/>
        </w:rPr>
        <w:t>提供</w:t>
      </w:r>
      <w:r>
        <w:rPr>
          <w:rFonts w:hint="eastAsia" w:ascii="Times New Roman" w:cs="宋体"/>
          <w:color w:val="auto"/>
          <w:kern w:val="0"/>
          <w:sz w:val="24"/>
        </w:rPr>
        <w:t>的</w:t>
      </w:r>
      <w:r>
        <w:rPr>
          <w:rFonts w:ascii="Times New Roman" w:cs="宋体"/>
          <w:color w:val="auto"/>
          <w:kern w:val="0"/>
          <w:sz w:val="24"/>
        </w:rPr>
        <w:t>相关</w:t>
      </w:r>
      <w:r>
        <w:rPr>
          <w:rFonts w:hint="eastAsia" w:ascii="Times New Roman" w:cs="宋体"/>
          <w:color w:val="auto"/>
          <w:kern w:val="0"/>
          <w:sz w:val="24"/>
        </w:rPr>
        <w:t>面积</w:t>
      </w:r>
      <w:r>
        <w:rPr>
          <w:rFonts w:ascii="Times New Roman" w:cs="宋体"/>
          <w:color w:val="auto"/>
          <w:kern w:val="0"/>
          <w:sz w:val="24"/>
        </w:rPr>
        <w:t>、技术措施（</w:t>
      </w:r>
      <w:r>
        <w:rPr>
          <w:rFonts w:hint="eastAsia" w:ascii="Times New Roman" w:cs="宋体"/>
          <w:color w:val="auto"/>
          <w:kern w:val="0"/>
          <w:sz w:val="24"/>
        </w:rPr>
        <w:t>节能</w:t>
      </w:r>
      <w:r>
        <w:rPr>
          <w:rFonts w:ascii="Times New Roman" w:cs="宋体"/>
          <w:color w:val="auto"/>
          <w:kern w:val="0"/>
          <w:sz w:val="24"/>
        </w:rPr>
        <w:t>、绿建等）</w:t>
      </w:r>
      <w:r>
        <w:rPr>
          <w:rFonts w:hint="eastAsia" w:ascii="Times New Roman" w:cs="宋体"/>
          <w:color w:val="auto"/>
          <w:kern w:val="0"/>
          <w:sz w:val="24"/>
        </w:rPr>
        <w:t>应保持一致。</w:t>
      </w:r>
    </w:p>
    <w:p>
      <w:pPr>
        <w:spacing w:line="360" w:lineRule="auto"/>
        <w:rPr>
          <w:sz w:val="24"/>
        </w:rPr>
      </w:pPr>
      <w:r>
        <w:rPr>
          <w:rFonts w:hint="eastAsia"/>
          <w:sz w:val="24"/>
        </w:rPr>
        <w:t>2.3 若项目存在分期建设，填写时可按整体评估报告书中的本次分期指标数据，并在备注栏中注明本次的分期数；若评估报告中没有分期指标数据，应要求评估单位按分期进行技术数据拆分，并修改相应的评估报告书的内容。</w:t>
      </w:r>
    </w:p>
    <w:p>
      <w:pPr>
        <w:spacing w:line="360" w:lineRule="auto"/>
        <w:rPr>
          <w:sz w:val="24"/>
        </w:rPr>
      </w:pPr>
      <w:r>
        <w:rPr>
          <w:rFonts w:hint="eastAsia"/>
          <w:sz w:val="24"/>
        </w:rPr>
        <w:t>2.4 地下空间开发利用指标等计算：依据DB33/1092-2021 第4.1.8条，当建设项目的红线范围内既有公共建筑又有居住建筑，而居住建筑和公共建筑划分不清时，应按居住建筑及公共建筑面积比分摊，分摊结果应分别满足本标准相应指标要求。</w:t>
      </w:r>
    </w:p>
    <w:p>
      <w:pPr>
        <w:spacing w:line="360" w:lineRule="auto"/>
        <w:rPr>
          <w:sz w:val="24"/>
        </w:rPr>
      </w:pPr>
    </w:p>
    <w:p>
      <w:pPr>
        <w:spacing w:line="360" w:lineRule="auto"/>
        <w:rPr>
          <w:b/>
          <w:bCs/>
          <w:sz w:val="24"/>
        </w:rPr>
      </w:pPr>
      <w:r>
        <w:rPr>
          <w:rFonts w:hint="eastAsia"/>
          <w:b/>
          <w:bCs/>
          <w:sz w:val="24"/>
        </w:rPr>
        <w:t>3. 绿色建筑设计技术措施</w:t>
      </w:r>
    </w:p>
    <w:p>
      <w:pPr>
        <w:spacing w:line="360" w:lineRule="auto"/>
        <w:rPr>
          <w:sz w:val="24"/>
        </w:rPr>
      </w:pPr>
      <w:r>
        <w:rPr>
          <w:rFonts w:hint="eastAsia"/>
          <w:sz w:val="24"/>
        </w:rPr>
        <w:t>详见不同专业的试点项目施工图绿色建筑和节能设计专篇（公共建筑）。</w:t>
      </w:r>
    </w:p>
    <w:p>
      <w:pPr>
        <w:spacing w:line="360" w:lineRule="auto"/>
        <w:rPr>
          <w:sz w:val="24"/>
        </w:rPr>
      </w:pPr>
    </w:p>
    <w:p>
      <w:pPr>
        <w:pStyle w:val="4"/>
        <w:jc w:val="center"/>
      </w:pPr>
      <w:r>
        <w:t>3</w:t>
      </w:r>
      <w:r>
        <w:rPr>
          <w:rFonts w:hint="eastAsia"/>
        </w:rPr>
        <w:t>.</w:t>
      </w:r>
      <w:r>
        <w:t>2</w:t>
      </w:r>
      <w:r>
        <w:rPr>
          <w:rFonts w:hint="eastAsia"/>
        </w:rPr>
        <w:t xml:space="preserve"> 建筑专业填写说明</w:t>
      </w:r>
      <w:bookmarkEnd w:id="30"/>
      <w:bookmarkEnd w:id="31"/>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一、建筑主要设计依据:</w:t>
      </w:r>
    </w:p>
    <w:p>
      <w:pPr>
        <w:snapToGrid w:val="0"/>
        <w:spacing w:line="360" w:lineRule="auto"/>
        <w:ind w:firstLine="480" w:firstLineChars="200"/>
        <w:jc w:val="left"/>
        <w:rPr>
          <w:rFonts w:ascii="Times New Roman" w:cs="宋体"/>
          <w:color w:val="auto"/>
          <w:kern w:val="0"/>
          <w:sz w:val="24"/>
        </w:rPr>
      </w:pPr>
      <w:r>
        <w:rPr>
          <w:rFonts w:hint="eastAsia" w:ascii="Times New Roman" w:cs="宋体"/>
          <w:color w:val="auto"/>
          <w:kern w:val="0"/>
          <w:sz w:val="24"/>
        </w:rPr>
        <w:t>此项应包括项目进行建筑绿色与节能设计时所遵循的主要设计依据。包括法律法规、政策文件及现行国家与地方的标准、规范；还包括项目已取得的节能审查意见书及其附件、节能</w:t>
      </w:r>
      <w:r>
        <w:rPr>
          <w:rFonts w:ascii="Times New Roman" w:cs="宋体"/>
          <w:color w:val="auto"/>
          <w:kern w:val="0"/>
          <w:sz w:val="24"/>
        </w:rPr>
        <w:t>评估</w:t>
      </w:r>
      <w:r>
        <w:rPr>
          <w:rFonts w:hint="eastAsia" w:ascii="Times New Roman" w:cs="宋体"/>
          <w:color w:val="auto"/>
          <w:kern w:val="0"/>
          <w:sz w:val="24"/>
        </w:rPr>
        <w:t>文件（或节能登记表）等；</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二、建筑</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r>
        <w:rPr>
          <w:rFonts w:ascii="Times New Roman" w:cs="宋体"/>
          <w:color w:val="000000"/>
          <w:kern w:val="0"/>
          <w:sz w:val="24"/>
        </w:rPr>
        <w:t xml:space="preserve"> </w:t>
      </w:r>
    </w:p>
    <w:p>
      <w:pPr>
        <w:snapToGrid w:val="0"/>
        <w:spacing w:line="360" w:lineRule="auto"/>
        <w:jc w:val="left"/>
        <w:rPr>
          <w:rFonts w:ascii="Times New Roman" w:cs="宋体"/>
          <w:color w:val="000000"/>
          <w:kern w:val="0"/>
          <w:sz w:val="24"/>
        </w:rPr>
      </w:pPr>
      <w:r>
        <w:rPr>
          <w:rFonts w:ascii="Times New Roman" w:cs="宋体"/>
          <w:color w:val="000000"/>
          <w:kern w:val="0"/>
          <w:sz w:val="24"/>
        </w:rPr>
        <w:t>1</w:t>
      </w:r>
      <w:r>
        <w:rPr>
          <w:rFonts w:hint="eastAsia" w:ascii="Times New Roman" w:cs="宋体"/>
          <w:color w:val="000000"/>
          <w:kern w:val="0"/>
          <w:sz w:val="24"/>
        </w:rPr>
        <w:t>.</w:t>
      </w:r>
      <w:r>
        <w:rPr>
          <w:rFonts w:ascii="Times New Roman" w:cs="宋体"/>
          <w:color w:val="000000"/>
          <w:kern w:val="0"/>
          <w:sz w:val="24"/>
        </w:rPr>
        <w:t>为方便设计人员</w:t>
      </w:r>
      <w:r>
        <w:rPr>
          <w:rFonts w:hint="eastAsia" w:ascii="Times New Roman" w:cs="宋体"/>
          <w:color w:val="000000"/>
          <w:kern w:val="0"/>
          <w:sz w:val="24"/>
        </w:rPr>
        <w:t>更精准</w:t>
      </w:r>
      <w:r>
        <w:rPr>
          <w:rFonts w:ascii="Times New Roman" w:cs="宋体"/>
          <w:color w:val="000000"/>
          <w:kern w:val="0"/>
          <w:sz w:val="24"/>
        </w:rPr>
        <w:t>理解</w:t>
      </w:r>
      <w:r>
        <w:rPr>
          <w:rFonts w:hint="eastAsia" w:ascii="Times New Roman" w:cs="宋体"/>
          <w:color w:val="000000"/>
          <w:kern w:val="0"/>
          <w:sz w:val="24"/>
        </w:rPr>
        <w:t>专篇的填写目的与要求，本说明对专篇中列入的每项条款均以表格形式进行了说明。填写说明主要包含三部分内容，分别为：条文来源、依据材料、备注。其中：“条文来源”主要注明条款依据浙江省《绿色建筑设计标准》DB</w:t>
      </w:r>
      <w:r>
        <w:rPr>
          <w:rFonts w:ascii="Times New Roman" w:cs="宋体"/>
          <w:color w:val="000000"/>
          <w:kern w:val="0"/>
          <w:sz w:val="24"/>
        </w:rPr>
        <w:t xml:space="preserve"> </w:t>
      </w:r>
      <w:r>
        <w:rPr>
          <w:rFonts w:hint="eastAsia" w:ascii="Times New Roman" w:cs="宋体"/>
          <w:color w:val="000000"/>
          <w:kern w:val="0"/>
          <w:sz w:val="24"/>
        </w:rPr>
        <w:t>33/1092-20</w:t>
      </w:r>
      <w:r>
        <w:rPr>
          <w:rFonts w:ascii="Times New Roman" w:cs="宋体"/>
          <w:color w:val="000000"/>
          <w:kern w:val="0"/>
          <w:sz w:val="24"/>
        </w:rPr>
        <w:t>21</w:t>
      </w:r>
      <w:r>
        <w:rPr>
          <w:rFonts w:hint="eastAsia" w:ascii="Times New Roman" w:cs="宋体"/>
          <w:color w:val="000000"/>
          <w:kern w:val="0"/>
          <w:sz w:val="24"/>
        </w:rPr>
        <w:t>（</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w:t>
      </w:r>
      <w:r>
        <w:rPr>
          <w:rFonts w:ascii="Times New Roman" w:cs="宋体"/>
          <w:color w:val="000000"/>
          <w:kern w:val="0"/>
          <w:sz w:val="24"/>
        </w:rPr>
        <w:t xml:space="preserve"> </w:t>
      </w:r>
      <w:r>
        <w:rPr>
          <w:rFonts w:hint="eastAsia" w:ascii="Times New Roman" w:cs="宋体"/>
          <w:color w:val="000000"/>
          <w:kern w:val="0"/>
          <w:sz w:val="24"/>
        </w:rPr>
        <w:t>33/1092-20</w:t>
      </w:r>
      <w:r>
        <w:rPr>
          <w:rFonts w:ascii="Times New Roman" w:cs="宋体"/>
          <w:color w:val="000000"/>
          <w:kern w:val="0"/>
          <w:sz w:val="24"/>
        </w:rPr>
        <w:t>21</w:t>
      </w:r>
      <w:r>
        <w:rPr>
          <w:rFonts w:hint="eastAsia" w:ascii="Times New Roman" w:cs="宋体"/>
          <w:color w:val="000000"/>
          <w:kern w:val="0"/>
          <w:sz w:val="24"/>
        </w:rPr>
        <w:t>”）和</w:t>
      </w:r>
      <w:r>
        <w:rPr>
          <w:rFonts w:ascii="Times New Roman" w:cs="宋体"/>
          <w:color w:val="000000"/>
          <w:kern w:val="0"/>
          <w:sz w:val="24"/>
        </w:rPr>
        <w:t>国家标准</w:t>
      </w:r>
      <w:r>
        <w:rPr>
          <w:rFonts w:hint="eastAsia" w:ascii="Times New Roman" w:cs="宋体"/>
          <w:color w:val="000000"/>
          <w:kern w:val="0"/>
          <w:sz w:val="24"/>
        </w:rPr>
        <w:t>《绿色建筑评价</w:t>
      </w:r>
      <w:r>
        <w:rPr>
          <w:rFonts w:ascii="Times New Roman" w:cs="宋体"/>
          <w:color w:val="000000"/>
          <w:kern w:val="0"/>
          <w:sz w:val="24"/>
        </w:rPr>
        <w:t>标准</w:t>
      </w:r>
      <w:r>
        <w:rPr>
          <w:rFonts w:hint="eastAsia" w:ascii="Times New Roman" w:cs="宋体"/>
          <w:color w:val="000000"/>
          <w:kern w:val="0"/>
          <w:sz w:val="24"/>
        </w:rPr>
        <w:t>》GB/T</w:t>
      </w:r>
      <w:r>
        <w:rPr>
          <w:rFonts w:ascii="Times New Roman" w:cs="宋体"/>
          <w:color w:val="000000"/>
          <w:kern w:val="0"/>
          <w:sz w:val="24"/>
        </w:rPr>
        <w:t xml:space="preserve"> </w:t>
      </w:r>
      <w:r>
        <w:rPr>
          <w:rFonts w:hint="eastAsia" w:ascii="Times New Roman" w:cs="宋体"/>
          <w:color w:val="000000"/>
          <w:kern w:val="0"/>
          <w:sz w:val="24"/>
        </w:rPr>
        <w:t>50378-20</w:t>
      </w:r>
      <w:r>
        <w:rPr>
          <w:rFonts w:ascii="Times New Roman" w:cs="宋体"/>
          <w:color w:val="000000"/>
          <w:kern w:val="0"/>
          <w:sz w:val="24"/>
        </w:rPr>
        <w:t>19</w:t>
      </w:r>
      <w:r>
        <w:rPr>
          <w:rFonts w:hint="eastAsia" w:ascii="Times New Roman" w:cs="宋体"/>
          <w:color w:val="000000"/>
          <w:kern w:val="0"/>
          <w:sz w:val="24"/>
        </w:rPr>
        <w:t>（</w:t>
      </w:r>
      <w:r>
        <w:rPr>
          <w:rFonts w:ascii="Times New Roman" w:cs="宋体"/>
          <w:color w:val="000000"/>
          <w:kern w:val="0"/>
          <w:sz w:val="24"/>
        </w:rPr>
        <w:t>以下简称“</w:t>
      </w:r>
      <w:r>
        <w:rPr>
          <w:rFonts w:hint="eastAsia" w:ascii="Times New Roman" w:cs="宋体"/>
          <w:color w:val="000000"/>
          <w:kern w:val="0"/>
          <w:sz w:val="24"/>
        </w:rPr>
        <w:t>GB/T</w:t>
      </w:r>
      <w:r>
        <w:rPr>
          <w:rFonts w:ascii="Times New Roman" w:cs="宋体"/>
          <w:color w:val="000000"/>
          <w:kern w:val="0"/>
          <w:sz w:val="24"/>
        </w:rPr>
        <w:t xml:space="preserve"> </w:t>
      </w:r>
      <w:r>
        <w:rPr>
          <w:rFonts w:hint="eastAsia" w:ascii="Times New Roman" w:cs="宋体"/>
          <w:color w:val="000000"/>
          <w:kern w:val="0"/>
          <w:sz w:val="24"/>
        </w:rPr>
        <w:t>50378-20</w:t>
      </w:r>
      <w:r>
        <w:rPr>
          <w:rFonts w:ascii="Times New Roman" w:cs="宋体"/>
          <w:color w:val="000000"/>
          <w:kern w:val="0"/>
          <w:sz w:val="24"/>
        </w:rPr>
        <w:t>19”</w:t>
      </w:r>
      <w:r>
        <w:rPr>
          <w:rFonts w:hint="eastAsia" w:ascii="Times New Roman" w:cs="宋体"/>
          <w:color w:val="000000"/>
          <w:kern w:val="0"/>
          <w:sz w:val="24"/>
        </w:rPr>
        <w:t>）的出处与条文编号；“依据材料”是明确</w:t>
      </w:r>
      <w:r>
        <w:rPr>
          <w:rFonts w:ascii="Times New Roman" w:cs="宋体"/>
          <w:color w:val="000000"/>
          <w:kern w:val="0"/>
          <w:sz w:val="24"/>
        </w:rPr>
        <w:t>设计人员</w:t>
      </w:r>
      <w:r>
        <w:rPr>
          <w:rFonts w:hint="eastAsia" w:ascii="Times New Roman" w:cs="宋体"/>
          <w:color w:val="000000"/>
          <w:kern w:val="0"/>
          <w:sz w:val="24"/>
        </w:rPr>
        <w:t>填写各条款时，所</w:t>
      </w:r>
      <w:r>
        <w:rPr>
          <w:rFonts w:ascii="Times New Roman" w:cs="宋体"/>
          <w:color w:val="000000"/>
          <w:kern w:val="0"/>
          <w:sz w:val="24"/>
        </w:rPr>
        <w:t>依据</w:t>
      </w:r>
      <w:r>
        <w:rPr>
          <w:rFonts w:hint="eastAsia" w:ascii="Times New Roman" w:cs="宋体"/>
          <w:color w:val="000000"/>
          <w:kern w:val="0"/>
          <w:sz w:val="24"/>
        </w:rPr>
        <w:t>的相应</w:t>
      </w:r>
      <w:r>
        <w:rPr>
          <w:rFonts w:ascii="Times New Roman" w:cs="宋体"/>
          <w:color w:val="000000"/>
          <w:kern w:val="0"/>
          <w:sz w:val="24"/>
        </w:rPr>
        <w:t>基础资料</w:t>
      </w:r>
      <w:r>
        <w:rPr>
          <w:rFonts w:hint="eastAsia" w:ascii="Times New Roman" w:cs="宋体"/>
          <w:color w:val="000000"/>
          <w:kern w:val="0"/>
          <w:sz w:val="24"/>
        </w:rPr>
        <w:t>、设计文件等相关内容；“备注”是指对条款需要注意与重点核查的内容进行详细说明，或对相关条文进行解释和补充。</w:t>
      </w:r>
    </w:p>
    <w:p>
      <w:pPr>
        <w:pStyle w:val="17"/>
        <w:spacing w:line="360" w:lineRule="auto"/>
        <w:ind w:firstLine="420"/>
        <w:rPr>
          <w:rFonts w:asciiTheme="minorEastAsia" w:hAnsiTheme="minorEastAsia" w:eastAsiaTheme="minorEastAsia"/>
          <w:szCs w:val="21"/>
        </w:rPr>
      </w:pP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◇条款说明：</w:t>
      </w:r>
    </w:p>
    <w:p>
      <w:pPr>
        <w:pStyle w:val="267"/>
      </w:pPr>
      <w:r>
        <w:rPr>
          <w:rFonts w:hint="eastAsia"/>
        </w:rPr>
        <w:t>（一）总平面</w:t>
      </w:r>
      <w:r>
        <w:t>设计技术措施</w:t>
      </w:r>
      <w:r>
        <w:rPr>
          <w:rFonts w:hint="eastAsia"/>
        </w:rPr>
        <w:t>：</w:t>
      </w:r>
    </w:p>
    <w:p>
      <w:pPr>
        <w:pStyle w:val="17"/>
        <w:spacing w:line="360" w:lineRule="auto"/>
        <w:ind w:firstLine="482"/>
        <w:rPr>
          <w:rFonts w:asciiTheme="minorEastAsia" w:hAnsiTheme="minorEastAsia" w:eastAsiaTheme="minorEastAsia"/>
          <w:b/>
          <w:sz w:val="24"/>
          <w:lang w:val="en-GB"/>
        </w:rPr>
      </w:pPr>
      <w:r>
        <w:rPr>
          <w:rFonts w:hint="eastAsia" w:asciiTheme="minorEastAsia" w:hAnsiTheme="minorEastAsia" w:eastAsiaTheme="minorEastAsia"/>
          <w:b/>
          <w:sz w:val="24"/>
        </w:rPr>
        <w:t>控制</w:t>
      </w:r>
      <w:r>
        <w:rPr>
          <w:rFonts w:hint="eastAsia" w:asciiTheme="minorEastAsia" w:hAnsiTheme="minorEastAsia" w:eastAsiaTheme="minorEastAsia"/>
          <w:b/>
          <w:sz w:val="24"/>
          <w:lang w:val="en-GB"/>
        </w:rPr>
        <w:t>项内容：</w:t>
      </w:r>
    </w:p>
    <w:p>
      <w:pPr>
        <w:pStyle w:val="17"/>
        <w:spacing w:line="360" w:lineRule="auto"/>
        <w:rPr>
          <w:rFonts w:asciiTheme="minorEastAsia" w:hAnsiTheme="minorEastAsia" w:eastAsiaTheme="minorEastAsia"/>
          <w:sz w:val="24"/>
        </w:rPr>
      </w:pPr>
      <w:r>
        <w:rPr>
          <w:rFonts w:hint="eastAsia" w:asciiTheme="minorEastAsia" w:hAnsiTheme="minorEastAsia" w:eastAsiaTheme="minorEastAsia"/>
          <w:b/>
          <w:sz w:val="24"/>
        </w:rPr>
        <w:t>1.</w:t>
      </w:r>
      <w:r>
        <w:rPr>
          <w:rFonts w:asciiTheme="minorEastAsia" w:hAnsiTheme="minorEastAsia" w:eastAsiaTheme="minorEastAsia"/>
          <w:b/>
          <w:sz w:val="24"/>
        </w:rPr>
        <w:t xml:space="preserve"> </w:t>
      </w:r>
      <w:r>
        <w:rPr>
          <w:rFonts w:asciiTheme="minorEastAsia" w:hAnsiTheme="minorEastAsia" w:eastAsiaTheme="minorEastAsia"/>
          <w:sz w:val="24"/>
        </w:rPr>
        <w:t>场地的规划设计符合项目所在地城乡规划的要求</w:t>
      </w:r>
      <w:r>
        <w:rPr>
          <w:rFonts w:hint="eastAsia" w:asciiTheme="minorEastAsia" w:hAnsiTheme="minorEastAsia" w:eastAsiaTheme="minorEastAsia"/>
          <w:sz w:val="24"/>
        </w:rPr>
        <w:t>，节约集约利用土地，合理控制场地开发强度，建筑规划布局符合国家和地方现行日照标准的规定，且不降低周边建筑的日照标准。</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447" w:type="dxa"/>
          </w:tcPr>
          <w:p>
            <w:pPr>
              <w:pStyle w:val="84"/>
              <w:spacing w:line="360" w:lineRule="auto"/>
              <w:rPr>
                <w:sz w:val="24"/>
              </w:rPr>
            </w:pPr>
            <w:r>
              <w:rPr>
                <w:rFonts w:hint="eastAsia"/>
                <w:sz w:val="24"/>
              </w:rPr>
              <w:t>GB/T 50378-201</w:t>
            </w:r>
            <w:r>
              <w:rPr>
                <w:sz w:val="24"/>
              </w:rPr>
              <w:t>9</w:t>
            </w:r>
          </w:p>
        </w:tc>
        <w:tc>
          <w:tcPr>
            <w:tcW w:w="1701" w:type="dxa"/>
          </w:tcPr>
          <w:p>
            <w:pPr>
              <w:pStyle w:val="84"/>
              <w:spacing w:line="360" w:lineRule="auto"/>
              <w:rPr>
                <w:sz w:val="24"/>
              </w:rPr>
            </w:pPr>
            <w:r>
              <w:rPr>
                <w:sz w:val="24"/>
              </w:rPr>
              <w:t>8.1.1</w:t>
            </w:r>
            <w:r>
              <w:rPr>
                <w:rFonts w:hint="eastAsia"/>
                <w:sz w:val="24"/>
              </w:rPr>
              <w:t xml:space="preserve">条 </w:t>
            </w:r>
          </w:p>
        </w:tc>
        <w:tc>
          <w:tcPr>
            <w:tcW w:w="3969"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7" w:type="dxa"/>
            <w:vMerge w:val="continue"/>
          </w:tcPr>
          <w:p>
            <w:pPr>
              <w:pStyle w:val="84"/>
              <w:spacing w:line="360" w:lineRule="auto"/>
              <w:rPr>
                <w:sz w:val="24"/>
              </w:rPr>
            </w:pPr>
          </w:p>
        </w:tc>
        <w:tc>
          <w:tcPr>
            <w:tcW w:w="2447" w:type="dxa"/>
            <w:vMerge w:val="restart"/>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701" w:type="dxa"/>
          </w:tcPr>
          <w:p>
            <w:pPr>
              <w:pStyle w:val="84"/>
              <w:spacing w:line="360" w:lineRule="auto"/>
              <w:rPr>
                <w:sz w:val="24"/>
              </w:rPr>
            </w:pPr>
            <w:r>
              <w:rPr>
                <w:rFonts w:hint="eastAsia"/>
                <w:sz w:val="24"/>
              </w:rPr>
              <w:t>4.1.</w:t>
            </w:r>
            <w:r>
              <w:rPr>
                <w:sz w:val="24"/>
              </w:rPr>
              <w:t>1</w:t>
            </w:r>
            <w:r>
              <w:rPr>
                <w:rFonts w:hint="eastAsia"/>
                <w:sz w:val="24"/>
              </w:rPr>
              <w:t>条</w:t>
            </w:r>
          </w:p>
        </w:tc>
        <w:tc>
          <w:tcPr>
            <w:tcW w:w="3969" w:type="dxa"/>
            <w:vMerge w:val="restart"/>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1701" w:type="dxa"/>
          </w:tcPr>
          <w:p>
            <w:pPr>
              <w:pStyle w:val="84"/>
              <w:spacing w:line="360" w:lineRule="auto"/>
              <w:rPr>
                <w:sz w:val="24"/>
                <w:lang w:eastAsia="zh-Hans"/>
              </w:rPr>
            </w:pPr>
            <w:r>
              <w:rPr>
                <w:sz w:val="24"/>
              </w:rPr>
              <w:t>4.1.2</w:t>
            </w:r>
            <w:r>
              <w:rPr>
                <w:rFonts w:hint="eastAsia"/>
                <w:sz w:val="24"/>
                <w:lang w:eastAsia="zh-Hans"/>
              </w:rPr>
              <w:t>条</w:t>
            </w:r>
          </w:p>
        </w:tc>
        <w:tc>
          <w:tcPr>
            <w:tcW w:w="3969"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1701" w:type="dxa"/>
          </w:tcPr>
          <w:p>
            <w:pPr>
              <w:pStyle w:val="84"/>
              <w:spacing w:line="360" w:lineRule="auto"/>
              <w:rPr>
                <w:sz w:val="24"/>
                <w:lang w:eastAsia="zh-Hans"/>
              </w:rPr>
            </w:pPr>
            <w:r>
              <w:rPr>
                <w:sz w:val="24"/>
                <w:lang w:eastAsia="zh-Hans"/>
              </w:rPr>
              <w:t>4.1.6</w:t>
            </w:r>
            <w:r>
              <w:rPr>
                <w:rFonts w:hint="eastAsia"/>
                <w:sz w:val="24"/>
                <w:lang w:eastAsia="zh-Hans"/>
              </w:rPr>
              <w:t>条</w:t>
            </w:r>
          </w:p>
        </w:tc>
        <w:tc>
          <w:tcPr>
            <w:tcW w:w="3969"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设计人员根据项目的规划批复文件（建设工程规划许可证、建设用地规划许可证）、总平面设计图、</w:t>
            </w:r>
            <w:r>
              <w:rPr>
                <w:rFonts w:hint="eastAsia"/>
                <w:sz w:val="24"/>
                <w:lang w:eastAsia="zh-Hans"/>
              </w:rPr>
              <w:t>日照</w:t>
            </w:r>
            <w:r>
              <w:rPr>
                <w:rFonts w:hint="eastAsia"/>
                <w:sz w:val="24"/>
              </w:rPr>
              <w:t>模拟</w:t>
            </w:r>
            <w:r>
              <w:rPr>
                <w:rFonts w:hint="eastAsia"/>
                <w:sz w:val="24"/>
                <w:lang w:eastAsia="zh-Hans"/>
              </w:rPr>
              <w:t>分析报告</w:t>
            </w:r>
            <w:r>
              <w:rPr>
                <w:rFonts w:hint="eastAsia"/>
                <w:sz w:val="24"/>
              </w:rPr>
              <w:t>（注明遮挡建筑和被遮挡建筑），</w:t>
            </w:r>
            <w:r>
              <w:rPr>
                <w:rFonts w:hint="eastAsia"/>
                <w:sz w:val="24"/>
                <w:lang w:eastAsia="zh-Hans"/>
              </w:rPr>
              <w:t>依据项目实际情况分析是否满足规划要求和日照标准。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《城乡规划法》第二条明确：“本法所称城乡规划，包括 城镇体系规划、城市规划、镇规划、乡规划和村庄规划”；第四十 二条规定：“城市规划主管部门不得在城乡规划确定的建设用地范 围以外作出规划许可”。因此，任何建设项目的规划设计必须符合所在地的城乡规划。</w:t>
            </w:r>
          </w:p>
          <w:p>
            <w:pPr>
              <w:pStyle w:val="84"/>
              <w:spacing w:line="360" w:lineRule="auto"/>
              <w:ind w:firstLine="480" w:firstLineChars="200"/>
              <w:jc w:val="left"/>
              <w:rPr>
                <w:sz w:val="24"/>
                <w:lang w:eastAsia="zh-Hans"/>
              </w:rPr>
            </w:pPr>
            <w:r>
              <w:rPr>
                <w:rFonts w:hint="eastAsia"/>
                <w:sz w:val="24"/>
                <w:lang w:eastAsia="zh-Hans"/>
              </w:rPr>
              <w:t>场地资源包括自然资源、生物资源、市政基础设施和公共</w:t>
            </w:r>
            <w:r>
              <w:rPr>
                <w:sz w:val="24"/>
                <w:lang w:eastAsia="zh-Hans"/>
              </w:rPr>
              <w:t xml:space="preserve"> </w:t>
            </w:r>
            <w:r>
              <w:rPr>
                <w:rFonts w:hint="eastAsia"/>
                <w:sz w:val="24"/>
                <w:lang w:eastAsia="zh-Hans"/>
              </w:rPr>
              <w:t>服务设施等。自然资源包括地形地貌、地表水体、表层土壤、雨水、地下水、地下空间等。环境承载力是指在某一时空条件下，</w:t>
            </w:r>
            <w:r>
              <w:rPr>
                <w:sz w:val="24"/>
                <w:lang w:eastAsia="zh-Hans"/>
              </w:rPr>
              <w:t xml:space="preserve"> </w:t>
            </w:r>
            <w:r>
              <w:rPr>
                <w:rFonts w:hint="eastAsia"/>
                <w:sz w:val="24"/>
                <w:lang w:eastAsia="zh-Hans"/>
              </w:rPr>
              <w:t>区域生态系统所能承受的人类活动的阈值。场地资源利用强度应小于或等于环境承载力。土地的不合理利用导致土地资源的浪费，为了促进土地资源的节约和集约利用，鼓励提高场地的空间利用效率，可采取适当开发地下空间、充分利用绿地等开放空间滞蓄、渗透和净化雨水等方式，提高土地空间利用效率。浙江省的可建设用地中，低丘缓坡占一定的比例，在此类用地的开发建设中，应对地形地貌的保护给予充分的重视。</w:t>
            </w:r>
          </w:p>
          <w:p>
            <w:pPr>
              <w:pStyle w:val="84"/>
              <w:spacing w:line="360" w:lineRule="auto"/>
              <w:ind w:firstLine="480" w:firstLineChars="200"/>
              <w:jc w:val="left"/>
              <w:rPr>
                <w:sz w:val="24"/>
                <w:lang w:eastAsia="zh-Hans"/>
              </w:rPr>
            </w:pPr>
            <w:r>
              <w:rPr>
                <w:rFonts w:hint="eastAsia"/>
                <w:sz w:val="24"/>
                <w:lang w:eastAsia="zh-Hans"/>
              </w:rPr>
              <w:t>建筑室内的空气质量与日照环境密切相关，日照环境直接影响居住者身心健康和居住生活质量。我国对居住建筑以及幼儿园、医院、疗养院等公共建筑都制定有相应的国家标准或行业标准，对其日照、消防、防灾、视觉卫生等提出了相应的技术要求，直接影响着建筑布局、间距和设计。</w:t>
            </w:r>
            <w:r>
              <w:rPr>
                <w:sz w:val="24"/>
                <w:lang w:eastAsia="zh-Hans"/>
              </w:rPr>
              <w:t xml:space="preserve"> </w:t>
            </w:r>
            <w:r>
              <w:rPr>
                <w:rFonts w:hint="eastAsia"/>
                <w:sz w:val="24"/>
                <w:lang w:eastAsia="zh-Hans"/>
              </w:rPr>
              <w:t>“建筑规划布局应符合国家和地方现行日照标准的规定”包括两个方面：</w:t>
            </w:r>
            <w:r>
              <w:rPr>
                <w:sz w:val="24"/>
                <w:lang w:eastAsia="zh-Hans"/>
              </w:rPr>
              <w:t xml:space="preserve"> </w:t>
            </w:r>
            <w:r>
              <w:rPr>
                <w:rFonts w:hint="eastAsia"/>
                <w:sz w:val="24"/>
                <w:lang w:eastAsia="zh-Hans"/>
              </w:rPr>
              <w:t>首先，要求本项目所有建筑都满足有关日照标准。其次，还应兼顾周边，如周边建筑在本项目建设前满足日照</w:t>
            </w:r>
            <w:r>
              <w:rPr>
                <w:sz w:val="24"/>
                <w:lang w:eastAsia="zh-Hans"/>
              </w:rPr>
              <w:t xml:space="preserve"> </w:t>
            </w:r>
            <w:r>
              <w:rPr>
                <w:rFonts w:hint="eastAsia"/>
                <w:sz w:val="24"/>
                <w:lang w:eastAsia="zh-Hans"/>
              </w:rPr>
              <w:t>标准的，应保证其在本项目建设后仍符合相关日照标准的要求；如周边建筑在本项目建设前未满足日照标准的，本项目建设后不</w:t>
            </w:r>
            <w:r>
              <w:rPr>
                <w:sz w:val="24"/>
                <w:lang w:eastAsia="zh-Hans"/>
              </w:rPr>
              <w:t xml:space="preserve"> </w:t>
            </w:r>
            <w:r>
              <w:rPr>
                <w:rFonts w:hint="eastAsia"/>
                <w:sz w:val="24"/>
                <w:lang w:eastAsia="zh-Hans"/>
              </w:rPr>
              <w:t>可再降低其原有的日照水平。</w:t>
            </w:r>
          </w:p>
        </w:tc>
      </w:tr>
    </w:tbl>
    <w:p>
      <w:pPr>
        <w:pStyle w:val="17"/>
        <w:spacing w:line="360" w:lineRule="auto"/>
        <w:rPr>
          <w:rFonts w:asciiTheme="minorEastAsia" w:hAnsiTheme="minorEastAsia" w:eastAsiaTheme="minorEastAsia"/>
          <w:sz w:val="24"/>
        </w:rPr>
      </w:pPr>
    </w:p>
    <w:p>
      <w:pPr>
        <w:pStyle w:val="17"/>
        <w:spacing w:line="360" w:lineRule="auto"/>
        <w:rPr>
          <w:rFonts w:asciiTheme="minorEastAsia" w:hAnsiTheme="minorEastAsia" w:eastAsiaTheme="minorEastAsia"/>
          <w:sz w:val="24"/>
        </w:rPr>
      </w:pPr>
      <w:r>
        <w:rPr>
          <w:rFonts w:hint="eastAsia" w:asciiTheme="minorEastAsia" w:hAnsiTheme="minorEastAsia" w:eastAsiaTheme="minorEastAsia"/>
          <w:sz w:val="24"/>
        </w:rPr>
        <w:t>2.场地避开滑坡、泥石流等地质危险地段、避开不利于建筑抗震和容易产生风切变的地段，易发生洪涝地区有可靠的防洪涝基础设施；场地无危险化学品、易燃易爆危险源的威胁，无电磁辐射、含氡土壤的危害；场地内无排放超标的污染源。</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305" w:type="dxa"/>
            <w:vMerge w:val="restart"/>
          </w:tcPr>
          <w:p>
            <w:pPr>
              <w:pStyle w:val="84"/>
              <w:spacing w:line="360" w:lineRule="auto"/>
              <w:rPr>
                <w:sz w:val="24"/>
              </w:rPr>
            </w:pPr>
            <w:r>
              <w:rPr>
                <w:rFonts w:hint="eastAsia"/>
                <w:sz w:val="24"/>
              </w:rPr>
              <w:t>GB/T 50378-201</w:t>
            </w:r>
            <w:r>
              <w:rPr>
                <w:sz w:val="24"/>
              </w:rPr>
              <w:t>9</w:t>
            </w:r>
          </w:p>
        </w:tc>
        <w:tc>
          <w:tcPr>
            <w:tcW w:w="1843" w:type="dxa"/>
          </w:tcPr>
          <w:p>
            <w:pPr>
              <w:pStyle w:val="84"/>
              <w:spacing w:line="360" w:lineRule="auto"/>
              <w:rPr>
                <w:sz w:val="24"/>
              </w:rPr>
            </w:pPr>
            <w:r>
              <w:rPr>
                <w:sz w:val="24"/>
              </w:rPr>
              <w:t>4.1.1</w:t>
            </w:r>
            <w:r>
              <w:rPr>
                <w:rFonts w:hint="eastAsia"/>
                <w:sz w:val="24"/>
              </w:rPr>
              <w:t xml:space="preserve">条 </w:t>
            </w:r>
          </w:p>
        </w:tc>
        <w:tc>
          <w:tcPr>
            <w:tcW w:w="3969" w:type="dxa"/>
            <w:vMerge w:val="restart"/>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305" w:type="dxa"/>
            <w:vMerge w:val="continue"/>
          </w:tcPr>
          <w:p>
            <w:pPr>
              <w:pStyle w:val="84"/>
              <w:spacing w:line="360" w:lineRule="auto"/>
              <w:rPr>
                <w:sz w:val="24"/>
              </w:rPr>
            </w:pPr>
          </w:p>
        </w:tc>
        <w:tc>
          <w:tcPr>
            <w:tcW w:w="1843" w:type="dxa"/>
          </w:tcPr>
          <w:p>
            <w:pPr>
              <w:pStyle w:val="84"/>
              <w:spacing w:line="360" w:lineRule="auto"/>
              <w:rPr>
                <w:sz w:val="24"/>
              </w:rPr>
            </w:pPr>
            <w:r>
              <w:rPr>
                <w:sz w:val="24"/>
              </w:rPr>
              <w:t>8.1.6</w:t>
            </w:r>
            <w:r>
              <w:rPr>
                <w:rFonts w:hint="eastAsia"/>
                <w:sz w:val="24"/>
                <w:lang w:eastAsia="zh-Hans"/>
              </w:rPr>
              <w:t>条</w:t>
            </w:r>
          </w:p>
        </w:tc>
        <w:tc>
          <w:tcPr>
            <w:tcW w:w="3969"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305" w:type="dxa"/>
            <w:vMerge w:val="restart"/>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843" w:type="dxa"/>
          </w:tcPr>
          <w:p>
            <w:pPr>
              <w:pStyle w:val="84"/>
              <w:spacing w:line="360" w:lineRule="auto"/>
              <w:rPr>
                <w:sz w:val="24"/>
                <w:lang w:eastAsia="zh-Hans"/>
              </w:rPr>
            </w:pPr>
            <w:r>
              <w:rPr>
                <w:rFonts w:hint="eastAsia"/>
                <w:sz w:val="24"/>
              </w:rPr>
              <w:t>4.1.</w:t>
            </w:r>
            <w:r>
              <w:rPr>
                <w:sz w:val="24"/>
              </w:rPr>
              <w:t>7</w:t>
            </w:r>
            <w:r>
              <w:rPr>
                <w:rFonts w:hint="eastAsia"/>
                <w:sz w:val="24"/>
              </w:rPr>
              <w:t>条</w:t>
            </w:r>
          </w:p>
        </w:tc>
        <w:tc>
          <w:tcPr>
            <w:tcW w:w="3969"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305" w:type="dxa"/>
            <w:vMerge w:val="continue"/>
          </w:tcPr>
          <w:p>
            <w:pPr>
              <w:pStyle w:val="84"/>
              <w:spacing w:line="360" w:lineRule="auto"/>
              <w:rPr>
                <w:sz w:val="24"/>
              </w:rPr>
            </w:pPr>
          </w:p>
        </w:tc>
        <w:tc>
          <w:tcPr>
            <w:tcW w:w="1843" w:type="dxa"/>
          </w:tcPr>
          <w:p>
            <w:pPr>
              <w:pStyle w:val="84"/>
              <w:spacing w:line="360" w:lineRule="auto"/>
              <w:rPr>
                <w:sz w:val="24"/>
              </w:rPr>
            </w:pPr>
            <w:r>
              <w:rPr>
                <w:sz w:val="24"/>
              </w:rPr>
              <w:t>4.2.13</w:t>
            </w:r>
            <w:r>
              <w:rPr>
                <w:rFonts w:hint="eastAsia"/>
                <w:sz w:val="24"/>
                <w:lang w:eastAsia="zh-Hans"/>
              </w:rPr>
              <w:t>条</w:t>
            </w:r>
            <w:r>
              <w:rPr>
                <w:sz w:val="24"/>
              </w:rPr>
              <w:t>-1</w:t>
            </w:r>
          </w:p>
        </w:tc>
        <w:tc>
          <w:tcPr>
            <w:tcW w:w="3969" w:type="dxa"/>
          </w:tcPr>
          <w:p>
            <w:pPr>
              <w:pStyle w:val="84"/>
              <w:spacing w:line="360" w:lineRule="auto"/>
              <w:rPr>
                <w:sz w:val="24"/>
                <w:lang w:eastAsia="zh-Hans"/>
              </w:rPr>
            </w:pPr>
            <w:r>
              <w:rPr>
                <w:rFonts w:hint="eastAsia"/>
                <w:sz w:val="24"/>
                <w:lang w:eastAsia="zh-Hans"/>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设计人员根据项目区位图、场地地形图、勘察报告、环评报告、相关检测报告或论证报告</w:t>
            </w:r>
            <w:r>
              <w:rPr>
                <w:rFonts w:hint="eastAsia"/>
                <w:sz w:val="24"/>
                <w:lang w:eastAsia="zh-Hans"/>
              </w:rPr>
              <w:t>，治理措施分析报告，确保场地符合各项安全标准。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场地的防洪设计应符合现行国家标准《防洪标准》GB 50201及《城市防洪工程设计规范》GB/T 50805的规定；抗震防灾设计应符合现行国家标准《城市抗震防灾规划标准》GB 50413及《建 筑抗震设计规范》GB 50011的要求。风切变（Wind Shear）简单的定义是空间任意两点之间风向和风速的突然变化，属于气象学范畴的一种大气现象。除了大气运动本身的变化所造成的风切变外，地理、环境因素也容易造成 风切变，或由两者综合而成。这里的地理、环境因素主要是指山地地形、水陆界面、高大建筑物、成片树林以及其他自然的和人为的因素，这些因素也能引起风切变现象。风切变状况与当时的 盛行风状况（方向和大小）有关，也与山地地形的大小和复杂程度、场地迎风背风位置、水面的大小以及建筑场地离水面的距离、 建筑物的大小和外形等有关。一般当山地高差大、水域面积大、 建筑物高大时，不仅容易产生风切变，而且其强度也较大。</w:t>
            </w:r>
          </w:p>
          <w:p>
            <w:pPr>
              <w:pStyle w:val="84"/>
              <w:spacing w:line="360" w:lineRule="auto"/>
              <w:ind w:firstLine="480" w:firstLineChars="200"/>
              <w:jc w:val="left"/>
              <w:rPr>
                <w:sz w:val="24"/>
                <w:lang w:eastAsia="zh-Hans"/>
              </w:rPr>
            </w:pPr>
            <w:r>
              <w:rPr>
                <w:rFonts w:hint="eastAsia"/>
                <w:sz w:val="24"/>
                <w:lang w:eastAsia="zh-Hans"/>
              </w:rPr>
              <w:t>建筑场地内不应存在未达标排放或者超标排放的气态、</w:t>
            </w:r>
            <w:r>
              <w:rPr>
                <w:sz w:val="24"/>
                <w:lang w:eastAsia="zh-Hans"/>
              </w:rPr>
              <w:t xml:space="preserve"> </w:t>
            </w:r>
            <w:r>
              <w:rPr>
                <w:rFonts w:hint="eastAsia"/>
                <w:sz w:val="24"/>
                <w:lang w:eastAsia="zh-Hans"/>
              </w:rPr>
              <w:t>液态或固态的污染源，例如：易产生噪声的运动和营业场所，油烟未达标排放的厨房，煤气或工业废气超标排放的燃煤锅炉房，</w:t>
            </w:r>
            <w:r>
              <w:rPr>
                <w:sz w:val="24"/>
                <w:lang w:eastAsia="zh-Hans"/>
              </w:rPr>
              <w:t xml:space="preserve"> </w:t>
            </w:r>
            <w:r>
              <w:rPr>
                <w:rFonts w:hint="eastAsia"/>
                <w:sz w:val="24"/>
                <w:lang w:eastAsia="zh-Hans"/>
              </w:rPr>
              <w:t>污染物排放超标的垃圾堆等。若有污染源应积极采取相应的治理措施并达到无超标污染物排放的要求。</w:t>
            </w:r>
          </w:p>
        </w:tc>
      </w:tr>
    </w:tbl>
    <w:p>
      <w:pPr>
        <w:pStyle w:val="17"/>
        <w:spacing w:line="360" w:lineRule="auto"/>
        <w:ind w:firstLine="482"/>
        <w:rPr>
          <w:rFonts w:asciiTheme="minorEastAsia" w:hAnsiTheme="minorEastAsia" w:eastAsiaTheme="minorEastAsia"/>
          <w:b/>
          <w:sz w:val="24"/>
        </w:rPr>
      </w:pPr>
      <w:r>
        <w:rPr>
          <w:rFonts w:hint="eastAsia" w:asciiTheme="minorEastAsia" w:hAnsiTheme="minorEastAsia" w:eastAsiaTheme="minorEastAsia"/>
          <w:b/>
          <w:sz w:val="24"/>
        </w:rPr>
        <w:t>一般</w:t>
      </w:r>
      <w:r>
        <w:rPr>
          <w:rFonts w:hint="eastAsia" w:asciiTheme="minorEastAsia" w:hAnsiTheme="minorEastAsia" w:eastAsiaTheme="minorEastAsia"/>
          <w:b/>
          <w:sz w:val="24"/>
          <w:lang w:val="en-GB"/>
        </w:rPr>
        <w:t>项内容：</w:t>
      </w:r>
    </w:p>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 场地</w:t>
      </w:r>
      <w:r>
        <w:rPr>
          <w:rFonts w:hint="eastAsia" w:asciiTheme="minorEastAsia" w:hAnsiTheme="minorEastAsia" w:eastAsiaTheme="minorEastAsia"/>
          <w:b/>
          <w:sz w:val="24"/>
        </w:rPr>
        <w:t>规划与资源利用：</w:t>
      </w:r>
    </w:p>
    <w:p>
      <w:pPr>
        <w:pStyle w:val="88"/>
        <w:numPr>
          <w:ilvl w:val="0"/>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asciiTheme="minorEastAsia" w:hAnsiTheme="minorEastAsia" w:eastAsiaTheme="minorEastAsia"/>
          <w:sz w:val="24"/>
          <w:szCs w:val="24"/>
        </w:rPr>
        <w:t>.</w:t>
      </w:r>
      <w:r>
        <w:rPr>
          <w:rFonts w:hint="eastAsia" w:asciiTheme="minorEastAsia" w:hAnsiTheme="minorEastAsia" w:eastAsiaTheme="minorEastAsia"/>
          <w:sz w:val="24"/>
          <w:szCs w:val="24"/>
        </w:rPr>
        <w:t>1建筑物的布局、形式、高度、体量、色调未对周边物理环境造成不良影响；总平面设计考虑室外环境质量，优化建筑布局并进行场地环境生态补偿。</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447" w:type="dxa"/>
          </w:tcPr>
          <w:p>
            <w:pPr>
              <w:pStyle w:val="84"/>
              <w:spacing w:line="360" w:lineRule="auto"/>
              <w:rPr>
                <w:sz w:val="24"/>
              </w:rPr>
            </w:pPr>
            <w:r>
              <w:rPr>
                <w:rFonts w:hint="eastAsia"/>
                <w:sz w:val="24"/>
              </w:rPr>
              <w:t>GB/T 50378-201</w:t>
            </w:r>
            <w:r>
              <w:rPr>
                <w:sz w:val="24"/>
              </w:rPr>
              <w:t>9</w:t>
            </w:r>
          </w:p>
        </w:tc>
        <w:tc>
          <w:tcPr>
            <w:tcW w:w="1843" w:type="dxa"/>
          </w:tcPr>
          <w:p>
            <w:pPr>
              <w:pStyle w:val="84"/>
              <w:spacing w:line="360" w:lineRule="auto"/>
              <w:rPr>
                <w:sz w:val="24"/>
              </w:rPr>
            </w:pPr>
            <w:r>
              <w:rPr>
                <w:sz w:val="24"/>
              </w:rPr>
              <w:t>1.0.4</w:t>
            </w:r>
            <w:r>
              <w:rPr>
                <w:rFonts w:hint="eastAsia"/>
                <w:sz w:val="24"/>
              </w:rPr>
              <w:t xml:space="preserve">条 </w:t>
            </w:r>
          </w:p>
        </w:tc>
        <w:tc>
          <w:tcPr>
            <w:tcW w:w="3827" w:type="dxa"/>
          </w:tcPr>
          <w:p>
            <w:pPr>
              <w:pStyle w:val="84"/>
              <w:spacing w:line="360" w:lineRule="auto"/>
              <w:rPr>
                <w:sz w:val="24"/>
              </w:rPr>
            </w:pPr>
            <w:r>
              <w:rPr>
                <w:rFonts w:hint="eastAsia"/>
                <w:sz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1347" w:type="dxa"/>
            <w:vMerge w:val="continue"/>
          </w:tcPr>
          <w:p>
            <w:pPr>
              <w:pStyle w:val="84"/>
              <w:spacing w:line="360" w:lineRule="auto"/>
              <w:rPr>
                <w:sz w:val="24"/>
              </w:rPr>
            </w:pPr>
          </w:p>
        </w:tc>
        <w:tc>
          <w:tcPr>
            <w:tcW w:w="2447" w:type="dxa"/>
            <w:vMerge w:val="restart"/>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843" w:type="dxa"/>
          </w:tcPr>
          <w:p>
            <w:pPr>
              <w:pStyle w:val="84"/>
              <w:spacing w:line="360" w:lineRule="auto"/>
              <w:rPr>
                <w:sz w:val="24"/>
              </w:rPr>
            </w:pPr>
            <w:r>
              <w:rPr>
                <w:rFonts w:hint="eastAsia"/>
                <w:sz w:val="24"/>
              </w:rPr>
              <w:t>4.1.</w:t>
            </w:r>
            <w:r>
              <w:rPr>
                <w:sz w:val="24"/>
              </w:rPr>
              <w:t>4</w:t>
            </w:r>
            <w:r>
              <w:rPr>
                <w:rFonts w:hint="eastAsia"/>
                <w:sz w:val="24"/>
              </w:rPr>
              <w:t>条</w:t>
            </w:r>
          </w:p>
        </w:tc>
        <w:tc>
          <w:tcPr>
            <w:tcW w:w="3827" w:type="dxa"/>
            <w:vMerge w:val="restart"/>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1843" w:type="dxa"/>
          </w:tcPr>
          <w:p>
            <w:pPr>
              <w:pStyle w:val="84"/>
              <w:spacing w:line="360" w:lineRule="auto"/>
              <w:rPr>
                <w:sz w:val="24"/>
              </w:rPr>
            </w:pPr>
            <w:r>
              <w:rPr>
                <w:sz w:val="24"/>
              </w:rPr>
              <w:t>4.1.5</w:t>
            </w:r>
            <w:r>
              <w:rPr>
                <w:rFonts w:hint="eastAsia"/>
                <w:sz w:val="24"/>
                <w:lang w:eastAsia="zh-Hans"/>
              </w:rPr>
              <w:t>条</w:t>
            </w:r>
          </w:p>
        </w:tc>
        <w:tc>
          <w:tcPr>
            <w:tcW w:w="3827"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项目的规划条件、周边用地现状图、建筑专业施工图、效果图，依据项目实际情况是否对周边物理环境有良影响，当有造成不良影响的情况时，应对采取的补偿措施进行阐述。如有幕墙设计的，则需根据幕墙专业设计图纸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当建筑施工图有幕墙设计而未同步出图时，应在建筑施工图总说明中对玻璃幕墙反射比、立面窗墙比等控制数据阐述。</w:t>
            </w:r>
          </w:p>
          <w:p>
            <w:pPr>
              <w:pStyle w:val="84"/>
              <w:spacing w:line="360" w:lineRule="auto"/>
              <w:ind w:firstLine="480" w:firstLineChars="200"/>
              <w:jc w:val="left"/>
              <w:rPr>
                <w:sz w:val="24"/>
              </w:rPr>
            </w:pPr>
            <w:r>
              <w:rPr>
                <w:rFonts w:hint="eastAsia"/>
                <w:sz w:val="24"/>
              </w:rPr>
              <w:t>建筑应当扎根于当地传统和文化。绿色建筑重视场地周边的文化传统与居民的生活模式，形态、尺度、色彩及空间层次方面充分考虑到周边文化传统与社交模式，并有利于社区文化的形成。建筑与场地元素形态上避免过于突兀，尺度适宜，注重质感与细部，空间层次上创造多样性与有效联系。同时，提倡项目规划纳入周围居民与社会团体的意见。</w:t>
            </w:r>
          </w:p>
          <w:p>
            <w:pPr>
              <w:pStyle w:val="84"/>
              <w:spacing w:line="360" w:lineRule="auto"/>
              <w:ind w:firstLine="480" w:firstLineChars="200"/>
              <w:jc w:val="left"/>
              <w:rPr>
                <w:sz w:val="24"/>
              </w:rPr>
            </w:pPr>
            <w:r>
              <w:rPr>
                <w:rFonts w:hint="eastAsia"/>
                <w:sz w:val="24"/>
              </w:rPr>
              <w:t>建筑物布局应与场地周围环境与城市空间肌理相协调，并创造积极的外部空间：当场地内有重要遗迹或自然景观时，应精心配置与之协调的建筑。建筑物的形态应与周边建筑群天际线相协调；从尺度、材料、色彩、组织结构及空间层次等方面人手，把外部空间当作无顶建筑来设计；采用对比手法时应审慎；建筑物的形态应与道路等公共空间相协调，面向主要街道的立面避免具有明显背立面特征；设计半室外空间或过渡空间使建筑与外部环境有效连接，有利于缓解环境对心理造成的冲击；优化建筑距离与高度的比值，创造具有适宜围合度和尺度感的外部空间；考虑从周边眺望点观看时的建筑视觉感；当屋顶设有突出建筑物的大型设备时，应考虑周围观看点处的建筑视觉感；公共空地、外部设施与临近空地之间应具有连续性，应考虑在不同季节、气候使用的方便和舒适性。</w:t>
            </w:r>
          </w:p>
          <w:p>
            <w:pPr>
              <w:pStyle w:val="84"/>
              <w:spacing w:line="360" w:lineRule="auto"/>
              <w:ind w:firstLine="480" w:firstLineChars="200"/>
              <w:jc w:val="left"/>
              <w:rPr>
                <w:sz w:val="24"/>
                <w:lang w:eastAsia="zh-Hans"/>
              </w:rPr>
            </w:pPr>
            <w:r>
              <w:rPr>
                <w:rFonts w:hint="eastAsia"/>
                <w:sz w:val="24"/>
                <w:lang w:eastAsia="zh-Hans"/>
              </w:rPr>
              <w:t>场地规划应考虑建筑布局对室外风、光、热、声、水环境和场地内外动植物等环境因素的影响，考虑建筑周围及建筑与建筑之间的自然环境、人工环境的综合设计布局，考虑场地开发活动对当地生态系统的影响。</w:t>
            </w:r>
            <w:r>
              <w:rPr>
                <w:sz w:val="24"/>
                <w:lang w:eastAsia="zh-Hans"/>
              </w:rPr>
              <w:t xml:space="preserve"> </w:t>
            </w:r>
            <w:r>
              <w:rPr>
                <w:rFonts w:hint="eastAsia"/>
                <w:sz w:val="24"/>
                <w:lang w:eastAsia="zh-Hans"/>
              </w:rPr>
              <w:t>生态补偿是指对场地整体生态环境进行改造、恢复和建设，以弥补开发活动引起的不可避免的环境变化影响。室外环境的生态补偿重点是改造、恢复场地自然环境，通过采取植物补偿等措施，改善环境质量，减少自然生态系统对人工干预的依赖，逐步恢复系统自身的调节功能并保持系统的健康稳定，保证人工-自然复合生态系统的良性发展。</w:t>
            </w:r>
          </w:p>
        </w:tc>
      </w:tr>
    </w:tbl>
    <w:p>
      <w:pPr>
        <w:pStyle w:val="88"/>
        <w:numPr>
          <w:ilvl w:val="0"/>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asciiTheme="minorEastAsia" w:hAnsiTheme="minorEastAsia" w:eastAsiaTheme="minorEastAsia"/>
          <w:sz w:val="24"/>
          <w:szCs w:val="24"/>
        </w:rPr>
        <w:t>.</w:t>
      </w:r>
      <w:r>
        <w:rPr>
          <w:rFonts w:hint="eastAsia" w:asciiTheme="minorEastAsia" w:hAnsiTheme="minorEastAsia" w:eastAsiaTheme="minorEastAsia"/>
          <w:sz w:val="24"/>
          <w:szCs w:val="24"/>
        </w:rPr>
        <w:t>2生活垃圾分类收集，垃圾容器和收集点的设置合理并与周围景观协调；</w:t>
      </w:r>
      <w:r>
        <w:rPr>
          <w:rFonts w:asciiTheme="minorEastAsia" w:hAnsiTheme="minorEastAsia" w:eastAsiaTheme="minorEastAsia"/>
          <w:sz w:val="24"/>
          <w:szCs w:val="24"/>
        </w:rPr>
        <w:t xml:space="preserve"> </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rFonts w:hint="eastAsia"/>
                <w:sz w:val="24"/>
              </w:rPr>
              <w:t>8</w:t>
            </w:r>
            <w:r>
              <w:rPr>
                <w:sz w:val="24"/>
              </w:rPr>
              <w:t>.1.7</w:t>
            </w:r>
            <w:r>
              <w:rPr>
                <w:rFonts w:hint="eastAsia"/>
                <w:sz w:val="24"/>
              </w:rPr>
              <w:t xml:space="preserve">条 </w:t>
            </w:r>
          </w:p>
        </w:tc>
        <w:tc>
          <w:tcPr>
            <w:tcW w:w="4431"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rFonts w:hint="eastAsia"/>
                <w:sz w:val="24"/>
              </w:rPr>
              <w:t>4.</w:t>
            </w:r>
            <w:r>
              <w:rPr>
                <w:sz w:val="24"/>
              </w:rPr>
              <w:t>2.14</w:t>
            </w:r>
            <w:r>
              <w:rPr>
                <w:rFonts w:hint="eastAsia"/>
                <w:sz w:val="24"/>
              </w:rPr>
              <w:t>条</w:t>
            </w:r>
          </w:p>
        </w:tc>
        <w:tc>
          <w:tcPr>
            <w:tcW w:w="4431"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设计人员根据相关设计文件、垃圾收集设施布置图，以及根据实际情况，填写此项内容。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sz w:val="24"/>
              </w:rPr>
              <w:t>场地设计时应根据垃圾产生量和种类合理设置垃圾分类收集设 施，其中有害垃圾必须单独收集、单独清运。垃圾收集设施规格和位 置应符合国家有关标准的规定，其数量、外观色彩及标志应符合垃圾 分类收集的要求，并置于隐蔽、避风处，与周围景观相协调。垃圾收集设施应坚固耐用，防止垃圾无序倾倒和露天堆放。 同时，在垃圾容器和收集点布置时，重视垃圾容器和收集点的环 境卫生与景观美化问题，做到密闭并相对位置固定，如果按规划需配 垃圾收集站，应能具备定期冲洗，消杀条件，并能及时做到密闭清运。</w:t>
            </w:r>
          </w:p>
        </w:tc>
      </w:tr>
    </w:tbl>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 xml:space="preserve">.3 </w:t>
      </w:r>
      <w:r>
        <w:rPr>
          <w:rFonts w:hint="eastAsia" w:asciiTheme="minorEastAsia" w:hAnsiTheme="minorEastAsia" w:eastAsiaTheme="minorEastAsia"/>
          <w:sz w:val="24"/>
        </w:rPr>
        <w:t>利用场地内的可再生能源及类型；</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sz w:val="24"/>
              </w:rPr>
              <w:t>7.2.9</w:t>
            </w:r>
            <w:r>
              <w:rPr>
                <w:rFonts w:hint="eastAsia"/>
                <w:sz w:val="24"/>
              </w:rPr>
              <w:t xml:space="preserve">条 </w:t>
            </w:r>
          </w:p>
        </w:tc>
        <w:tc>
          <w:tcPr>
            <w:tcW w:w="4431" w:type="dxa"/>
          </w:tcPr>
          <w:p>
            <w:pPr>
              <w:pStyle w:val="84"/>
              <w:spacing w:line="360" w:lineRule="auto"/>
              <w:rPr>
                <w:sz w:val="24"/>
              </w:rPr>
            </w:pPr>
            <w:r>
              <w:rPr>
                <w:rFonts w:hint="eastAsia"/>
                <w:sz w:val="24"/>
              </w:rPr>
              <w:t>1</w:t>
            </w:r>
            <w:r>
              <w:rPr>
                <w:sz w:val="24"/>
              </w:rPr>
              <w:t>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rFonts w:hint="eastAsia"/>
                <w:sz w:val="24"/>
              </w:rPr>
              <w:t>4.</w:t>
            </w:r>
            <w:r>
              <w:rPr>
                <w:sz w:val="24"/>
              </w:rPr>
              <w:t>2.5</w:t>
            </w:r>
            <w:r>
              <w:rPr>
                <w:rFonts w:hint="eastAsia"/>
                <w:sz w:val="24"/>
              </w:rPr>
              <w:t>条</w:t>
            </w:r>
          </w:p>
        </w:tc>
        <w:tc>
          <w:tcPr>
            <w:tcW w:w="4431"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设计人员根据可再生能源利用专项施工图、专项计算分析报告等；各设备专业的施工图；节能评估报告相关内容等，以及根据实际情况，填写此项内容。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sz w:val="24"/>
              </w:rPr>
              <w:t>应对场地可利用的可再生能源进行勘查，包括太阳能、风能、地 下水、地源能等。应对资源分布状况和资源利用进行技术经济评价为</w:t>
            </w:r>
            <w:r>
              <w:rPr>
                <w:rFonts w:hint="eastAsia"/>
                <w:sz w:val="24"/>
              </w:rPr>
              <w:t>，</w:t>
            </w:r>
            <w:r>
              <w:rPr>
                <w:sz w:val="24"/>
              </w:rPr>
              <w:t>充分利用可再生能源提供依据。利用地下水应通过政府相关部门的审批，应保持原有地下水的形 态和流向，不得过量使用地下水，避免造成地下水位下降或场地沉降。场地建筑规划设计，不仅应符合现行国家相关的日照标准要求，还应为太阳能热利用、光伏发电和光诱导提供有利条件。太阳能利用 应防止建筑物的相互遮挡、自遮挡、局部热环境和集热板或电池板表面积灰等因素对利用效率的影响。应对太阳能资源利用的适应性、季节平衡等进行定量评估</w:t>
            </w:r>
            <w:r>
              <w:rPr>
                <w:rFonts w:hint="eastAsia"/>
                <w:sz w:val="24"/>
              </w:rPr>
              <w:t>。</w:t>
            </w:r>
            <w:r>
              <w:rPr>
                <w:sz w:val="24"/>
              </w:rPr>
              <w:t>利用风能发电时应进行风能利用评估，包括选择适宜的风能发电 技术、评估对场地及周边声环境和生物生存环境的影响等。</w:t>
            </w:r>
          </w:p>
        </w:tc>
      </w:tr>
    </w:tbl>
    <w:p>
      <w:pPr>
        <w:pStyle w:val="88"/>
        <w:numPr>
          <w:ilvl w:val="255"/>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1.4地下室：地下室层数；地下室面积；  </w:t>
      </w:r>
    </w:p>
    <w:p>
      <w:pPr>
        <w:pStyle w:val="88"/>
        <w:numPr>
          <w:ilvl w:val="0"/>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1.5地下空间开发利用指标；</w:t>
      </w:r>
      <w:r>
        <w:rPr>
          <w:rFonts w:asciiTheme="minorEastAsia" w:hAnsiTheme="minorEastAsia" w:eastAsiaTheme="minorEastAsia"/>
          <w:sz w:val="24"/>
          <w:szCs w:val="24"/>
        </w:rPr>
        <w:t xml:space="preserve"> </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022" w:type="dxa"/>
            <w:vMerge w:val="restart"/>
          </w:tcPr>
          <w:p>
            <w:pPr>
              <w:pStyle w:val="84"/>
              <w:spacing w:line="360" w:lineRule="auto"/>
              <w:rPr>
                <w:sz w:val="24"/>
              </w:rPr>
            </w:pPr>
            <w:r>
              <w:rPr>
                <w:rFonts w:hint="eastAsia"/>
                <w:sz w:val="24"/>
              </w:rPr>
              <w:t>GB/T 50378-201</w:t>
            </w:r>
            <w:r>
              <w:rPr>
                <w:sz w:val="24"/>
              </w:rPr>
              <w:t>9</w:t>
            </w:r>
          </w:p>
        </w:tc>
        <w:tc>
          <w:tcPr>
            <w:tcW w:w="1664" w:type="dxa"/>
            <w:vMerge w:val="restart"/>
          </w:tcPr>
          <w:p>
            <w:pPr>
              <w:pStyle w:val="84"/>
              <w:spacing w:line="360" w:lineRule="auto"/>
              <w:rPr>
                <w:sz w:val="24"/>
              </w:rPr>
            </w:pPr>
            <w:r>
              <w:rPr>
                <w:rFonts w:hint="eastAsia"/>
                <w:sz w:val="24"/>
              </w:rPr>
              <w:t>7</w:t>
            </w:r>
            <w:r>
              <w:rPr>
                <w:sz w:val="24"/>
              </w:rPr>
              <w:t>.2.2</w:t>
            </w:r>
            <w:r>
              <w:rPr>
                <w:rFonts w:hint="eastAsia"/>
                <w:sz w:val="24"/>
              </w:rPr>
              <w:t xml:space="preserve">条 </w:t>
            </w:r>
          </w:p>
        </w:tc>
        <w:tc>
          <w:tcPr>
            <w:tcW w:w="4431" w:type="dxa"/>
          </w:tcPr>
          <w:p>
            <w:pPr>
              <w:pStyle w:val="84"/>
              <w:spacing w:line="360" w:lineRule="auto"/>
              <w:rPr>
                <w:sz w:val="24"/>
              </w:rPr>
            </w:pPr>
            <w:r>
              <w:rPr>
                <w:sz w:val="24"/>
              </w:rPr>
              <w:t>R</w:t>
            </w:r>
            <w:r>
              <w:rPr>
                <w:rFonts w:hint="eastAsia"/>
                <w:sz w:val="24"/>
              </w:rPr>
              <w:t>p</w:t>
            </w:r>
            <w:r>
              <w:rPr>
                <w:sz w:val="24"/>
              </w:rPr>
              <w:t>1</w:t>
            </w:r>
            <w:r>
              <w:rPr>
                <w:rFonts w:hint="eastAsia"/>
                <w:sz w:val="24"/>
              </w:rPr>
              <w:t>≥</w:t>
            </w:r>
            <w:r>
              <w:rPr>
                <w:sz w:val="24"/>
              </w:rPr>
              <w:t>0.5</w:t>
            </w:r>
            <w:r>
              <w:rPr>
                <w:rFonts w:hint="eastAsia"/>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vMerge w:val="continue"/>
          </w:tcPr>
          <w:p>
            <w:pPr>
              <w:pStyle w:val="84"/>
              <w:spacing w:line="360" w:lineRule="auto"/>
              <w:rPr>
                <w:sz w:val="24"/>
              </w:rPr>
            </w:pPr>
          </w:p>
        </w:tc>
        <w:tc>
          <w:tcPr>
            <w:tcW w:w="4431" w:type="dxa"/>
          </w:tcPr>
          <w:p>
            <w:pPr>
              <w:pStyle w:val="84"/>
              <w:spacing w:line="360" w:lineRule="auto"/>
              <w:rPr>
                <w:sz w:val="24"/>
              </w:rPr>
            </w:pPr>
            <w:r>
              <w:rPr>
                <w:sz w:val="24"/>
              </w:rPr>
              <w:t>R</w:t>
            </w:r>
            <w:r>
              <w:rPr>
                <w:rFonts w:hint="eastAsia"/>
                <w:sz w:val="24"/>
              </w:rPr>
              <w:t>p</w:t>
            </w:r>
            <w:r>
              <w:rPr>
                <w:sz w:val="24"/>
              </w:rPr>
              <w:t>1</w:t>
            </w:r>
            <w:r>
              <w:rPr>
                <w:rFonts w:hint="eastAsia"/>
                <w:sz w:val="24"/>
              </w:rPr>
              <w:t>≥</w:t>
            </w:r>
            <w:r>
              <w:rPr>
                <w:sz w:val="24"/>
              </w:rPr>
              <w:t>0.7</w:t>
            </w:r>
            <w:r>
              <w:rPr>
                <w:rFonts w:hint="eastAsia"/>
                <w:sz w:val="24"/>
              </w:rPr>
              <w:t>且</w:t>
            </w:r>
            <w:r>
              <w:rPr>
                <w:sz w:val="24"/>
              </w:rPr>
              <w:t>R</w:t>
            </w:r>
            <w:r>
              <w:rPr>
                <w:rFonts w:hint="eastAsia"/>
                <w:sz w:val="24"/>
              </w:rPr>
              <w:t>p＜</w:t>
            </w:r>
            <w:r>
              <w:rPr>
                <w:sz w:val="24"/>
              </w:rPr>
              <w:t>70</w:t>
            </w:r>
            <w:r>
              <w:rPr>
                <w:rFonts w:hint="eastAsia"/>
                <w:sz w:val="24"/>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vMerge w:val="continue"/>
          </w:tcPr>
          <w:p>
            <w:pPr>
              <w:pStyle w:val="84"/>
              <w:spacing w:line="360" w:lineRule="auto"/>
              <w:rPr>
                <w:sz w:val="24"/>
              </w:rPr>
            </w:pPr>
          </w:p>
        </w:tc>
        <w:tc>
          <w:tcPr>
            <w:tcW w:w="4431" w:type="dxa"/>
          </w:tcPr>
          <w:p>
            <w:pPr>
              <w:pStyle w:val="84"/>
              <w:spacing w:line="360" w:lineRule="auto"/>
              <w:rPr>
                <w:sz w:val="24"/>
              </w:rPr>
            </w:pPr>
            <w:r>
              <w:rPr>
                <w:sz w:val="24"/>
              </w:rPr>
              <w:t>R</w:t>
            </w:r>
            <w:r>
              <w:rPr>
                <w:rFonts w:hint="eastAsia"/>
                <w:sz w:val="24"/>
              </w:rPr>
              <w:t>p</w:t>
            </w:r>
            <w:r>
              <w:rPr>
                <w:sz w:val="24"/>
              </w:rPr>
              <w:t>1</w:t>
            </w:r>
            <w:r>
              <w:rPr>
                <w:rFonts w:hint="eastAsia"/>
                <w:sz w:val="24"/>
              </w:rPr>
              <w:t>≥</w:t>
            </w:r>
            <w:r>
              <w:rPr>
                <w:sz w:val="24"/>
              </w:rPr>
              <w:t>1.0</w:t>
            </w:r>
            <w:r>
              <w:rPr>
                <w:rFonts w:hint="eastAsia"/>
                <w:sz w:val="24"/>
              </w:rPr>
              <w:t>且</w:t>
            </w:r>
            <w:r>
              <w:rPr>
                <w:sz w:val="24"/>
              </w:rPr>
              <w:t>R</w:t>
            </w:r>
            <w:r>
              <w:rPr>
                <w:rFonts w:hint="eastAsia"/>
                <w:sz w:val="24"/>
              </w:rPr>
              <w:t>p＜</w:t>
            </w:r>
            <w:r>
              <w:rPr>
                <w:sz w:val="24"/>
              </w:rPr>
              <w:t>60</w:t>
            </w:r>
            <w:r>
              <w:rPr>
                <w:rFonts w:hint="eastAsia"/>
                <w:sz w:val="24"/>
              </w:rPr>
              <w:t>%，</w:t>
            </w:r>
            <w:r>
              <w:rPr>
                <w:sz w:val="24"/>
              </w:rPr>
              <w:t>12</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rPr>
            </w:pPr>
          </w:p>
        </w:tc>
        <w:tc>
          <w:tcPr>
            <w:tcW w:w="2022" w:type="dxa"/>
            <w:vMerge w:val="restart"/>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sz w:val="24"/>
              </w:rPr>
              <w:t>3.0.10</w:t>
            </w:r>
            <w:r>
              <w:rPr>
                <w:rFonts w:hint="eastAsia"/>
                <w:sz w:val="24"/>
              </w:rPr>
              <w:t>条</w:t>
            </w:r>
          </w:p>
        </w:tc>
        <w:tc>
          <w:tcPr>
            <w:tcW w:w="4431" w:type="dxa"/>
          </w:tcPr>
          <w:p>
            <w:pPr>
              <w:pStyle w:val="84"/>
              <w:spacing w:line="360" w:lineRule="auto"/>
              <w:rPr>
                <w:sz w:val="24"/>
              </w:rPr>
            </w:pPr>
            <w:r>
              <w:rPr>
                <w:rFonts w:hint="eastAsia"/>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tcPr>
          <w:p>
            <w:pPr>
              <w:pStyle w:val="84"/>
              <w:spacing w:line="360" w:lineRule="auto"/>
              <w:rPr>
                <w:sz w:val="24"/>
              </w:rPr>
            </w:pPr>
            <w:r>
              <w:rPr>
                <w:rFonts w:hint="eastAsia"/>
                <w:sz w:val="24"/>
              </w:rPr>
              <w:t>4</w:t>
            </w:r>
            <w:r>
              <w:rPr>
                <w:sz w:val="24"/>
              </w:rPr>
              <w:t>.2.4</w:t>
            </w:r>
            <w:r>
              <w:rPr>
                <w:rFonts w:hint="eastAsia"/>
                <w:sz w:val="24"/>
              </w:rPr>
              <w:t>条</w:t>
            </w:r>
          </w:p>
        </w:tc>
        <w:tc>
          <w:tcPr>
            <w:tcW w:w="4431"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tcPr>
          <w:p>
            <w:pPr>
              <w:pStyle w:val="84"/>
              <w:spacing w:line="360" w:lineRule="auto"/>
              <w:rPr>
                <w:sz w:val="24"/>
              </w:rPr>
            </w:pPr>
            <w:r>
              <w:rPr>
                <w:rFonts w:hint="eastAsia"/>
                <w:sz w:val="24"/>
              </w:rPr>
              <w:t>4</w:t>
            </w:r>
            <w:r>
              <w:rPr>
                <w:sz w:val="24"/>
              </w:rPr>
              <w:t>.3.2</w:t>
            </w:r>
            <w:r>
              <w:rPr>
                <w:rFonts w:hint="eastAsia"/>
                <w:sz w:val="24"/>
              </w:rPr>
              <w:t>条</w:t>
            </w:r>
          </w:p>
        </w:tc>
        <w:tc>
          <w:tcPr>
            <w:tcW w:w="4431"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tcPr>
          <w:p>
            <w:pPr>
              <w:pStyle w:val="84"/>
              <w:spacing w:line="360" w:lineRule="auto"/>
              <w:rPr>
                <w:sz w:val="24"/>
              </w:rPr>
            </w:pPr>
            <w:r>
              <w:rPr>
                <w:rFonts w:hint="eastAsia"/>
                <w:sz w:val="24"/>
              </w:rPr>
              <w:t>4</w:t>
            </w:r>
            <w:r>
              <w:rPr>
                <w:sz w:val="24"/>
              </w:rPr>
              <w:t>.4.2</w:t>
            </w:r>
            <w:r>
              <w:rPr>
                <w:rFonts w:hint="eastAsia"/>
                <w:sz w:val="24"/>
              </w:rPr>
              <w:t>条</w:t>
            </w:r>
          </w:p>
        </w:tc>
        <w:tc>
          <w:tcPr>
            <w:tcW w:w="4431"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设计人员此条应根据项目用地实际进行填写。</w:t>
            </w:r>
          </w:p>
          <w:p>
            <w:pPr>
              <w:pStyle w:val="84"/>
              <w:spacing w:line="360" w:lineRule="auto"/>
              <w:ind w:firstLine="480" w:firstLineChars="200"/>
              <w:jc w:val="left"/>
              <w:rPr>
                <w:sz w:val="24"/>
              </w:rPr>
            </w:pPr>
            <w:r>
              <w:rPr>
                <w:rFonts w:hint="eastAsia"/>
                <w:sz w:val="24"/>
              </w:rPr>
              <w:t>数据来源：地下室图纸，面积指标，总平面等相关内容；并符合政府相关批复文件及规划指标要求。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由于地下空间的利用受诸多因素制约，因此未利用地下空间的项目应提供相关说明。经论证，场地区位、地质等条件不适宜开发地下空间的，需简述原因。同时应明确采用哪些绿建措施替代。</w:t>
            </w:r>
          </w:p>
        </w:tc>
      </w:tr>
    </w:tbl>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1.6项目</w:t>
      </w:r>
      <w:r>
        <w:rPr>
          <w:rFonts w:asciiTheme="minorEastAsia" w:hAnsiTheme="minorEastAsia" w:eastAsiaTheme="minorEastAsia"/>
          <w:sz w:val="24"/>
        </w:rPr>
        <w:t>容积率</w:t>
      </w:r>
      <w:r>
        <w:rPr>
          <w:rFonts w:hint="eastAsia" w:asciiTheme="minorEastAsia" w:hAnsiTheme="minorEastAsia" w:eastAsiaTheme="minorEastAsia"/>
          <w:sz w:val="24"/>
        </w:rPr>
        <w:t>（R），规划要求；设计值；</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973"/>
        <w:gridCol w:w="1418"/>
        <w:gridCol w:w="1984"/>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tcPr>
          <w:p>
            <w:pPr>
              <w:pStyle w:val="84"/>
              <w:spacing w:line="360" w:lineRule="auto"/>
              <w:rPr>
                <w:sz w:val="24"/>
              </w:rPr>
            </w:pPr>
            <w:r>
              <w:rPr>
                <w:rFonts w:hint="eastAsia"/>
                <w:sz w:val="24"/>
              </w:rPr>
              <w:t>条文来源</w:t>
            </w:r>
          </w:p>
        </w:tc>
        <w:tc>
          <w:tcPr>
            <w:tcW w:w="1973" w:type="dxa"/>
            <w:vMerge w:val="restart"/>
          </w:tcPr>
          <w:p>
            <w:pPr>
              <w:pStyle w:val="84"/>
              <w:spacing w:line="360" w:lineRule="auto"/>
              <w:rPr>
                <w:sz w:val="24"/>
              </w:rPr>
            </w:pPr>
            <w:r>
              <w:rPr>
                <w:rFonts w:hint="eastAsia"/>
                <w:sz w:val="24"/>
              </w:rPr>
              <w:t>GB/T 50378-201</w:t>
            </w:r>
            <w:r>
              <w:rPr>
                <w:sz w:val="24"/>
              </w:rPr>
              <w:t>9</w:t>
            </w:r>
          </w:p>
        </w:tc>
        <w:tc>
          <w:tcPr>
            <w:tcW w:w="1418" w:type="dxa"/>
            <w:vMerge w:val="restart"/>
          </w:tcPr>
          <w:p>
            <w:pPr>
              <w:pStyle w:val="84"/>
              <w:spacing w:line="360" w:lineRule="auto"/>
              <w:rPr>
                <w:sz w:val="24"/>
              </w:rPr>
            </w:pPr>
            <w:r>
              <w:rPr>
                <w:rFonts w:hint="eastAsia"/>
                <w:sz w:val="24"/>
              </w:rPr>
              <w:t>7</w:t>
            </w:r>
            <w:r>
              <w:rPr>
                <w:sz w:val="24"/>
              </w:rPr>
              <w:t>.2.1</w:t>
            </w:r>
            <w:r>
              <w:rPr>
                <w:rFonts w:hint="eastAsia"/>
                <w:sz w:val="24"/>
              </w:rPr>
              <w:t xml:space="preserve">条 </w:t>
            </w:r>
            <w:r>
              <w:rPr>
                <w:sz w:val="24"/>
              </w:rPr>
              <w:t>-2</w:t>
            </w:r>
          </w:p>
        </w:tc>
        <w:tc>
          <w:tcPr>
            <w:tcW w:w="1984" w:type="dxa"/>
            <w:vMerge w:val="restart"/>
          </w:tcPr>
          <w:p>
            <w:pPr>
              <w:pStyle w:val="84"/>
              <w:spacing w:line="360" w:lineRule="auto"/>
              <w:rPr>
                <w:sz w:val="24"/>
              </w:rPr>
            </w:pPr>
            <w:r>
              <w:rPr>
                <w:rFonts w:hint="eastAsia"/>
                <w:sz w:val="24"/>
              </w:rPr>
              <w:t>行政办公、商务办公、商业金融、旅馆饭店、交通枢纽等</w:t>
            </w:r>
          </w:p>
        </w:tc>
        <w:tc>
          <w:tcPr>
            <w:tcW w:w="3119" w:type="dxa"/>
          </w:tcPr>
          <w:p>
            <w:pPr>
              <w:pStyle w:val="84"/>
              <w:spacing w:line="360" w:lineRule="auto"/>
              <w:rPr>
                <w:sz w:val="24"/>
              </w:rPr>
            </w:pPr>
            <w:r>
              <w:rPr>
                <w:rFonts w:hint="eastAsia"/>
                <w:sz w:val="24"/>
              </w:rPr>
              <w:t>1</w:t>
            </w:r>
            <w:r>
              <w:rPr>
                <w:sz w:val="24"/>
              </w:rPr>
              <w:t>.0</w:t>
            </w:r>
            <w:r>
              <w:rPr>
                <w:rFonts w:hint="eastAsia"/>
                <w:sz w:val="24"/>
              </w:rPr>
              <w:t>≤R＜1</w:t>
            </w:r>
            <w:r>
              <w:rPr>
                <w:sz w:val="24"/>
              </w:rPr>
              <w:t>.5</w:t>
            </w:r>
            <w:r>
              <w:rPr>
                <w:rFonts w:hint="eastAsia"/>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3119" w:type="dxa"/>
          </w:tcPr>
          <w:p>
            <w:pPr>
              <w:pStyle w:val="84"/>
              <w:spacing w:line="360" w:lineRule="auto"/>
              <w:rPr>
                <w:sz w:val="24"/>
              </w:rPr>
            </w:pPr>
            <w:r>
              <w:rPr>
                <w:rFonts w:hint="eastAsia"/>
                <w:sz w:val="24"/>
              </w:rPr>
              <w:t>1</w:t>
            </w:r>
            <w:r>
              <w:rPr>
                <w:sz w:val="24"/>
              </w:rPr>
              <w:t>.5</w:t>
            </w:r>
            <w:r>
              <w:rPr>
                <w:rFonts w:hint="eastAsia"/>
                <w:sz w:val="24"/>
              </w:rPr>
              <w:t>≤R＜</w:t>
            </w:r>
            <w:r>
              <w:rPr>
                <w:sz w:val="24"/>
              </w:rPr>
              <w:t>2.5</w:t>
            </w:r>
            <w:r>
              <w:rPr>
                <w:rFonts w:hint="eastAsia"/>
                <w:sz w:val="24"/>
              </w:rPr>
              <w:t>，</w:t>
            </w:r>
            <w:r>
              <w:rPr>
                <w:sz w:val="24"/>
              </w:rPr>
              <w:t>12</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3119" w:type="dxa"/>
          </w:tcPr>
          <w:p>
            <w:pPr>
              <w:pStyle w:val="84"/>
              <w:spacing w:line="360" w:lineRule="auto"/>
              <w:rPr>
                <w:sz w:val="24"/>
              </w:rPr>
            </w:pPr>
            <w:r>
              <w:rPr>
                <w:rFonts w:hint="eastAsia"/>
                <w:sz w:val="24"/>
              </w:rPr>
              <w:t>2</w:t>
            </w:r>
            <w:r>
              <w:rPr>
                <w:sz w:val="24"/>
              </w:rPr>
              <w:t>.5</w:t>
            </w:r>
            <w:r>
              <w:rPr>
                <w:rFonts w:hint="eastAsia"/>
                <w:sz w:val="24"/>
              </w:rPr>
              <w:t>≤R＜</w:t>
            </w:r>
            <w:r>
              <w:rPr>
                <w:sz w:val="24"/>
              </w:rPr>
              <w:t>3.5</w:t>
            </w:r>
            <w:r>
              <w:rPr>
                <w:rFonts w:hint="eastAsia"/>
                <w:sz w:val="24"/>
              </w:rPr>
              <w:t>，</w:t>
            </w:r>
            <w:r>
              <w:rPr>
                <w:sz w:val="24"/>
              </w:rPr>
              <w:t>16</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3119" w:type="dxa"/>
          </w:tcPr>
          <w:p>
            <w:pPr>
              <w:pStyle w:val="84"/>
              <w:spacing w:line="360" w:lineRule="auto"/>
              <w:rPr>
                <w:sz w:val="24"/>
              </w:rPr>
            </w:pPr>
            <w:r>
              <w:rPr>
                <w:rFonts w:hint="eastAsia"/>
                <w:sz w:val="24"/>
              </w:rPr>
              <w:t>R≥</w:t>
            </w:r>
            <w:r>
              <w:rPr>
                <w:sz w:val="24"/>
              </w:rPr>
              <w:t>3.5</w:t>
            </w:r>
            <w:r>
              <w:rPr>
                <w:rFonts w:hint="eastAsia"/>
                <w:sz w:val="24"/>
              </w:rPr>
              <w:t>，</w:t>
            </w:r>
            <w:r>
              <w:rPr>
                <w:sz w:val="24"/>
              </w:rPr>
              <w:t>20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restart"/>
          </w:tcPr>
          <w:p>
            <w:pPr>
              <w:pStyle w:val="84"/>
              <w:spacing w:line="360" w:lineRule="auto"/>
              <w:rPr>
                <w:sz w:val="24"/>
              </w:rPr>
            </w:pPr>
            <w:r>
              <w:rPr>
                <w:rFonts w:hint="eastAsia"/>
                <w:sz w:val="24"/>
              </w:rPr>
              <w:t>教育、文化、体育、医疗卫生、社会福利等</w:t>
            </w:r>
          </w:p>
        </w:tc>
        <w:tc>
          <w:tcPr>
            <w:tcW w:w="3119" w:type="dxa"/>
          </w:tcPr>
          <w:p>
            <w:pPr>
              <w:pStyle w:val="84"/>
              <w:spacing w:line="360" w:lineRule="auto"/>
              <w:rPr>
                <w:sz w:val="24"/>
              </w:rPr>
            </w:pPr>
            <w:r>
              <w:rPr>
                <w:rFonts w:hint="eastAsia"/>
                <w:sz w:val="24"/>
              </w:rPr>
              <w:t>0</w:t>
            </w:r>
            <w:r>
              <w:rPr>
                <w:sz w:val="24"/>
              </w:rPr>
              <w:t>.5</w:t>
            </w:r>
            <w:r>
              <w:rPr>
                <w:rFonts w:hint="eastAsia"/>
                <w:sz w:val="24"/>
              </w:rPr>
              <w:t>≤R＜</w:t>
            </w:r>
            <w:r>
              <w:rPr>
                <w:sz w:val="24"/>
              </w:rPr>
              <w:t>0.8</w:t>
            </w:r>
            <w:r>
              <w:rPr>
                <w:rFonts w:hint="eastAsia"/>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3119" w:type="dxa"/>
          </w:tcPr>
          <w:p>
            <w:pPr>
              <w:pStyle w:val="84"/>
              <w:spacing w:line="360" w:lineRule="auto"/>
              <w:rPr>
                <w:sz w:val="24"/>
              </w:rPr>
            </w:pPr>
            <w:r>
              <w:rPr>
                <w:rFonts w:hint="eastAsia"/>
                <w:sz w:val="24"/>
              </w:rPr>
              <w:t>R≥2</w:t>
            </w:r>
            <w:r>
              <w:rPr>
                <w:sz w:val="24"/>
              </w:rPr>
              <w:t>.0</w:t>
            </w:r>
            <w:r>
              <w:rPr>
                <w:rFonts w:hint="eastAsia"/>
                <w:sz w:val="24"/>
              </w:rPr>
              <w:t>，</w:t>
            </w:r>
            <w:r>
              <w:rPr>
                <w:sz w:val="24"/>
              </w:rPr>
              <w:t>12</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3119" w:type="dxa"/>
          </w:tcPr>
          <w:p>
            <w:pPr>
              <w:pStyle w:val="84"/>
              <w:spacing w:line="360" w:lineRule="auto"/>
              <w:rPr>
                <w:sz w:val="24"/>
              </w:rPr>
            </w:pPr>
            <w:r>
              <w:rPr>
                <w:rFonts w:hint="eastAsia"/>
                <w:sz w:val="24"/>
              </w:rPr>
              <w:t>0</w:t>
            </w:r>
            <w:r>
              <w:rPr>
                <w:sz w:val="24"/>
              </w:rPr>
              <w:t>.8</w:t>
            </w:r>
            <w:r>
              <w:rPr>
                <w:rFonts w:hint="eastAsia"/>
                <w:sz w:val="24"/>
              </w:rPr>
              <w:t>≤R＜</w:t>
            </w:r>
            <w:r>
              <w:rPr>
                <w:sz w:val="24"/>
              </w:rPr>
              <w:t>1.5</w:t>
            </w:r>
            <w:r>
              <w:rPr>
                <w:rFonts w:hint="eastAsia"/>
                <w:sz w:val="24"/>
              </w:rPr>
              <w:t>，</w:t>
            </w:r>
            <w:r>
              <w:rPr>
                <w:sz w:val="24"/>
              </w:rPr>
              <w:t>16</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3119" w:type="dxa"/>
          </w:tcPr>
          <w:p>
            <w:pPr>
              <w:pStyle w:val="84"/>
              <w:spacing w:line="360" w:lineRule="auto"/>
              <w:rPr>
                <w:sz w:val="24"/>
              </w:rPr>
            </w:pPr>
            <w:r>
              <w:rPr>
                <w:sz w:val="24"/>
              </w:rPr>
              <w:t>1.5</w:t>
            </w:r>
            <w:r>
              <w:rPr>
                <w:rFonts w:hint="eastAsia"/>
                <w:sz w:val="24"/>
              </w:rPr>
              <w:t>≤R＜</w:t>
            </w:r>
            <w:r>
              <w:rPr>
                <w:sz w:val="24"/>
              </w:rPr>
              <w:t>2.0</w:t>
            </w:r>
            <w:r>
              <w:rPr>
                <w:rFonts w:hint="eastAsia"/>
                <w:sz w:val="24"/>
              </w:rPr>
              <w:t>，</w:t>
            </w:r>
            <w:r>
              <w:rPr>
                <w:sz w:val="24"/>
              </w:rPr>
              <w:t>20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970" w:type="dxa"/>
            <w:vMerge w:val="continue"/>
          </w:tcPr>
          <w:p>
            <w:pPr>
              <w:pStyle w:val="84"/>
              <w:spacing w:line="360" w:lineRule="auto"/>
              <w:rPr>
                <w:sz w:val="24"/>
              </w:rPr>
            </w:pPr>
          </w:p>
        </w:tc>
        <w:tc>
          <w:tcPr>
            <w:tcW w:w="1973" w:type="dxa"/>
            <w:vMerge w:val="restart"/>
          </w:tcPr>
          <w:p>
            <w:pPr>
              <w:pStyle w:val="84"/>
              <w:spacing w:line="360" w:lineRule="auto"/>
              <w:rPr>
                <w:sz w:val="24"/>
              </w:rPr>
            </w:pPr>
            <w:r>
              <w:rPr>
                <w:rFonts w:hint="eastAsia"/>
                <w:sz w:val="24"/>
              </w:rPr>
              <w:t>DB33/1092-</w:t>
            </w:r>
            <w:r>
              <w:rPr>
                <w:sz w:val="24"/>
              </w:rPr>
              <w:t>2021</w:t>
            </w:r>
          </w:p>
        </w:tc>
        <w:tc>
          <w:tcPr>
            <w:tcW w:w="1418" w:type="dxa"/>
          </w:tcPr>
          <w:p>
            <w:pPr>
              <w:pStyle w:val="84"/>
              <w:spacing w:line="360" w:lineRule="auto"/>
              <w:rPr>
                <w:sz w:val="24"/>
              </w:rPr>
            </w:pPr>
            <w:r>
              <w:rPr>
                <w:sz w:val="24"/>
              </w:rPr>
              <w:t>4.2.3</w:t>
            </w:r>
            <w:r>
              <w:rPr>
                <w:rFonts w:hint="eastAsia"/>
                <w:sz w:val="24"/>
              </w:rPr>
              <w:t>条-</w:t>
            </w:r>
            <w:r>
              <w:rPr>
                <w:sz w:val="24"/>
              </w:rPr>
              <w:t>2</w:t>
            </w:r>
          </w:p>
        </w:tc>
        <w:tc>
          <w:tcPr>
            <w:tcW w:w="5103" w:type="dxa"/>
            <w:gridSpan w:val="2"/>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tcPr>
          <w:p>
            <w:pPr>
              <w:pStyle w:val="84"/>
              <w:spacing w:line="360" w:lineRule="auto"/>
              <w:rPr>
                <w:sz w:val="24"/>
              </w:rPr>
            </w:pPr>
            <w:r>
              <w:rPr>
                <w:sz w:val="24"/>
              </w:rPr>
              <w:t>4.3.1</w:t>
            </w:r>
            <w:r>
              <w:rPr>
                <w:rFonts w:hint="eastAsia"/>
                <w:sz w:val="24"/>
              </w:rPr>
              <w:t>条</w:t>
            </w:r>
          </w:p>
        </w:tc>
        <w:tc>
          <w:tcPr>
            <w:tcW w:w="5103" w:type="dxa"/>
            <w:gridSpan w:val="2"/>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970" w:type="dxa"/>
            <w:vMerge w:val="continue"/>
          </w:tcPr>
          <w:p>
            <w:pPr>
              <w:pStyle w:val="84"/>
              <w:spacing w:line="360" w:lineRule="auto"/>
              <w:rPr>
                <w:sz w:val="24"/>
              </w:rPr>
            </w:pPr>
          </w:p>
        </w:tc>
        <w:tc>
          <w:tcPr>
            <w:tcW w:w="1973" w:type="dxa"/>
            <w:vMerge w:val="continue"/>
          </w:tcPr>
          <w:p>
            <w:pPr>
              <w:pStyle w:val="84"/>
              <w:spacing w:line="360" w:lineRule="auto"/>
              <w:rPr>
                <w:sz w:val="24"/>
              </w:rPr>
            </w:pPr>
          </w:p>
        </w:tc>
        <w:tc>
          <w:tcPr>
            <w:tcW w:w="1418" w:type="dxa"/>
          </w:tcPr>
          <w:p>
            <w:pPr>
              <w:pStyle w:val="84"/>
              <w:spacing w:line="360" w:lineRule="auto"/>
              <w:rPr>
                <w:sz w:val="24"/>
              </w:rPr>
            </w:pPr>
            <w:r>
              <w:rPr>
                <w:sz w:val="24"/>
              </w:rPr>
              <w:t>4.4.1</w:t>
            </w:r>
            <w:r>
              <w:rPr>
                <w:rFonts w:hint="eastAsia"/>
                <w:sz w:val="24"/>
              </w:rPr>
              <w:t>条-</w:t>
            </w:r>
            <w:r>
              <w:rPr>
                <w:sz w:val="24"/>
              </w:rPr>
              <w:t>2</w:t>
            </w:r>
          </w:p>
        </w:tc>
        <w:tc>
          <w:tcPr>
            <w:tcW w:w="5103" w:type="dxa"/>
            <w:gridSpan w:val="2"/>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pStyle w:val="84"/>
              <w:spacing w:line="360" w:lineRule="auto"/>
              <w:rPr>
                <w:sz w:val="24"/>
              </w:rPr>
            </w:pPr>
            <w:r>
              <w:rPr>
                <w:rFonts w:hint="eastAsia"/>
                <w:sz w:val="24"/>
              </w:rPr>
              <w:t>依据材料</w:t>
            </w:r>
          </w:p>
        </w:tc>
        <w:tc>
          <w:tcPr>
            <w:tcW w:w="8494" w:type="dxa"/>
            <w:gridSpan w:val="4"/>
          </w:tcPr>
          <w:p>
            <w:pPr>
              <w:pStyle w:val="84"/>
              <w:spacing w:line="360" w:lineRule="auto"/>
              <w:ind w:firstLine="480" w:firstLineChars="200"/>
              <w:jc w:val="left"/>
              <w:rPr>
                <w:sz w:val="24"/>
              </w:rPr>
            </w:pPr>
            <w:r>
              <w:rPr>
                <w:rFonts w:hint="eastAsia"/>
                <w:sz w:val="24"/>
              </w:rPr>
              <w:t>设计人员根据规划许可的设计条件、相关设计文件、计算书、相关施工图，以及根据实际情况，填写此项内容。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pPr>
              <w:pStyle w:val="84"/>
              <w:spacing w:line="360" w:lineRule="auto"/>
              <w:rPr>
                <w:sz w:val="24"/>
              </w:rPr>
            </w:pPr>
            <w:r>
              <w:rPr>
                <w:rFonts w:hint="eastAsia"/>
                <w:sz w:val="24"/>
              </w:rPr>
              <w:t>备注</w:t>
            </w:r>
          </w:p>
        </w:tc>
        <w:tc>
          <w:tcPr>
            <w:tcW w:w="8494" w:type="dxa"/>
            <w:gridSpan w:val="4"/>
          </w:tcPr>
          <w:p>
            <w:pPr>
              <w:pStyle w:val="84"/>
              <w:spacing w:line="360" w:lineRule="auto"/>
              <w:ind w:firstLine="480" w:firstLineChars="200"/>
              <w:jc w:val="left"/>
              <w:rPr>
                <w:sz w:val="24"/>
              </w:rPr>
            </w:pPr>
            <w:r>
              <w:rPr>
                <w:rFonts w:hint="eastAsia"/>
                <w:sz w:val="24"/>
              </w:rPr>
              <w:t>根据项目实际情况，当批复文件或规划条件中，规定的容积率，不满足DB33/1092-20</w:t>
            </w:r>
            <w:r>
              <w:rPr>
                <w:sz w:val="24"/>
              </w:rPr>
              <w:t>21</w:t>
            </w:r>
            <w:r>
              <w:rPr>
                <w:rFonts w:hint="eastAsia"/>
                <w:sz w:val="24"/>
              </w:rPr>
              <w:t>星级要求的数据时，按批复文件执行。（标准中规定的应字条款，意在此条款较宜得分，如无上述特殊情况，应按此执行）。</w:t>
            </w:r>
          </w:p>
          <w:p>
            <w:pPr>
              <w:pStyle w:val="84"/>
              <w:spacing w:line="360" w:lineRule="auto"/>
              <w:ind w:firstLine="480" w:firstLineChars="200"/>
              <w:jc w:val="left"/>
              <w:rPr>
                <w:sz w:val="24"/>
              </w:rPr>
            </w:pPr>
            <w:r>
              <w:rPr>
                <w:rFonts w:hint="eastAsia"/>
                <w:sz w:val="24"/>
              </w:rPr>
              <w:t>对公共建筑，容积率是控制其节地的关键性指标。本标准在充分考虑公共建筑功能特征的基础上进行分类，一类是容积率通常较高的行政办公、商务办公、商业金融、旅馆饭店、交通枢纽等设施，另一类是容积率不宜太高的教育、文化、体育、医疗卫生、社会福利等公共服务设施，并分别制定了评分规则。评价时应根据建筑类型对应的容积率进行赋值。</w:t>
            </w:r>
          </w:p>
        </w:tc>
      </w:tr>
    </w:tbl>
    <w:p>
      <w:pPr>
        <w:pStyle w:val="88"/>
        <w:numPr>
          <w:ilvl w:val="0"/>
          <w:numId w:val="0"/>
        </w:num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7场地内规划配置公共服务设施和市政基础设施时，与周边区域共享、互补、集约化建设。</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tcPr>
          <w:p>
            <w:pPr>
              <w:pStyle w:val="84"/>
              <w:spacing w:line="360" w:lineRule="auto"/>
              <w:rPr>
                <w:sz w:val="24"/>
                <w:lang w:eastAsia="zh-Hans"/>
              </w:rPr>
            </w:pPr>
            <w:r>
              <w:rPr>
                <w:rFonts w:hint="eastAsia"/>
                <w:sz w:val="24"/>
                <w:lang w:eastAsia="zh-Hans"/>
              </w:rPr>
              <w:t>条文来源</w:t>
            </w:r>
          </w:p>
        </w:tc>
        <w:tc>
          <w:tcPr>
            <w:tcW w:w="2447"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701" w:type="dxa"/>
          </w:tcPr>
          <w:p>
            <w:pPr>
              <w:pStyle w:val="84"/>
              <w:spacing w:line="360" w:lineRule="auto"/>
              <w:rPr>
                <w:sz w:val="24"/>
                <w:lang w:eastAsia="zh-Hans"/>
              </w:rPr>
            </w:pPr>
            <w:r>
              <w:rPr>
                <w:rFonts w:hint="eastAsia"/>
                <w:sz w:val="24"/>
              </w:rPr>
              <w:t>4.1.</w:t>
            </w:r>
            <w:r>
              <w:rPr>
                <w:sz w:val="24"/>
              </w:rPr>
              <w:t>3</w:t>
            </w:r>
            <w:r>
              <w:rPr>
                <w:rFonts w:hint="eastAsia"/>
                <w:sz w:val="24"/>
              </w:rPr>
              <w:t>条</w:t>
            </w:r>
          </w:p>
        </w:tc>
        <w:tc>
          <w:tcPr>
            <w:tcW w:w="3969"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w:t>
            </w:r>
            <w:r>
              <w:rPr>
                <w:rFonts w:hint="eastAsia"/>
                <w:sz w:val="24"/>
                <w:lang w:eastAsia="zh-Hans"/>
              </w:rPr>
              <w:t>规划条件、</w:t>
            </w:r>
            <w:r>
              <w:rPr>
                <w:rFonts w:hint="eastAsia"/>
                <w:sz w:val="24"/>
              </w:rPr>
              <w:t>相关设计文件，以及根据</w:t>
            </w:r>
            <w:r>
              <w:rPr>
                <w:rFonts w:hint="eastAsia"/>
                <w:sz w:val="24"/>
                <w:lang w:eastAsia="zh-Hans"/>
              </w:rPr>
              <w:t>现场</w:t>
            </w:r>
            <w:r>
              <w:rPr>
                <w:rFonts w:hint="eastAsia"/>
                <w:sz w:val="24"/>
              </w:rPr>
              <w:t>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应积极实现公共服务设施和市政基础设施的共享，减少重复建设，降低资源能源消耗。场地内公共服务设施建设要考虑提高资源利用效率，改变过</w:t>
            </w:r>
            <w:r>
              <w:rPr>
                <w:sz w:val="24"/>
                <w:lang w:eastAsia="zh-Hans"/>
              </w:rPr>
              <w:t xml:space="preserve"> </w:t>
            </w:r>
            <w:r>
              <w:rPr>
                <w:rFonts w:hint="eastAsia"/>
                <w:sz w:val="24"/>
                <w:lang w:eastAsia="zh-Hans"/>
              </w:rPr>
              <w:t>去分散的、小而全的建设模式，实现区域设施资源共享。在新建区域宜设置市政共同管沟，统一规划开发利用地下空间，实现区域设施资源共享和可持续开发。</w:t>
            </w:r>
          </w:p>
        </w:tc>
      </w:tr>
    </w:tbl>
    <w:p>
      <w:pPr>
        <w:pStyle w:val="88"/>
        <w:numPr>
          <w:ilvl w:val="0"/>
          <w:numId w:val="0"/>
        </w:numPr>
        <w:spacing w:line="360" w:lineRule="auto"/>
        <w:rPr>
          <w:sz w:val="24"/>
          <w:szCs w:val="24"/>
          <w:lang w:eastAsia="zh-Hans"/>
        </w:rPr>
      </w:pPr>
      <w:r>
        <w:rPr>
          <w:rFonts w:hint="eastAsia" w:asciiTheme="minorEastAsia" w:hAnsiTheme="minorEastAsia" w:eastAsiaTheme="minorEastAsia"/>
          <w:sz w:val="24"/>
          <w:szCs w:val="24"/>
        </w:rPr>
        <w:t xml:space="preserve">1.8 </w:t>
      </w:r>
      <w:r>
        <w:rPr>
          <w:rFonts w:hint="eastAsia"/>
          <w:sz w:val="24"/>
          <w:szCs w:val="24"/>
        </w:rPr>
        <w:t>新建建筑地下空间与相邻建筑地下空间相连通或整体开发利用</w:t>
      </w:r>
      <w:r>
        <w:rPr>
          <w:rFonts w:hint="eastAsia"/>
          <w:sz w:val="24"/>
          <w:szCs w:val="24"/>
          <w:lang w:eastAsia="zh-Hans"/>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455"/>
        <w:gridCol w:w="4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DB33/1092-</w:t>
            </w:r>
            <w:r>
              <w:rPr>
                <w:sz w:val="24"/>
              </w:rPr>
              <w:t>2021</w:t>
            </w:r>
          </w:p>
        </w:tc>
        <w:tc>
          <w:tcPr>
            <w:tcW w:w="1455" w:type="dxa"/>
          </w:tcPr>
          <w:p>
            <w:pPr>
              <w:pStyle w:val="84"/>
              <w:spacing w:line="360" w:lineRule="auto"/>
              <w:rPr>
                <w:sz w:val="24"/>
              </w:rPr>
            </w:pPr>
            <w:r>
              <w:rPr>
                <w:sz w:val="24"/>
              </w:rPr>
              <w:t>4.4.2</w:t>
            </w:r>
            <w:r>
              <w:rPr>
                <w:rFonts w:hint="eastAsia"/>
                <w:sz w:val="24"/>
              </w:rPr>
              <w:t>条</w:t>
            </w:r>
            <w:r>
              <w:rPr>
                <w:sz w:val="24"/>
              </w:rPr>
              <w:t>-2</w:t>
            </w:r>
          </w:p>
        </w:tc>
        <w:tc>
          <w:tcPr>
            <w:tcW w:w="4640" w:type="dxa"/>
          </w:tcPr>
          <w:p>
            <w:pPr>
              <w:pStyle w:val="84"/>
              <w:spacing w:line="360" w:lineRule="auto"/>
              <w:rPr>
                <w:sz w:val="24"/>
                <w:lang w:eastAsia="zh-Hans"/>
              </w:rPr>
            </w:pPr>
            <w:r>
              <w:rPr>
                <w:rFonts w:hint="eastAsia"/>
                <w:sz w:val="24"/>
                <w:lang w:eastAsia="zh-Hans"/>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设计人员此条应根据项目</w:t>
            </w:r>
            <w:r>
              <w:rPr>
                <w:rFonts w:hint="eastAsia"/>
                <w:sz w:val="24"/>
                <w:lang w:eastAsia="zh-Hans"/>
              </w:rPr>
              <w:t>规划条件，相关设计文件，周边项目规划建设情况</w:t>
            </w:r>
            <w:r>
              <w:rPr>
                <w:rFonts w:hint="eastAsia"/>
                <w:sz w:val="24"/>
              </w:rPr>
              <w:t>实际进行填写：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新建项目，尤其是在高密度的商业开发中，鼓励不同建设单位共同开发地下空间，而不是单独建地下室，以有效提高地下空间的使用率。</w:t>
            </w:r>
          </w:p>
        </w:tc>
      </w:tr>
    </w:tbl>
    <w:p>
      <w:pPr>
        <w:pStyle w:val="88"/>
        <w:numPr>
          <w:ilvl w:val="0"/>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b/>
          <w:sz w:val="24"/>
          <w:szCs w:val="24"/>
        </w:rPr>
        <w:t>2</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场地生态与景观绿化：</w:t>
      </w:r>
    </w:p>
    <w:p>
      <w:pPr>
        <w:pStyle w:val="88"/>
        <w:numPr>
          <w:ilvl w:val="0"/>
          <w:numId w:val="0"/>
        </w:numPr>
        <w:spacing w:line="360" w:lineRule="auto"/>
        <w:rPr>
          <w:rFonts w:asciiTheme="minorEastAsia" w:hAnsiTheme="minorEastAsia" w:eastAsiaTheme="minorEastAsia"/>
          <w:sz w:val="24"/>
          <w:szCs w:val="24"/>
          <w:lang w:val="en-GB"/>
        </w:rPr>
      </w:pPr>
      <w:r>
        <w:rPr>
          <w:rFonts w:hint="eastAsia" w:asciiTheme="minorEastAsia" w:hAnsiTheme="minorEastAsia" w:eastAsiaTheme="minorEastAsia"/>
          <w:sz w:val="24"/>
          <w:szCs w:val="24"/>
        </w:rPr>
        <w:t>2</w:t>
      </w:r>
      <w:r>
        <w:rPr>
          <w:rFonts w:asciiTheme="minorEastAsia" w:hAnsiTheme="minorEastAsia" w:eastAsiaTheme="minorEastAsia"/>
          <w:sz w:val="24"/>
          <w:szCs w:val="24"/>
        </w:rPr>
        <w:t xml:space="preserve">.1 </w:t>
      </w:r>
      <w:r>
        <w:rPr>
          <w:rFonts w:hint="eastAsia" w:asciiTheme="minorEastAsia" w:hAnsiTheme="minorEastAsia" w:eastAsiaTheme="minorEastAsia"/>
          <w:sz w:val="24"/>
          <w:szCs w:val="24"/>
        </w:rPr>
        <w:t>场地设计保护场地内原有的自然水域、湿地和植被，采取净地表层土回收利用等生态补偿措施</w:t>
      </w:r>
      <w:r>
        <w:rPr>
          <w:rFonts w:hint="eastAsia" w:asciiTheme="minorEastAsia" w:hAnsiTheme="minorEastAsia" w:eastAsiaTheme="minorEastAsia"/>
          <w:sz w:val="24"/>
          <w:szCs w:val="24"/>
          <w:lang w:val="en-GB"/>
        </w:rPr>
        <w:t>；</w:t>
      </w:r>
      <w:r>
        <w:rPr>
          <w:rFonts w:asciiTheme="minorEastAsia" w:hAnsiTheme="minorEastAsia" w:eastAsiaTheme="minorEastAsia"/>
          <w:sz w:val="24"/>
          <w:szCs w:val="24"/>
          <w:lang w:val="en-GB"/>
        </w:rPr>
        <w:t xml:space="preserve"> </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455"/>
        <w:gridCol w:w="4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455" w:type="dxa"/>
          </w:tcPr>
          <w:p>
            <w:pPr>
              <w:pStyle w:val="84"/>
              <w:spacing w:line="360" w:lineRule="auto"/>
              <w:rPr>
                <w:sz w:val="24"/>
              </w:rPr>
            </w:pPr>
            <w:r>
              <w:rPr>
                <w:rFonts w:hint="eastAsia"/>
                <w:sz w:val="24"/>
              </w:rPr>
              <w:t>8</w:t>
            </w:r>
            <w:r>
              <w:rPr>
                <w:sz w:val="24"/>
              </w:rPr>
              <w:t>.2.1</w:t>
            </w:r>
            <w:r>
              <w:rPr>
                <w:rFonts w:hint="eastAsia"/>
                <w:sz w:val="24"/>
              </w:rPr>
              <w:t xml:space="preserve">条 </w:t>
            </w:r>
          </w:p>
        </w:tc>
        <w:tc>
          <w:tcPr>
            <w:tcW w:w="4640" w:type="dxa"/>
          </w:tcPr>
          <w:p>
            <w:pPr>
              <w:pStyle w:val="84"/>
              <w:spacing w:line="360" w:lineRule="auto"/>
              <w:rPr>
                <w:sz w:val="24"/>
              </w:rPr>
            </w:pPr>
            <w:r>
              <w:rPr>
                <w:rFonts w:hint="eastAsia"/>
                <w:sz w:val="24"/>
              </w:rPr>
              <w:t>1</w:t>
            </w:r>
            <w:r>
              <w:rPr>
                <w:sz w:val="24"/>
              </w:rPr>
              <w:t>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tcPr>
          <w:p>
            <w:pPr>
              <w:pStyle w:val="84"/>
              <w:spacing w:line="360" w:lineRule="auto"/>
              <w:rPr>
                <w:sz w:val="24"/>
              </w:rPr>
            </w:pPr>
            <w:r>
              <w:rPr>
                <w:rFonts w:hint="eastAsia"/>
                <w:sz w:val="24"/>
              </w:rPr>
              <w:t>DB33/1092-</w:t>
            </w:r>
            <w:r>
              <w:rPr>
                <w:sz w:val="24"/>
              </w:rPr>
              <w:t>2021</w:t>
            </w:r>
          </w:p>
        </w:tc>
        <w:tc>
          <w:tcPr>
            <w:tcW w:w="1455" w:type="dxa"/>
          </w:tcPr>
          <w:p>
            <w:pPr>
              <w:pStyle w:val="84"/>
              <w:spacing w:line="360" w:lineRule="auto"/>
              <w:rPr>
                <w:sz w:val="24"/>
              </w:rPr>
            </w:pPr>
            <w:r>
              <w:rPr>
                <w:rFonts w:hint="eastAsia"/>
                <w:sz w:val="24"/>
              </w:rPr>
              <w:t>1</w:t>
            </w:r>
            <w:r>
              <w:rPr>
                <w:sz w:val="24"/>
              </w:rPr>
              <w:t>0.1.6</w:t>
            </w:r>
            <w:r>
              <w:rPr>
                <w:rFonts w:hint="eastAsia"/>
                <w:sz w:val="24"/>
              </w:rPr>
              <w:t>条</w:t>
            </w:r>
          </w:p>
        </w:tc>
        <w:tc>
          <w:tcPr>
            <w:tcW w:w="4640"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设计人员根据场地原地形图、相关设计文件(带地形的规划设计图、总平面图、竖向设计图、景观设计总平面图)，以及根据实际情况，填写此项内容。</w:t>
            </w:r>
          </w:p>
          <w:p>
            <w:pPr>
              <w:pStyle w:val="84"/>
              <w:spacing w:line="360" w:lineRule="auto"/>
              <w:ind w:firstLine="480" w:firstLineChars="200"/>
              <w:jc w:val="left"/>
              <w:rPr>
                <w:sz w:val="24"/>
              </w:rPr>
            </w:pPr>
            <w:r>
              <w:rPr>
                <w:rFonts w:hint="eastAsia"/>
                <w:sz w:val="24"/>
              </w:rPr>
              <w:t>值得注意的是，对于本条未列出的其他生态恢复或补偿措施，只要能够提供足够相关证明文件即可。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建设项目应对场地的地形和场地内可利用的资源进行勘察，充分利用原有地形地貌进行场地设计以及建筑、生态景观的布局，尽量减少土石方量，减少开发建设过程对场地及周边环境生态系统的改变，包括原有植被、水体、山体、地表行泄洪通道、滞蓄洪坑塘洼地等。在建设过程中确需改造场地内的地形、地貌、水体、植被等时，应在工程结束后及时采取生态复原措施，减少对原场地环境的改变和破坏。场地内外生态系统保持衔接，形成连贯的生态系统更有利于生态建设和保护。</w:t>
            </w:r>
          </w:p>
          <w:p>
            <w:pPr>
              <w:pStyle w:val="84"/>
              <w:spacing w:line="360" w:lineRule="auto"/>
              <w:ind w:firstLine="480" w:firstLineChars="200"/>
              <w:jc w:val="left"/>
              <w:rPr>
                <w:sz w:val="24"/>
              </w:rPr>
            </w:pPr>
            <w:r>
              <w:rPr>
                <w:rFonts w:hint="eastAsia"/>
                <w:sz w:val="24"/>
              </w:rPr>
              <w:t>基于场地资源与生态诊断的科学规划设计，在开发建设的同时采取符合场地实际的技术措施，并提供足够证据表明该技术措施可有效实现生态恢复或生态补偿。比如，在场地内规划设计多样化的生态体系，如湿地系统、乔灌草复合绿化体系、结合多层空间的立体绿化系统等，为本土动物提供生物通道和栖息场所。采用生态驳岸、生态浮岛等措施增加本地生物生存活动空间，充分利用水生动植物的水质自然净化功能保障水体水质。</w:t>
            </w:r>
          </w:p>
        </w:tc>
      </w:tr>
    </w:tbl>
    <w:p>
      <w:pPr>
        <w:spacing w:line="360" w:lineRule="auto"/>
        <w:rPr>
          <w:rFonts w:asciiTheme="minorEastAsia" w:hAnsiTheme="minorEastAsia" w:eastAsiaTheme="minorEastAsia"/>
          <w:sz w:val="24"/>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 xml:space="preserve">.2 </w:t>
      </w:r>
      <w:r>
        <w:rPr>
          <w:rFonts w:hint="eastAsia" w:asciiTheme="minorEastAsia" w:hAnsiTheme="minorEastAsia" w:eastAsiaTheme="minorEastAsia"/>
          <w:sz w:val="24"/>
          <w:lang w:val="en-GB"/>
        </w:rPr>
        <w:t>项目场地内存在有保留价值的古树名木，并采取的保护措施：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7"/>
        <w:gridCol w:w="4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DB33/1092-</w:t>
            </w:r>
            <w:r>
              <w:rPr>
                <w:sz w:val="24"/>
              </w:rPr>
              <w:t>2021</w:t>
            </w:r>
          </w:p>
        </w:tc>
        <w:tc>
          <w:tcPr>
            <w:tcW w:w="1667" w:type="dxa"/>
          </w:tcPr>
          <w:p>
            <w:pPr>
              <w:pStyle w:val="84"/>
              <w:spacing w:line="360" w:lineRule="auto"/>
              <w:rPr>
                <w:sz w:val="24"/>
              </w:rPr>
            </w:pPr>
            <w:r>
              <w:rPr>
                <w:sz w:val="24"/>
              </w:rPr>
              <w:t>10.2.4</w:t>
            </w:r>
            <w:r>
              <w:rPr>
                <w:rFonts w:hint="eastAsia"/>
                <w:sz w:val="24"/>
              </w:rPr>
              <w:t>条-1</w:t>
            </w:r>
          </w:p>
        </w:tc>
        <w:tc>
          <w:tcPr>
            <w:tcW w:w="4428" w:type="dxa"/>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设计人员在此条填写时应根据项目实际情况进行填写：</w:t>
            </w:r>
          </w:p>
          <w:p>
            <w:pPr>
              <w:pStyle w:val="84"/>
              <w:spacing w:line="360" w:lineRule="auto"/>
              <w:ind w:firstLine="480" w:firstLineChars="200"/>
              <w:jc w:val="left"/>
              <w:rPr>
                <w:sz w:val="24"/>
              </w:rPr>
            </w:pPr>
            <w:r>
              <w:rPr>
                <w:rFonts w:hint="eastAsia"/>
                <w:sz w:val="24"/>
              </w:rPr>
              <w:t>1). 如场地内无古树名木，可直接填写“否”；</w:t>
            </w:r>
          </w:p>
          <w:p>
            <w:pPr>
              <w:pStyle w:val="84"/>
              <w:spacing w:line="360" w:lineRule="auto"/>
              <w:ind w:firstLine="480" w:firstLineChars="200"/>
              <w:jc w:val="left"/>
              <w:rPr>
                <w:sz w:val="24"/>
              </w:rPr>
            </w:pPr>
            <w:r>
              <w:rPr>
                <w:rFonts w:hint="eastAsia"/>
                <w:sz w:val="24"/>
              </w:rPr>
              <w:t>2). 如场地内存在有保留价值的古树名木，则设计人员应在仔细查阅规划说明、总图、景观图纸等相关设计文件中</w:t>
            </w:r>
            <w:r>
              <w:rPr>
                <w:sz w:val="24"/>
              </w:rPr>
              <w:t>的</w:t>
            </w:r>
            <w:r>
              <w:rPr>
                <w:rFonts w:hint="eastAsia"/>
                <w:sz w:val="24"/>
              </w:rPr>
              <w:t>相应措施后，根据实际填写此项</w:t>
            </w:r>
            <w:r>
              <w:rPr>
                <w:sz w:val="24"/>
              </w:rPr>
              <w:t>内容</w:t>
            </w:r>
            <w:r>
              <w:rPr>
                <w:rFonts w:hint="eastAsia"/>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另外，如景观图未与土建施工图同时出图时，应在土建图中写明相应措施为景观设计的前置要求，并在总平面图及设计说明中表达。</w:t>
            </w:r>
          </w:p>
          <w:p>
            <w:pPr>
              <w:pStyle w:val="84"/>
              <w:spacing w:line="360" w:lineRule="auto"/>
              <w:ind w:firstLine="480" w:firstLineChars="200"/>
              <w:jc w:val="left"/>
              <w:rPr>
                <w:sz w:val="24"/>
              </w:rPr>
            </w:pPr>
            <w:r>
              <w:rPr>
                <w:rFonts w:hint="eastAsia"/>
                <w:sz w:val="24"/>
              </w:rPr>
              <w:t>场</w:t>
            </w:r>
            <w:r>
              <w:rPr>
                <w:sz w:val="24"/>
              </w:rPr>
              <w:t>地</w:t>
            </w:r>
            <w:r>
              <w:rPr>
                <w:rFonts w:hint="eastAsia"/>
                <w:sz w:val="24"/>
              </w:rPr>
              <w:t>规</w:t>
            </w:r>
            <w:r>
              <w:rPr>
                <w:sz w:val="24"/>
              </w:rPr>
              <w:t>划</w:t>
            </w:r>
            <w:r>
              <w:rPr>
                <w:rFonts w:hint="eastAsia"/>
                <w:sz w:val="24"/>
              </w:rPr>
              <w:t>应</w:t>
            </w:r>
            <w:r>
              <w:rPr>
                <w:sz w:val="24"/>
              </w:rPr>
              <w:t>因地制宜，与周</w:t>
            </w:r>
            <w:r>
              <w:rPr>
                <w:rFonts w:hint="eastAsia"/>
                <w:sz w:val="24"/>
              </w:rPr>
              <w:t>边</w:t>
            </w:r>
            <w:r>
              <w:rPr>
                <w:sz w:val="24"/>
              </w:rPr>
              <w:t>自然</w:t>
            </w:r>
            <w:r>
              <w:rPr>
                <w:rFonts w:hint="eastAsia"/>
                <w:sz w:val="24"/>
              </w:rPr>
              <w:t>环</w:t>
            </w:r>
            <w:r>
              <w:rPr>
                <w:sz w:val="24"/>
              </w:rPr>
              <w:t>境建立有机共生</w:t>
            </w:r>
            <w:r>
              <w:rPr>
                <w:rFonts w:hint="eastAsia"/>
                <w:sz w:val="24"/>
              </w:rPr>
              <w:t>关系，保持或提升场</w:t>
            </w:r>
            <w:r>
              <w:rPr>
                <w:sz w:val="24"/>
              </w:rPr>
              <w:t>地及周</w:t>
            </w:r>
            <w:r>
              <w:rPr>
                <w:rFonts w:hint="eastAsia"/>
                <w:sz w:val="24"/>
              </w:rPr>
              <w:t>边</w:t>
            </w:r>
            <w:r>
              <w:rPr>
                <w:sz w:val="24"/>
              </w:rPr>
              <w:t>地区的生物多</w:t>
            </w:r>
            <w:r>
              <w:rPr>
                <w:rFonts w:hint="eastAsia"/>
                <w:sz w:val="24"/>
              </w:rPr>
              <w:t>样</w:t>
            </w:r>
            <w:r>
              <w:rPr>
                <w:sz w:val="24"/>
              </w:rPr>
              <w:t>性指</w:t>
            </w:r>
            <w:r>
              <w:rPr>
                <w:rFonts w:hint="eastAsia"/>
                <w:sz w:val="24"/>
              </w:rPr>
              <w:t>标。</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.3</w:t>
      </w:r>
      <w:r>
        <w:rPr>
          <w:rFonts w:hint="eastAsia" w:asciiTheme="minorEastAsia" w:hAnsiTheme="minorEastAsia" w:eastAsiaTheme="minorEastAsia"/>
          <w:sz w:val="24"/>
          <w:lang w:val="en-GB"/>
        </w:rPr>
        <w:t>地下空间开发利用中，采取保护地下水体补充路径的措施。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sz w:val="24"/>
              </w:rPr>
              <w:t>7.2.12</w:t>
            </w:r>
            <w:r>
              <w:rPr>
                <w:rFonts w:hint="eastAsia"/>
                <w:sz w:val="24"/>
              </w:rPr>
              <w:t>条-</w:t>
            </w:r>
            <w:r>
              <w:rPr>
                <w:sz w:val="24"/>
              </w:rPr>
              <w:t>2</w:t>
            </w:r>
          </w:p>
        </w:tc>
        <w:tc>
          <w:tcPr>
            <w:tcW w:w="4431" w:type="dxa"/>
          </w:tcPr>
          <w:p>
            <w:pPr>
              <w:pStyle w:val="84"/>
              <w:spacing w:line="360" w:lineRule="auto"/>
              <w:rPr>
                <w:sz w:val="24"/>
              </w:rPr>
            </w:pPr>
            <w:r>
              <w:rPr>
                <w:sz w:val="24"/>
              </w:rPr>
              <w:t>4</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restart"/>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rFonts w:hint="eastAsia"/>
                <w:sz w:val="24"/>
              </w:rPr>
              <w:t>4</w:t>
            </w:r>
            <w:r>
              <w:rPr>
                <w:sz w:val="24"/>
              </w:rPr>
              <w:t>.3.2</w:t>
            </w:r>
            <w:r>
              <w:rPr>
                <w:rFonts w:hint="eastAsia"/>
                <w:sz w:val="24"/>
              </w:rPr>
              <w:t>条-</w:t>
            </w:r>
            <w:r>
              <w:rPr>
                <w:sz w:val="24"/>
              </w:rPr>
              <w:t>3</w:t>
            </w:r>
          </w:p>
        </w:tc>
        <w:tc>
          <w:tcPr>
            <w:tcW w:w="4431"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tcPr>
          <w:p>
            <w:pPr>
              <w:pStyle w:val="84"/>
              <w:spacing w:line="360" w:lineRule="auto"/>
              <w:rPr>
                <w:sz w:val="24"/>
              </w:rPr>
            </w:pPr>
            <w:r>
              <w:rPr>
                <w:rFonts w:hint="eastAsia"/>
                <w:sz w:val="24"/>
              </w:rPr>
              <w:t>1</w:t>
            </w:r>
            <w:r>
              <w:rPr>
                <w:sz w:val="24"/>
              </w:rPr>
              <w:t>0.3.4</w:t>
            </w:r>
            <w:r>
              <w:rPr>
                <w:rFonts w:hint="eastAsia"/>
                <w:sz w:val="24"/>
              </w:rPr>
              <w:t>条</w:t>
            </w:r>
          </w:p>
        </w:tc>
        <w:tc>
          <w:tcPr>
            <w:tcW w:w="4431"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tcPr>
          <w:p>
            <w:pPr>
              <w:pStyle w:val="84"/>
              <w:spacing w:line="360" w:lineRule="auto"/>
              <w:rPr>
                <w:sz w:val="24"/>
              </w:rPr>
            </w:pPr>
            <w:r>
              <w:rPr>
                <w:rFonts w:hint="eastAsia"/>
                <w:sz w:val="24"/>
              </w:rPr>
              <w:t>1</w:t>
            </w:r>
            <w:r>
              <w:rPr>
                <w:sz w:val="24"/>
              </w:rPr>
              <w:t>0.4.5</w:t>
            </w:r>
            <w:r>
              <w:rPr>
                <w:rFonts w:hint="eastAsia"/>
                <w:sz w:val="24"/>
              </w:rPr>
              <w:t>条</w:t>
            </w:r>
          </w:p>
        </w:tc>
        <w:tc>
          <w:tcPr>
            <w:tcW w:w="4431"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设计人员根据相关设计文件(含总平面图竖向、室内外给排水施工图、水景详图、地下室施工图等)，水量平衡计算书，以及根据实际情况，填写此项内容。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景观水体的水质根据水景补水水源和功能性质不同，应不低于国家现行标准的相关要求，具体水质标准详见GB/T 50378-201</w:t>
            </w:r>
            <w:r>
              <w:rPr>
                <w:sz w:val="24"/>
              </w:rPr>
              <w:t>9</w:t>
            </w:r>
            <w:r>
              <w:rPr>
                <w:rFonts w:hint="eastAsia"/>
                <w:sz w:val="24"/>
              </w:rPr>
              <w:t>第5．2．4条。景观水体的水质保障应采用生态水处理技术，在雨水进入景观水体之前充分利用植物和土壤渗滤作用削减径流污染，通过采用非硬质池底及生态驳岸，为水生动植物提供栖息条件，通过水生动植物对水体进行净化；必要时可采取其他辅助手段对水体进行净化，保障水体水质安全。</w:t>
            </w:r>
          </w:p>
          <w:p>
            <w:pPr>
              <w:pStyle w:val="84"/>
              <w:spacing w:line="360" w:lineRule="auto"/>
              <w:ind w:firstLine="480" w:firstLineChars="200"/>
              <w:jc w:val="left"/>
              <w:rPr>
                <w:sz w:val="24"/>
              </w:rPr>
            </w:pPr>
            <w:r>
              <w:rPr>
                <w:sz w:val="24"/>
              </w:rPr>
              <w:t>从雨水渗透及地下水补给、减少径流外排等生态环保要求出发，地下空间应利用有度、科学合理。</w:t>
            </w:r>
          </w:p>
          <w:p>
            <w:pPr>
              <w:pStyle w:val="84"/>
              <w:spacing w:line="360" w:lineRule="auto"/>
              <w:ind w:firstLine="480" w:firstLineChars="200"/>
              <w:jc w:val="left"/>
              <w:rPr>
                <w:sz w:val="24"/>
              </w:rPr>
            </w:pPr>
            <w:r>
              <w:rPr>
                <w:sz w:val="24"/>
              </w:rPr>
              <w:t>雨水进入景观水体之前应设置前置塘、植被缓冲带等预处理设施， 同时可采用植草沟传输雨水，以降低径流污染负荷。景观水体宜采用非硬质池底及生态护坡，为水生植物提供栖息或生长条件，并通过水生动植物提高水体的自净能力</w:t>
            </w:r>
            <w:r>
              <w:rPr>
                <w:rFonts w:hint="eastAsia"/>
                <w:sz w:val="24"/>
              </w:rPr>
              <w:t>。</w:t>
            </w:r>
          </w:p>
          <w:p>
            <w:pPr>
              <w:pStyle w:val="84"/>
              <w:spacing w:line="360" w:lineRule="auto"/>
              <w:ind w:firstLine="480" w:firstLineChars="200"/>
              <w:jc w:val="left"/>
              <w:rPr>
                <w:sz w:val="24"/>
              </w:rPr>
            </w:pPr>
            <w:r>
              <w:rPr>
                <w:sz w:val="24"/>
              </w:rPr>
              <w:t>景观水体应加强水体的水力循环，宜利用太阳能、风能等清洁能源为园林景观提供水体循环的动力，使水体循环通过人工湿地、生态湖岸或生态圈进行生态恢复与重建</w:t>
            </w:r>
            <w:r>
              <w:rPr>
                <w:rFonts w:hint="eastAsia"/>
                <w:sz w:val="24"/>
              </w:rPr>
              <w:t>。</w:t>
            </w:r>
          </w:p>
        </w:tc>
      </w:tr>
    </w:tbl>
    <w:p>
      <w:pPr>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hint="eastAsia" w:asciiTheme="minorEastAsia" w:hAnsiTheme="minorEastAsia" w:eastAsiaTheme="minorEastAsia"/>
          <w:sz w:val="24"/>
          <w:lang w:val="en-GB"/>
        </w:rPr>
        <w:t>景观绿化设计：</w:t>
      </w:r>
      <w:r>
        <w:rPr>
          <w:rFonts w:asciiTheme="minorEastAsia" w:hAnsiTheme="minorEastAsia" w:eastAsiaTheme="minorEastAsia"/>
          <w:sz w:val="24"/>
          <w:lang w:val="en-GB"/>
        </w:rPr>
        <w:t xml:space="preserve"> </w:t>
      </w:r>
    </w:p>
    <w:p>
      <w:pPr>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.1 </w:t>
      </w:r>
      <w:r>
        <w:rPr>
          <w:rFonts w:hint="eastAsia" w:asciiTheme="minorEastAsia" w:hAnsiTheme="minorEastAsia" w:eastAsiaTheme="minorEastAsia"/>
          <w:sz w:val="24"/>
          <w:lang w:val="en-GB"/>
        </w:rPr>
        <w:t>景观设计结合项目进行专项设计；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rFonts w:hint="eastAsia"/>
                <w:sz w:val="24"/>
              </w:rPr>
              <w:t>1</w:t>
            </w:r>
            <w:r>
              <w:rPr>
                <w:sz w:val="24"/>
              </w:rPr>
              <w:t>0.1.2</w:t>
            </w:r>
            <w:r>
              <w:rPr>
                <w:rFonts w:hint="eastAsia"/>
                <w:sz w:val="24"/>
              </w:rPr>
              <w:t>条</w:t>
            </w:r>
          </w:p>
        </w:tc>
        <w:tc>
          <w:tcPr>
            <w:tcW w:w="4431"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jc w:val="left"/>
              <w:rPr>
                <w:sz w:val="24"/>
              </w:rPr>
            </w:pPr>
            <w:r>
              <w:rPr>
                <w:rFonts w:hint="eastAsia"/>
                <w:sz w:val="24"/>
              </w:rPr>
              <w:t>设计人员根据景观专篇相关设计文件，以及根据实际情况，填写此项内容。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sz w:val="24"/>
              </w:rPr>
              <w:t>景观设计应结合项目进行专项设计，综合考虑各类景观环境要素，优化场地的风环境、声环境、光环境、热环境、空气质 量、视觉环境和嗅觉环境等，并提供配套设施，对设置绿化的区 域进行场地光和有效辐射分析。</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.2 </w:t>
      </w:r>
      <w:r>
        <w:rPr>
          <w:rFonts w:hint="eastAsia" w:asciiTheme="minorEastAsia" w:hAnsiTheme="minorEastAsia" w:eastAsiaTheme="minorEastAsia"/>
          <w:sz w:val="24"/>
          <w:lang w:val="en-GB"/>
        </w:rPr>
        <w:t>规划条件要求绿地率；设计绿地率；可计入绿地率的绿地面积；绿地向社会公众开放；</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.3 </w:t>
      </w:r>
      <w:r>
        <w:rPr>
          <w:rFonts w:hint="eastAsia" w:asciiTheme="minorEastAsia" w:hAnsiTheme="minorEastAsia" w:eastAsiaTheme="minorEastAsia"/>
          <w:sz w:val="24"/>
          <w:lang w:val="en-GB"/>
        </w:rPr>
        <w:t>绿化设置位置；</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.4 </w:t>
      </w:r>
      <w:r>
        <w:rPr>
          <w:rFonts w:hint="eastAsia" w:asciiTheme="minorEastAsia" w:hAnsiTheme="minorEastAsia" w:eastAsiaTheme="minorEastAsia"/>
          <w:sz w:val="24"/>
          <w:lang w:val="en-GB"/>
        </w:rPr>
        <w:t>多层公共建筑屋面及高层公共建筑裙房屋面绿化面积占可绿化屋面面积的比例（Rg）；</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.5 </w:t>
      </w:r>
      <w:r>
        <w:rPr>
          <w:rFonts w:hint="eastAsia" w:asciiTheme="minorEastAsia" w:hAnsiTheme="minorEastAsia" w:eastAsiaTheme="minorEastAsia"/>
          <w:sz w:val="24"/>
          <w:lang w:val="en-GB"/>
        </w:rPr>
        <w:t>室外绿化设计实施要求；</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.6 </w:t>
      </w:r>
      <w:r>
        <w:rPr>
          <w:rFonts w:hint="eastAsia" w:asciiTheme="minorEastAsia" w:hAnsiTheme="minorEastAsia" w:eastAsiaTheme="minorEastAsia"/>
          <w:sz w:val="24"/>
          <w:lang w:val="en-GB"/>
        </w:rPr>
        <w:t>合理选择绿化方式，植物种植适应浙江省气候和土壤，且无毒害、易维护；</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.7 </w:t>
      </w:r>
      <w:r>
        <w:rPr>
          <w:rFonts w:hint="eastAsia" w:asciiTheme="minorEastAsia" w:hAnsiTheme="minorEastAsia" w:eastAsiaTheme="minorEastAsia"/>
          <w:sz w:val="24"/>
          <w:lang w:val="en-GB"/>
        </w:rPr>
        <w:t>种植区域覆土深度和排水能力满足植物生长需求，并采用乔、灌、草结合等复层绿化方式；</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hint="eastAsia" w:asciiTheme="minorEastAsia" w:hAnsiTheme="minorEastAsia" w:eastAsiaTheme="minorEastAsia"/>
          <w:sz w:val="24"/>
          <w:lang w:val="en-GB"/>
        </w:rPr>
        <w:t>.</w:t>
      </w:r>
      <w:r>
        <w:rPr>
          <w:rFonts w:asciiTheme="minorEastAsia" w:hAnsiTheme="minorEastAsia" w:eastAsiaTheme="minorEastAsia"/>
          <w:sz w:val="24"/>
          <w:lang w:val="en-GB"/>
        </w:rPr>
        <w:t>8</w:t>
      </w:r>
      <w:r>
        <w:rPr>
          <w:rFonts w:asciiTheme="minorEastAsia" w:hAnsiTheme="minorEastAsia" w:eastAsiaTheme="minorEastAsia"/>
          <w:sz w:val="24"/>
        </w:rPr>
        <w:t xml:space="preserve"> </w:t>
      </w:r>
      <w:r>
        <w:rPr>
          <w:rFonts w:hint="eastAsia" w:asciiTheme="minorEastAsia" w:hAnsiTheme="minorEastAsia" w:eastAsiaTheme="minorEastAsia"/>
          <w:sz w:val="24"/>
          <w:lang w:eastAsia="zh-Hans"/>
        </w:rPr>
        <w:t>不选用移植大树，</w:t>
      </w:r>
      <w:r>
        <w:rPr>
          <w:rFonts w:hint="eastAsia" w:asciiTheme="minorEastAsia" w:hAnsiTheme="minorEastAsia" w:eastAsiaTheme="minorEastAsia"/>
          <w:sz w:val="24"/>
          <w:lang w:val="en-GB"/>
        </w:rPr>
        <w:t>种植</w:t>
      </w:r>
      <w:r>
        <w:rPr>
          <w:rFonts w:hint="eastAsia" w:asciiTheme="minorEastAsia" w:hAnsiTheme="minorEastAsia" w:eastAsiaTheme="minorEastAsia"/>
          <w:sz w:val="24"/>
        </w:rPr>
        <w:t>无须永久灌溉植物：</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2409"/>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022" w:type="dxa"/>
            <w:vMerge w:val="restart"/>
          </w:tcPr>
          <w:p>
            <w:pPr>
              <w:pStyle w:val="84"/>
              <w:spacing w:line="360" w:lineRule="auto"/>
              <w:rPr>
                <w:sz w:val="24"/>
              </w:rPr>
            </w:pPr>
            <w:r>
              <w:rPr>
                <w:rFonts w:hint="eastAsia"/>
                <w:sz w:val="24"/>
              </w:rPr>
              <w:t>GB/T 50378-201</w:t>
            </w:r>
            <w:r>
              <w:rPr>
                <w:sz w:val="24"/>
              </w:rPr>
              <w:t>9</w:t>
            </w:r>
          </w:p>
        </w:tc>
        <w:tc>
          <w:tcPr>
            <w:tcW w:w="2409" w:type="dxa"/>
          </w:tcPr>
          <w:p>
            <w:pPr>
              <w:pStyle w:val="84"/>
              <w:spacing w:line="360" w:lineRule="auto"/>
              <w:rPr>
                <w:sz w:val="24"/>
              </w:rPr>
            </w:pPr>
            <w:r>
              <w:rPr>
                <w:rFonts w:hint="eastAsia"/>
                <w:sz w:val="24"/>
              </w:rPr>
              <w:t>8</w:t>
            </w:r>
            <w:r>
              <w:rPr>
                <w:sz w:val="24"/>
              </w:rPr>
              <w:t>.2.3</w:t>
            </w:r>
            <w:r>
              <w:rPr>
                <w:rFonts w:hint="eastAsia"/>
                <w:sz w:val="24"/>
              </w:rPr>
              <w:t>条-</w:t>
            </w:r>
            <w:r>
              <w:rPr>
                <w:sz w:val="24"/>
              </w:rPr>
              <w:t>2</w:t>
            </w:r>
          </w:p>
        </w:tc>
        <w:tc>
          <w:tcPr>
            <w:tcW w:w="3686" w:type="dxa"/>
          </w:tcPr>
          <w:p>
            <w:pPr>
              <w:pStyle w:val="84"/>
              <w:spacing w:line="360" w:lineRule="auto"/>
              <w:rPr>
                <w:sz w:val="24"/>
              </w:rPr>
            </w:pPr>
            <w:r>
              <w:rPr>
                <w:sz w:val="24"/>
              </w:rPr>
              <w:t>1</w:t>
            </w:r>
            <w:r>
              <w:rPr>
                <w:rFonts w:hint="eastAsia"/>
                <w:sz w:val="24"/>
              </w:rPr>
              <w:t>）1</w:t>
            </w:r>
            <w:r>
              <w:rPr>
                <w:sz w:val="24"/>
              </w:rPr>
              <w:t>0</w:t>
            </w:r>
            <w:r>
              <w:rPr>
                <w:rFonts w:hint="eastAsia"/>
                <w:sz w:val="24"/>
              </w:rPr>
              <w:t xml:space="preserve">分 </w:t>
            </w:r>
            <w:r>
              <w:rPr>
                <w:sz w:val="24"/>
              </w:rPr>
              <w:t>2</w:t>
            </w:r>
            <w:r>
              <w:rPr>
                <w:rFonts w:hint="eastAsia"/>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409" w:type="dxa"/>
          </w:tcPr>
          <w:p>
            <w:pPr>
              <w:pStyle w:val="84"/>
              <w:spacing w:line="360" w:lineRule="auto"/>
              <w:rPr>
                <w:sz w:val="24"/>
              </w:rPr>
            </w:pPr>
            <w:r>
              <w:rPr>
                <w:sz w:val="24"/>
              </w:rPr>
              <w:t>9.2.4</w:t>
            </w:r>
            <w:r>
              <w:rPr>
                <w:rFonts w:hint="eastAsia"/>
                <w:sz w:val="24"/>
              </w:rPr>
              <w:t>条</w:t>
            </w:r>
          </w:p>
        </w:tc>
        <w:tc>
          <w:tcPr>
            <w:tcW w:w="3686" w:type="dxa"/>
          </w:tcPr>
          <w:p>
            <w:pPr>
              <w:pStyle w:val="84"/>
              <w:spacing w:line="360" w:lineRule="auto"/>
              <w:rPr>
                <w:sz w:val="24"/>
              </w:rPr>
            </w:pPr>
            <w:r>
              <w:rPr>
                <w:rFonts w:hint="eastAsia"/>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restart"/>
          </w:tcPr>
          <w:p>
            <w:pPr>
              <w:pStyle w:val="84"/>
              <w:spacing w:line="360" w:lineRule="auto"/>
              <w:rPr>
                <w:sz w:val="24"/>
              </w:rPr>
            </w:pPr>
            <w:r>
              <w:rPr>
                <w:rFonts w:hint="eastAsia"/>
                <w:sz w:val="24"/>
              </w:rPr>
              <w:t>DB33/1092-</w:t>
            </w:r>
            <w:r>
              <w:rPr>
                <w:sz w:val="24"/>
              </w:rPr>
              <w:t>2021</w:t>
            </w:r>
          </w:p>
        </w:tc>
        <w:tc>
          <w:tcPr>
            <w:tcW w:w="2409" w:type="dxa"/>
          </w:tcPr>
          <w:p>
            <w:pPr>
              <w:pStyle w:val="84"/>
              <w:spacing w:line="360" w:lineRule="auto"/>
              <w:rPr>
                <w:sz w:val="24"/>
              </w:rPr>
            </w:pPr>
            <w:r>
              <w:rPr>
                <w:rFonts w:hint="eastAsia"/>
                <w:sz w:val="24"/>
              </w:rPr>
              <w:t>1</w:t>
            </w:r>
            <w:r>
              <w:rPr>
                <w:sz w:val="24"/>
              </w:rPr>
              <w:t>0.1.3</w:t>
            </w:r>
            <w:r>
              <w:rPr>
                <w:rFonts w:hint="eastAsia"/>
                <w:sz w:val="24"/>
              </w:rPr>
              <w:t>条</w:t>
            </w:r>
          </w:p>
        </w:tc>
        <w:tc>
          <w:tcPr>
            <w:tcW w:w="3686"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1</w:t>
            </w:r>
            <w:r>
              <w:rPr>
                <w:sz w:val="24"/>
              </w:rPr>
              <w:t>0.1.4</w:t>
            </w:r>
            <w:r>
              <w:rPr>
                <w:rFonts w:hint="eastAsia"/>
                <w:sz w:val="24"/>
              </w:rPr>
              <w:t>条</w:t>
            </w:r>
          </w:p>
        </w:tc>
        <w:tc>
          <w:tcPr>
            <w:tcW w:w="3686"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1</w:t>
            </w:r>
            <w:r>
              <w:rPr>
                <w:sz w:val="24"/>
              </w:rPr>
              <w:t>0.2.3</w:t>
            </w:r>
            <w:r>
              <w:rPr>
                <w:rFonts w:hint="eastAsia"/>
                <w:sz w:val="24"/>
              </w:rPr>
              <w:t>条-</w:t>
            </w:r>
            <w:r>
              <w:rPr>
                <w:sz w:val="24"/>
              </w:rPr>
              <w:t>2</w:t>
            </w:r>
          </w:p>
        </w:tc>
        <w:tc>
          <w:tcPr>
            <w:tcW w:w="3686"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1</w:t>
            </w:r>
            <w:r>
              <w:rPr>
                <w:sz w:val="24"/>
              </w:rPr>
              <w:t>0.2.4</w:t>
            </w:r>
            <w:r>
              <w:rPr>
                <w:rFonts w:hint="eastAsia"/>
                <w:sz w:val="24"/>
              </w:rPr>
              <w:t>条-</w:t>
            </w:r>
            <w:r>
              <w:rPr>
                <w:sz w:val="24"/>
              </w:rPr>
              <w:t>2</w:t>
            </w:r>
            <w:r>
              <w:rPr>
                <w:rFonts w:hint="eastAsia"/>
                <w:sz w:val="24"/>
              </w:rPr>
              <w:t>-</w:t>
            </w:r>
            <w:r>
              <w:rPr>
                <w:sz w:val="24"/>
              </w:rPr>
              <w:t>3</w:t>
            </w:r>
          </w:p>
        </w:tc>
        <w:tc>
          <w:tcPr>
            <w:tcW w:w="3686"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1</w:t>
            </w:r>
            <w:r>
              <w:rPr>
                <w:sz w:val="24"/>
              </w:rPr>
              <w:t>0.3.3</w:t>
            </w:r>
            <w:r>
              <w:rPr>
                <w:rFonts w:hint="eastAsia"/>
                <w:sz w:val="24"/>
              </w:rPr>
              <w:t>条-</w:t>
            </w:r>
            <w:r>
              <w:rPr>
                <w:sz w:val="24"/>
              </w:rPr>
              <w:t>1-3</w:t>
            </w:r>
          </w:p>
        </w:tc>
        <w:tc>
          <w:tcPr>
            <w:tcW w:w="3686"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应根据项目施工图设计文件的总说明中或总图注释说明中应体现绿地向社会公众开放的设计要求及措施，依照项目实际，填写此项内容。其中：依据项目建筑性质，例如：幼儿园、小学、中学、医院建筑的绿地，可视为开放绿地。</w:t>
            </w:r>
          </w:p>
          <w:p>
            <w:pPr>
              <w:pStyle w:val="84"/>
              <w:spacing w:line="360" w:lineRule="auto"/>
              <w:ind w:firstLine="480" w:firstLineChars="200"/>
              <w:jc w:val="left"/>
              <w:rPr>
                <w:sz w:val="24"/>
              </w:rPr>
            </w:pPr>
            <w:r>
              <w:rPr>
                <w:rFonts w:hint="eastAsia"/>
                <w:sz w:val="24"/>
              </w:rPr>
              <w:t>设计人员应根据景观园林种植平面图和苗木表（查阅苗木表中的乔木总株数，计算每100m2绿地种植的乔木数量），设计图纸中表明的场地内种植区域的覆土厚度等，还应依据设计图纸中的屋顶绿化或垂直绿化的区域和面积等数据，按照项目实际情况，来填写此项内容。</w:t>
            </w:r>
          </w:p>
          <w:p>
            <w:pPr>
              <w:pStyle w:val="84"/>
              <w:spacing w:line="360" w:lineRule="auto"/>
              <w:ind w:firstLine="480" w:firstLineChars="200"/>
              <w:jc w:val="left"/>
              <w:rPr>
                <w:sz w:val="24"/>
              </w:rPr>
            </w:pPr>
            <w:r>
              <w:rPr>
                <w:rFonts w:hint="eastAsia"/>
                <w:sz w:val="24"/>
              </w:rPr>
              <w:t>值得注意的是，植物类型可以参考DB33/1092-</w:t>
            </w:r>
            <w:r>
              <w:rPr>
                <w:sz w:val="24"/>
              </w:rPr>
              <w:t xml:space="preserve">2021 </w:t>
            </w:r>
            <w:r>
              <w:rPr>
                <w:rFonts w:hint="eastAsia"/>
                <w:sz w:val="24"/>
              </w:rPr>
              <w:t>附录</w:t>
            </w:r>
            <w:r>
              <w:rPr>
                <w:sz w:val="24"/>
              </w:rPr>
              <w:t xml:space="preserve">C </w:t>
            </w:r>
            <w:r>
              <w:rPr>
                <w:rFonts w:hint="eastAsia"/>
                <w:sz w:val="24"/>
              </w:rPr>
              <w:t>浙江地区部分常用植物，</w:t>
            </w:r>
            <w:r>
              <w:rPr>
                <w:sz w:val="24"/>
              </w:rPr>
              <w:t>场地各功能区的植物配置建议详见附录 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墙外种植的落叶阔叶乔木、室内垂直绿化、景观小品和围栏上的垂直绿化不计入垂直绿化，是否采用垂直绿化或屋顶绿化，应经技术经济分析论证。</w:t>
            </w:r>
          </w:p>
          <w:p>
            <w:pPr>
              <w:pStyle w:val="84"/>
              <w:spacing w:line="360" w:lineRule="auto"/>
              <w:jc w:val="left"/>
              <w:rPr>
                <w:sz w:val="24"/>
              </w:rPr>
            </w:pPr>
            <w:r>
              <w:rPr>
                <w:rFonts w:hint="eastAsia"/>
                <w:sz w:val="24"/>
              </w:rPr>
              <w:t>为保障城市公共空间的品质、提高服务质量，每个城市对城市中不同地段或不同性质的公共设施建设项目，都制定有相应的绿地管理控制要求。本条鼓励公共建筑项目优化建筑布局，提供更多的绿化用地或绿化广场，创造更加宜人的公共空间；鼓励绿地或绿化广场设置休葱、娱乐等设施并定时向社会公众免费开放，以提供更多的公共活动空间。</w:t>
            </w:r>
          </w:p>
          <w:p>
            <w:pPr>
              <w:pStyle w:val="84"/>
              <w:spacing w:line="360" w:lineRule="auto"/>
              <w:ind w:firstLine="480" w:firstLineChars="200"/>
              <w:jc w:val="left"/>
              <w:rPr>
                <w:sz w:val="24"/>
              </w:rPr>
            </w:pPr>
            <w:r>
              <w:rPr>
                <w:rFonts w:hint="eastAsia"/>
                <w:sz w:val="24"/>
              </w:rPr>
              <w:t>“室外绿化种植植物是否为乡土植物”，此条须按景观图纸进行说明与计算；如果土建施工图出图时，景观未同步设计，须施工图说明中提出对景观设计的前置要求。</w:t>
            </w:r>
          </w:p>
          <w:p>
            <w:pPr>
              <w:pStyle w:val="84"/>
              <w:spacing w:line="360" w:lineRule="auto"/>
              <w:ind w:firstLine="480" w:firstLineChars="200"/>
              <w:jc w:val="left"/>
              <w:rPr>
                <w:sz w:val="24"/>
              </w:rPr>
            </w:pPr>
            <w:r>
              <w:rPr>
                <w:rFonts w:hint="eastAsia"/>
                <w:sz w:val="24"/>
              </w:rPr>
              <w:t>植物配置应充分体现本地区植物资源的特点，突出地方特色。合理的植物物种选择和搭配会对绿地植被的生长起到促进作用。种植区域的覆士深度应满足乔、灌木自然生长的需要，满足申报项目所在地有关覆土深度的控制要求。</w:t>
            </w:r>
          </w:p>
          <w:p>
            <w:pPr>
              <w:pStyle w:val="84"/>
              <w:spacing w:line="360" w:lineRule="auto"/>
              <w:ind w:firstLine="480" w:firstLineChars="200"/>
              <w:jc w:val="left"/>
              <w:rPr>
                <w:sz w:val="24"/>
              </w:rPr>
            </w:pPr>
            <w:r>
              <w:rPr>
                <w:sz w:val="24"/>
              </w:rPr>
              <w:t>本地植物指数是指场地内全部植物种类中本地植物种类所占比例。本地植物包括：在本地自然生长的野生植物及其衍生品种、归化种及其衍生品种、驯化种及其衍生品种，浙江地区植物选择参照附录 A</w:t>
            </w:r>
            <w:r>
              <w:rPr>
                <w:rFonts w:hint="eastAsia"/>
                <w:sz w:val="24"/>
              </w:rPr>
              <w:t>。</w:t>
            </w:r>
            <w:r>
              <w:rPr>
                <w:sz w:val="24"/>
              </w:rPr>
              <w:t xml:space="preserve">植物配植应能体现浙江省丰富的植物资源和植物景观特色。在进行种植设计时，应根据植物的生态习性配置不同的植物品种，场地各功能区的植物配置建议详见附录 B。 </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w:t>
      </w:r>
      <w:r>
        <w:rPr>
          <w:rFonts w:hint="eastAsia" w:asciiTheme="minorEastAsia" w:hAnsiTheme="minorEastAsia" w:eastAsiaTheme="minorEastAsia"/>
          <w:sz w:val="24"/>
        </w:rPr>
        <w:t>4</w:t>
      </w:r>
      <w:r>
        <w:rPr>
          <w:rFonts w:asciiTheme="minorEastAsia" w:hAnsiTheme="minorEastAsia" w:eastAsiaTheme="minorEastAsia"/>
          <w:sz w:val="24"/>
          <w:lang w:val="en-GB"/>
        </w:rPr>
        <w:t xml:space="preserve">.9 </w:t>
      </w:r>
      <w:r>
        <w:rPr>
          <w:rFonts w:hint="eastAsia" w:asciiTheme="minorEastAsia" w:hAnsiTheme="minorEastAsia" w:eastAsiaTheme="minorEastAsia"/>
          <w:sz w:val="24"/>
          <w:lang w:val="en-GB"/>
        </w:rPr>
        <w:t>室外景观水体设计：（1）利用水生动、植物保障水体水质；（2）利用可再生能源提供景观水体循环的动力及景观照明；</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restart"/>
          </w:tcPr>
          <w:p>
            <w:pPr>
              <w:pStyle w:val="84"/>
              <w:spacing w:line="360" w:lineRule="auto"/>
              <w:rPr>
                <w:sz w:val="24"/>
              </w:rPr>
            </w:pPr>
            <w:r>
              <w:rPr>
                <w:rFonts w:hint="eastAsia"/>
                <w:sz w:val="24"/>
              </w:rPr>
              <w:t>条文来源</w:t>
            </w:r>
          </w:p>
        </w:tc>
        <w:tc>
          <w:tcPr>
            <w:tcW w:w="2022" w:type="dxa"/>
            <w:vMerge w:val="restart"/>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rFonts w:hint="eastAsia"/>
                <w:sz w:val="24"/>
              </w:rPr>
              <w:t>1</w:t>
            </w:r>
            <w:r>
              <w:rPr>
                <w:sz w:val="24"/>
              </w:rPr>
              <w:t>0.3.4</w:t>
            </w:r>
            <w:r>
              <w:rPr>
                <w:rFonts w:hint="eastAsia"/>
                <w:sz w:val="24"/>
              </w:rPr>
              <w:t>条</w:t>
            </w:r>
          </w:p>
        </w:tc>
        <w:tc>
          <w:tcPr>
            <w:tcW w:w="4431"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4" w:type="dxa"/>
          </w:tcPr>
          <w:p>
            <w:pPr>
              <w:pStyle w:val="84"/>
              <w:spacing w:line="360" w:lineRule="auto"/>
              <w:rPr>
                <w:sz w:val="24"/>
              </w:rPr>
            </w:pPr>
            <w:r>
              <w:rPr>
                <w:rFonts w:hint="eastAsia"/>
                <w:sz w:val="24"/>
              </w:rPr>
              <w:t>1</w:t>
            </w:r>
            <w:r>
              <w:rPr>
                <w:sz w:val="24"/>
              </w:rPr>
              <w:t>0.4.5</w:t>
            </w:r>
            <w:r>
              <w:rPr>
                <w:rFonts w:hint="eastAsia"/>
                <w:sz w:val="24"/>
              </w:rPr>
              <w:t>条</w:t>
            </w:r>
          </w:p>
        </w:tc>
        <w:tc>
          <w:tcPr>
            <w:tcW w:w="4431" w:type="dxa"/>
          </w:tcPr>
          <w:p>
            <w:pPr>
              <w:pStyle w:val="84"/>
              <w:spacing w:line="360" w:lineRule="auto"/>
              <w:rPr>
                <w:sz w:val="24"/>
              </w:rPr>
            </w:pPr>
            <w:r>
              <w:rPr>
                <w:rFonts w:hint="eastAsia"/>
                <w:sz w:val="24"/>
              </w:rPr>
              <w:t>三星级设计要求（宜）</w:t>
            </w:r>
          </w:p>
        </w:tc>
      </w:tr>
    </w:tbl>
    <w:p>
      <w:pPr>
        <w:spacing w:line="360" w:lineRule="auto"/>
        <w:ind w:firstLine="420"/>
        <w:rPr>
          <w:rFonts w:asciiTheme="minorEastAsia" w:hAnsiTheme="minorEastAsia" w:eastAsiaTheme="minorEastAsia"/>
          <w:sz w:val="24"/>
          <w:lang w:val="en-GB"/>
        </w:rPr>
      </w:pPr>
    </w:p>
    <w:p>
      <w:pPr>
        <w:pStyle w:val="87"/>
        <w:numPr>
          <w:ilvl w:val="0"/>
          <w:numId w:val="60"/>
        </w:num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低影响开发的技术措施：</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 xml:space="preserve">.1 </w:t>
      </w:r>
      <w:r>
        <w:rPr>
          <w:rFonts w:hint="eastAsia" w:asciiTheme="minorEastAsia" w:hAnsiTheme="minorEastAsia" w:eastAsiaTheme="minorEastAsia"/>
          <w:sz w:val="24"/>
        </w:rPr>
        <w:t>项目进行场地雨洪控制综合利用的评估和规划；场地年径流总量控制率；合理衔接和引导屋面、道路雨水进入地面生态设施，并采取相应的径流污染控制措施；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025"/>
        <w:gridCol w:w="2126"/>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4" w:type="dxa"/>
            <w:vMerge w:val="restart"/>
          </w:tcPr>
          <w:p>
            <w:pPr>
              <w:pStyle w:val="84"/>
              <w:spacing w:line="360" w:lineRule="auto"/>
              <w:rPr>
                <w:sz w:val="24"/>
              </w:rPr>
            </w:pPr>
            <w:r>
              <w:rPr>
                <w:rFonts w:hint="eastAsia"/>
                <w:sz w:val="24"/>
              </w:rPr>
              <w:t>条文来源</w:t>
            </w:r>
          </w:p>
        </w:tc>
        <w:tc>
          <w:tcPr>
            <w:tcW w:w="2025" w:type="dxa"/>
            <w:vMerge w:val="restart"/>
          </w:tcPr>
          <w:p>
            <w:pPr>
              <w:pStyle w:val="84"/>
              <w:spacing w:line="360" w:lineRule="auto"/>
              <w:rPr>
                <w:sz w:val="24"/>
              </w:rPr>
            </w:pPr>
            <w:r>
              <w:rPr>
                <w:rFonts w:hint="eastAsia"/>
                <w:sz w:val="24"/>
              </w:rPr>
              <w:t>GB/T 50378-201</w:t>
            </w:r>
            <w:r>
              <w:rPr>
                <w:sz w:val="24"/>
              </w:rPr>
              <w:t>9</w:t>
            </w:r>
          </w:p>
        </w:tc>
        <w:tc>
          <w:tcPr>
            <w:tcW w:w="2126" w:type="dxa"/>
          </w:tcPr>
          <w:p>
            <w:pPr>
              <w:pStyle w:val="84"/>
              <w:spacing w:line="360" w:lineRule="auto"/>
              <w:rPr>
                <w:sz w:val="24"/>
              </w:rPr>
            </w:pPr>
            <w:r>
              <w:rPr>
                <w:rFonts w:hint="eastAsia"/>
                <w:sz w:val="24"/>
              </w:rPr>
              <w:t>7</w:t>
            </w:r>
            <w:r>
              <w:rPr>
                <w:sz w:val="24"/>
              </w:rPr>
              <w:t>.2.12</w:t>
            </w:r>
            <w:r>
              <w:rPr>
                <w:rFonts w:hint="eastAsia"/>
                <w:sz w:val="24"/>
              </w:rPr>
              <w:t>条 -</w:t>
            </w:r>
            <w:r>
              <w:rPr>
                <w:sz w:val="24"/>
              </w:rPr>
              <w:t>1</w:t>
            </w:r>
          </w:p>
        </w:tc>
        <w:tc>
          <w:tcPr>
            <w:tcW w:w="3969" w:type="dxa"/>
          </w:tcPr>
          <w:p>
            <w:pPr>
              <w:pStyle w:val="84"/>
              <w:spacing w:line="360" w:lineRule="auto"/>
              <w:rPr>
                <w:sz w:val="24"/>
              </w:rPr>
            </w:pPr>
            <w:r>
              <w:rPr>
                <w:rFonts w:hint="eastAsia"/>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sz w:val="24"/>
              </w:rPr>
              <w:t>8.2.2</w:t>
            </w:r>
            <w:r>
              <w:rPr>
                <w:rFonts w:hint="eastAsia"/>
                <w:sz w:val="24"/>
              </w:rPr>
              <w:t>条</w:t>
            </w:r>
          </w:p>
        </w:tc>
        <w:tc>
          <w:tcPr>
            <w:tcW w:w="3969" w:type="dxa"/>
          </w:tcPr>
          <w:p>
            <w:pPr>
              <w:pStyle w:val="84"/>
              <w:spacing w:line="360" w:lineRule="auto"/>
              <w:rPr>
                <w:sz w:val="24"/>
              </w:rPr>
            </w:pPr>
            <w:r>
              <w:rPr>
                <w:rFonts w:hint="eastAsia"/>
                <w:sz w:val="24"/>
              </w:rPr>
              <w:t>场地年径流总量控制率达到55％，得5分；达到70％，得10分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sz w:val="24"/>
              </w:rPr>
              <w:t>8.2.5</w:t>
            </w:r>
            <w:r>
              <w:rPr>
                <w:rFonts w:hint="eastAsia"/>
                <w:sz w:val="24"/>
              </w:rPr>
              <w:t>条-</w:t>
            </w:r>
            <w:r>
              <w:rPr>
                <w:sz w:val="24"/>
              </w:rPr>
              <w:t>2</w:t>
            </w:r>
          </w:p>
        </w:tc>
        <w:tc>
          <w:tcPr>
            <w:tcW w:w="3969" w:type="dxa"/>
          </w:tcPr>
          <w:p>
            <w:pPr>
              <w:pStyle w:val="84"/>
              <w:spacing w:line="360" w:lineRule="auto"/>
              <w:rPr>
                <w:sz w:val="24"/>
              </w:rPr>
            </w:pPr>
            <w:r>
              <w:rPr>
                <w:rFonts w:hint="eastAsia"/>
                <w:sz w:val="24"/>
              </w:rPr>
              <w:t>衔接和引导不少于80％的屋面雨水进入地面生态设施，得3分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sz w:val="24"/>
              </w:rPr>
              <w:t>8.2.5</w:t>
            </w:r>
            <w:r>
              <w:rPr>
                <w:rFonts w:hint="eastAsia"/>
                <w:sz w:val="24"/>
              </w:rPr>
              <w:t>条-</w:t>
            </w:r>
            <w:r>
              <w:rPr>
                <w:sz w:val="24"/>
              </w:rPr>
              <w:t>3</w:t>
            </w:r>
          </w:p>
        </w:tc>
        <w:tc>
          <w:tcPr>
            <w:tcW w:w="3969" w:type="dxa"/>
          </w:tcPr>
          <w:p>
            <w:pPr>
              <w:pStyle w:val="84"/>
              <w:spacing w:line="360" w:lineRule="auto"/>
              <w:rPr>
                <w:sz w:val="24"/>
              </w:rPr>
            </w:pPr>
            <w:r>
              <w:rPr>
                <w:rFonts w:hint="eastAsia"/>
                <w:sz w:val="24"/>
              </w:rPr>
              <w:t>衔接和引导不少于80％的道路雨水进入地面生态设施，得4分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restart"/>
          </w:tcPr>
          <w:p>
            <w:pPr>
              <w:pStyle w:val="84"/>
              <w:spacing w:line="360" w:lineRule="auto"/>
              <w:rPr>
                <w:sz w:val="24"/>
              </w:rPr>
            </w:pPr>
            <w:r>
              <w:rPr>
                <w:rFonts w:hint="eastAsia"/>
                <w:sz w:val="24"/>
              </w:rPr>
              <w:t>DB33/1092-20</w:t>
            </w:r>
            <w:r>
              <w:rPr>
                <w:sz w:val="24"/>
              </w:rPr>
              <w:t>21</w:t>
            </w:r>
          </w:p>
        </w:tc>
        <w:tc>
          <w:tcPr>
            <w:tcW w:w="2126" w:type="dxa"/>
          </w:tcPr>
          <w:p>
            <w:pPr>
              <w:pStyle w:val="84"/>
              <w:spacing w:line="360" w:lineRule="auto"/>
              <w:rPr>
                <w:sz w:val="24"/>
              </w:rPr>
            </w:pPr>
            <w:r>
              <w:rPr>
                <w:sz w:val="24"/>
              </w:rPr>
              <w:t>7.2.13</w:t>
            </w:r>
            <w:r>
              <w:rPr>
                <w:rFonts w:hint="eastAsia"/>
                <w:sz w:val="24"/>
              </w:rPr>
              <w:t>条</w:t>
            </w:r>
          </w:p>
        </w:tc>
        <w:tc>
          <w:tcPr>
            <w:tcW w:w="396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sz w:val="24"/>
              </w:rPr>
              <w:t>10.1.9</w:t>
            </w:r>
            <w:r>
              <w:rPr>
                <w:rFonts w:hint="eastAsia"/>
                <w:sz w:val="24"/>
              </w:rPr>
              <w:t>条-</w:t>
            </w:r>
            <w:r>
              <w:rPr>
                <w:sz w:val="24"/>
              </w:rPr>
              <w:t>2</w:t>
            </w:r>
          </w:p>
        </w:tc>
        <w:tc>
          <w:tcPr>
            <w:tcW w:w="3969"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1</w:t>
            </w:r>
            <w:r>
              <w:rPr>
                <w:sz w:val="24"/>
              </w:rPr>
              <w:t>0.2.1</w:t>
            </w:r>
            <w:r>
              <w:rPr>
                <w:rFonts w:hint="eastAsia"/>
                <w:sz w:val="24"/>
              </w:rPr>
              <w:t>条</w:t>
            </w:r>
          </w:p>
        </w:tc>
        <w:tc>
          <w:tcPr>
            <w:tcW w:w="396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1</w:t>
            </w:r>
            <w:r>
              <w:rPr>
                <w:sz w:val="24"/>
              </w:rPr>
              <w:t>0.3.1</w:t>
            </w:r>
            <w:r>
              <w:rPr>
                <w:rFonts w:hint="eastAsia"/>
                <w:sz w:val="24"/>
              </w:rPr>
              <w:t>条-</w:t>
            </w:r>
            <w:r>
              <w:rPr>
                <w:sz w:val="24"/>
              </w:rPr>
              <w:t>2</w:t>
            </w:r>
            <w:r>
              <w:rPr>
                <w:rFonts w:hint="eastAsia"/>
                <w:sz w:val="24"/>
              </w:rPr>
              <w:t>-</w:t>
            </w:r>
            <w:r>
              <w:rPr>
                <w:sz w:val="24"/>
              </w:rPr>
              <w:t>3</w:t>
            </w:r>
          </w:p>
        </w:tc>
        <w:tc>
          <w:tcPr>
            <w:tcW w:w="3969"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1</w:t>
            </w:r>
            <w:r>
              <w:rPr>
                <w:sz w:val="24"/>
              </w:rPr>
              <w:t>0.4.1</w:t>
            </w:r>
            <w:r>
              <w:rPr>
                <w:rFonts w:hint="eastAsia"/>
                <w:sz w:val="24"/>
              </w:rPr>
              <w:t>条-</w:t>
            </w:r>
            <w:r>
              <w:rPr>
                <w:sz w:val="24"/>
              </w:rPr>
              <w:t>2</w:t>
            </w:r>
            <w:r>
              <w:rPr>
                <w:rFonts w:hint="eastAsia"/>
                <w:sz w:val="24"/>
              </w:rPr>
              <w:t>-</w:t>
            </w:r>
            <w:r>
              <w:rPr>
                <w:sz w:val="24"/>
              </w:rPr>
              <w:t>3</w:t>
            </w:r>
          </w:p>
        </w:tc>
        <w:tc>
          <w:tcPr>
            <w:tcW w:w="396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pStyle w:val="84"/>
              <w:spacing w:line="360" w:lineRule="auto"/>
              <w:rPr>
                <w:sz w:val="24"/>
              </w:rPr>
            </w:pPr>
            <w:r>
              <w:rPr>
                <w:rFonts w:hint="eastAsia"/>
                <w:sz w:val="24"/>
              </w:rPr>
              <w:t>依据材料</w:t>
            </w:r>
          </w:p>
        </w:tc>
        <w:tc>
          <w:tcPr>
            <w:tcW w:w="8120" w:type="dxa"/>
            <w:gridSpan w:val="3"/>
          </w:tcPr>
          <w:p>
            <w:pPr>
              <w:pStyle w:val="84"/>
              <w:spacing w:line="360" w:lineRule="auto"/>
              <w:ind w:firstLine="480" w:firstLineChars="200"/>
              <w:jc w:val="left"/>
              <w:rPr>
                <w:sz w:val="24"/>
              </w:rPr>
            </w:pPr>
            <w:r>
              <w:rPr>
                <w:rFonts w:hint="eastAsia"/>
                <w:sz w:val="24"/>
              </w:rPr>
              <w:t>本项涉及与给排水专业相关内容，设计人员应事先与相关专业相互核对，统一填写。设计人员根据项目的地形图、场地规划设计文件、</w:t>
            </w:r>
            <w:r>
              <w:rPr>
                <w:sz w:val="24"/>
              </w:rPr>
              <w:t>降雨</w:t>
            </w:r>
            <w:r>
              <w:rPr>
                <w:rFonts w:hint="eastAsia"/>
                <w:sz w:val="24"/>
              </w:rPr>
              <w:t>统计数据、设计</w:t>
            </w:r>
            <w:r>
              <w:rPr>
                <w:sz w:val="24"/>
              </w:rPr>
              <w:t>控制雨量</w:t>
            </w:r>
            <w:r>
              <w:rPr>
                <w:rFonts w:hint="eastAsia"/>
                <w:sz w:val="24"/>
              </w:rPr>
              <w:t>计</w:t>
            </w:r>
            <w:r>
              <w:rPr>
                <w:sz w:val="24"/>
              </w:rPr>
              <w:t>算</w:t>
            </w:r>
            <w:r>
              <w:rPr>
                <w:rFonts w:hint="eastAsia"/>
                <w:sz w:val="24"/>
              </w:rPr>
              <w:t>书、设计说明书（或雨水专项规划设计报告）、施工图文件（含总图、景观设计图、室外给排水总平面图、计算书等），依据场地雨水综合利用方案或雨水专项规划设计（场地大于10hm2的应提供雨水专项规划设计），选用的水资源利用措施，根据给排水专业计算结果，在相关图纸中应有体现，并据实填写本条内容，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pStyle w:val="84"/>
              <w:spacing w:line="360" w:lineRule="auto"/>
              <w:rPr>
                <w:sz w:val="24"/>
              </w:rPr>
            </w:pPr>
            <w:r>
              <w:rPr>
                <w:rFonts w:hint="eastAsia"/>
                <w:sz w:val="24"/>
              </w:rPr>
              <w:t>备注</w:t>
            </w:r>
          </w:p>
        </w:tc>
        <w:tc>
          <w:tcPr>
            <w:tcW w:w="8120" w:type="dxa"/>
            <w:gridSpan w:val="3"/>
          </w:tcPr>
          <w:p>
            <w:pPr>
              <w:pStyle w:val="84"/>
              <w:spacing w:line="360" w:lineRule="auto"/>
              <w:ind w:firstLine="480" w:firstLineChars="200"/>
              <w:jc w:val="left"/>
              <w:rPr>
                <w:sz w:val="24"/>
              </w:rPr>
            </w:pPr>
            <w:r>
              <w:rPr>
                <w:rFonts w:hint="eastAsia"/>
                <w:sz w:val="24"/>
              </w:rPr>
              <w:t>如景观图未与土建施工图同时出图时，应在土建图中写明相应措施为景观设计的前置要求，并在总平面图及设计说明中表达。</w:t>
            </w:r>
          </w:p>
          <w:p>
            <w:pPr>
              <w:pStyle w:val="84"/>
              <w:spacing w:line="360" w:lineRule="auto"/>
              <w:ind w:firstLine="480" w:firstLineChars="200"/>
              <w:jc w:val="left"/>
              <w:rPr>
                <w:sz w:val="24"/>
              </w:rPr>
            </w:pPr>
            <w:r>
              <w:rPr>
                <w:rFonts w:hint="eastAsia"/>
                <w:sz w:val="24"/>
              </w:rPr>
              <w:t>当场地面积超过一定范围时，应进行雨水专项规划设计。雨水专项规划设计是通过建筑、景观、道路和市政等不同专业的协调配合，综合考虑各类因素的影响，对径流减排、污染控制、雨水收集回用进行全面统筹规划设计。通过实施雨水专项规划设计，能避免实际工程中针对某个子系统（雨水利用、径流减排、污染控制等）进行独立设计所带来的诸多资源配置和统筹衔接问题，避免出现“顾此失彼”的现象。具体评价时，场地占地面积大于</w:t>
            </w:r>
            <w:r>
              <w:rPr>
                <w:sz w:val="24"/>
              </w:rPr>
              <w:t xml:space="preserve">10hm2 </w:t>
            </w:r>
            <w:r>
              <w:rPr>
                <w:rFonts w:hint="eastAsia"/>
                <w:sz w:val="24"/>
              </w:rPr>
              <w:t>的项目，应提供雨水专项规划设计，不大于</w:t>
            </w:r>
            <w:r>
              <w:rPr>
                <w:sz w:val="24"/>
              </w:rPr>
              <w:t xml:space="preserve">10hm2 </w:t>
            </w:r>
            <w:r>
              <w:rPr>
                <w:rFonts w:hint="eastAsia"/>
                <w:sz w:val="24"/>
              </w:rPr>
              <w:t>的项目可不做雨水专项规划设计，但也应根据场地条件合理采用雨水控制利用措施，编制场地雨水综合利用方案。</w:t>
            </w:r>
          </w:p>
          <w:p>
            <w:pPr>
              <w:pStyle w:val="84"/>
              <w:spacing w:line="360" w:lineRule="auto"/>
              <w:ind w:firstLine="480" w:firstLineChars="200"/>
              <w:jc w:val="left"/>
              <w:rPr>
                <w:sz w:val="24"/>
              </w:rPr>
            </w:pPr>
            <w:r>
              <w:rPr>
                <w:rFonts w:hint="eastAsia"/>
                <w:sz w:val="24"/>
              </w:rPr>
              <w:t>雨水控制及利用定义为：径流总量、径流峰值、径流污染控制设施的总称，包括雨水入渗（渗透）、收集回用、调蓄排放等。</w:t>
            </w:r>
          </w:p>
          <w:p>
            <w:pPr>
              <w:pStyle w:val="84"/>
              <w:spacing w:line="360" w:lineRule="auto"/>
              <w:ind w:firstLine="480" w:firstLineChars="200"/>
              <w:jc w:val="left"/>
              <w:rPr>
                <w:sz w:val="24"/>
              </w:rPr>
            </w:pPr>
            <w:r>
              <w:rPr>
                <w:rFonts w:hint="eastAsia"/>
                <w:sz w:val="24"/>
              </w:rPr>
              <w:t>年径流总量控制率定义为：根据多年日降雨量统计分析技术，场地内累计全年得到控制的雨水量占全年总降雨量的百分比。</w:t>
            </w:r>
          </w:p>
          <w:p>
            <w:pPr>
              <w:pStyle w:val="84"/>
              <w:spacing w:line="360" w:lineRule="auto"/>
              <w:ind w:firstLine="480" w:firstLineChars="200"/>
              <w:jc w:val="left"/>
              <w:rPr>
                <w:sz w:val="24"/>
              </w:rPr>
            </w:pPr>
            <w:r>
              <w:rPr>
                <w:rFonts w:hint="eastAsia"/>
                <w:sz w:val="24"/>
              </w:rPr>
              <w:t>从区域角度看，雨水的过量收集会导致原有水体的萎缩或影响水系统的良性循环。要使硬化地面恢复到自然地貌的环境水平，最佳的雨水控制量应以雨水排放量接近自然地貌为标准。</w:t>
            </w:r>
          </w:p>
          <w:p>
            <w:pPr>
              <w:pStyle w:val="84"/>
              <w:spacing w:line="360" w:lineRule="auto"/>
              <w:ind w:firstLine="480" w:firstLineChars="200"/>
              <w:jc w:val="left"/>
              <w:rPr>
                <w:sz w:val="24"/>
              </w:rPr>
            </w:pPr>
            <w:r>
              <w:rPr>
                <w:rFonts w:hint="eastAsia"/>
                <w:sz w:val="24"/>
              </w:rPr>
              <w:t>综合径流系数可根据《民用建筑雨水控制与利用设计导则》第3章要求计算，浙江省各地市年径流总量控制率对应的日降雨量可按《民用建筑雨水控制与利用设计导则》附录B取值。</w:t>
            </w:r>
          </w:p>
          <w:p>
            <w:pPr>
              <w:pStyle w:val="84"/>
              <w:spacing w:line="360" w:lineRule="auto"/>
              <w:ind w:firstLine="480" w:firstLineChars="200"/>
              <w:jc w:val="left"/>
              <w:rPr>
                <w:sz w:val="24"/>
              </w:rPr>
            </w:pPr>
            <w:r>
              <w:rPr>
                <w:rFonts w:hint="eastAsia"/>
                <w:sz w:val="24"/>
              </w:rPr>
              <w:t>低影响开发控制性指标应满足当地海绵城市专项规划实施方案要求。低影响开发的技术措施应与给排水专业保持一致。</w:t>
            </w:r>
          </w:p>
          <w:p>
            <w:pPr>
              <w:pStyle w:val="84"/>
              <w:spacing w:line="360" w:lineRule="auto"/>
              <w:ind w:firstLine="480" w:firstLineChars="200"/>
              <w:jc w:val="left"/>
              <w:rPr>
                <w:sz w:val="24"/>
              </w:rPr>
            </w:pPr>
            <w:r>
              <w:rPr>
                <w:rFonts w:hint="eastAsia"/>
                <w:sz w:val="24"/>
              </w:rPr>
              <w:t>屋面雨水和道路雨水是建筑场地产生径流的重要源头，易被污染并形成污染源，故宜合理引导其进人地面生态设施进行调蓄、下渗和利用，并采取相应截污措施，保证雨水在滞蓄和排放过程中有良好的衔接关系，保障自然水体和景观水体的水质、水量安全。地面生态设施是指下凹式绿地、植草沟、树池等，即在地势较低的区域种植植物，通过植物截流、土壤过滤滞留处理小流量径流雨水，达到径流污染控制目的。</w:t>
            </w:r>
          </w:p>
        </w:tc>
      </w:tr>
    </w:tbl>
    <w:p>
      <w:pPr>
        <w:pStyle w:val="88"/>
        <w:numPr>
          <w:ilvl w:val="0"/>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采取水资源回收与利用措施：</w:t>
      </w:r>
      <w:r>
        <w:rPr>
          <w:rFonts w:asciiTheme="minorEastAsia" w:hAnsiTheme="minorEastAsia" w:eastAsiaTheme="minorEastAsia"/>
          <w:sz w:val="24"/>
          <w:szCs w:val="24"/>
        </w:rPr>
        <w:t xml:space="preserve"> </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采用下列有调蓄雨水功能的绿地和水体；</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有调蓄水功能的绿地和水体的面积之和占绿地面积的比例达到</w:t>
      </w:r>
      <w:r>
        <w:rPr>
          <w:rFonts w:asciiTheme="minorEastAsia" w:hAnsiTheme="minorEastAsia" w:eastAsiaTheme="minorEastAsia"/>
          <w:sz w:val="24"/>
        </w:rPr>
        <w:t>4</w:t>
      </w:r>
      <w:r>
        <w:rPr>
          <w:rFonts w:hint="eastAsia" w:asciiTheme="minorEastAsia" w:hAnsiTheme="minorEastAsia" w:eastAsiaTheme="minorEastAsia"/>
          <w:sz w:val="24"/>
        </w:rPr>
        <w:t>0％。</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026"/>
        <w:gridCol w:w="2126"/>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3" w:type="dxa"/>
            <w:vMerge w:val="restart"/>
          </w:tcPr>
          <w:p>
            <w:pPr>
              <w:pStyle w:val="84"/>
              <w:spacing w:line="360" w:lineRule="auto"/>
              <w:rPr>
                <w:sz w:val="24"/>
              </w:rPr>
            </w:pPr>
            <w:r>
              <w:rPr>
                <w:rFonts w:hint="eastAsia"/>
                <w:sz w:val="24"/>
              </w:rPr>
              <w:t>条文来源</w:t>
            </w:r>
          </w:p>
        </w:tc>
        <w:tc>
          <w:tcPr>
            <w:tcW w:w="2026" w:type="dxa"/>
          </w:tcPr>
          <w:p>
            <w:pPr>
              <w:pStyle w:val="84"/>
              <w:spacing w:line="360" w:lineRule="auto"/>
              <w:rPr>
                <w:sz w:val="24"/>
              </w:rPr>
            </w:pPr>
            <w:r>
              <w:rPr>
                <w:rFonts w:hint="eastAsia"/>
                <w:sz w:val="24"/>
              </w:rPr>
              <w:t>GB/T 50378-201</w:t>
            </w:r>
            <w:r>
              <w:rPr>
                <w:sz w:val="24"/>
              </w:rPr>
              <w:t>9</w:t>
            </w:r>
          </w:p>
        </w:tc>
        <w:tc>
          <w:tcPr>
            <w:tcW w:w="2126" w:type="dxa"/>
          </w:tcPr>
          <w:p>
            <w:pPr>
              <w:pStyle w:val="84"/>
              <w:spacing w:line="360" w:lineRule="auto"/>
              <w:rPr>
                <w:sz w:val="24"/>
              </w:rPr>
            </w:pPr>
            <w:r>
              <w:rPr>
                <w:sz w:val="24"/>
              </w:rPr>
              <w:t>8.2.5</w:t>
            </w:r>
            <w:r>
              <w:rPr>
                <w:rFonts w:hint="eastAsia"/>
                <w:sz w:val="24"/>
              </w:rPr>
              <w:t>条-</w:t>
            </w:r>
            <w:r>
              <w:rPr>
                <w:sz w:val="24"/>
              </w:rPr>
              <w:t>1</w:t>
            </w:r>
          </w:p>
        </w:tc>
        <w:tc>
          <w:tcPr>
            <w:tcW w:w="3969" w:type="dxa"/>
          </w:tcPr>
          <w:p>
            <w:pPr>
              <w:pStyle w:val="84"/>
              <w:spacing w:line="360" w:lineRule="auto"/>
              <w:rPr>
                <w:sz w:val="24"/>
              </w:rPr>
            </w:pPr>
            <w:r>
              <w:rPr>
                <w:rFonts w:hint="eastAsia"/>
                <w:sz w:val="24"/>
              </w:rPr>
              <w:t>下凹式绿地、雨水花园等有调蓄雨水功能的绿地和水体的面积之和占绿地面积的比例达到40％，得3分；达到60％，得5分；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restart"/>
          </w:tcPr>
          <w:p>
            <w:pPr>
              <w:pStyle w:val="84"/>
              <w:spacing w:line="360" w:lineRule="auto"/>
              <w:rPr>
                <w:sz w:val="24"/>
              </w:rPr>
            </w:pPr>
            <w:r>
              <w:rPr>
                <w:rFonts w:hint="eastAsia"/>
                <w:sz w:val="24"/>
              </w:rPr>
              <w:t>DB33/1092-20</w:t>
            </w:r>
            <w:r>
              <w:rPr>
                <w:sz w:val="24"/>
              </w:rPr>
              <w:t>21</w:t>
            </w:r>
          </w:p>
        </w:tc>
        <w:tc>
          <w:tcPr>
            <w:tcW w:w="2126" w:type="dxa"/>
          </w:tcPr>
          <w:p>
            <w:pPr>
              <w:pStyle w:val="84"/>
              <w:spacing w:line="360" w:lineRule="auto"/>
              <w:rPr>
                <w:sz w:val="24"/>
              </w:rPr>
            </w:pPr>
            <w:r>
              <w:rPr>
                <w:rFonts w:hint="eastAsia"/>
                <w:sz w:val="24"/>
              </w:rPr>
              <w:t>1</w:t>
            </w:r>
            <w:r>
              <w:rPr>
                <w:sz w:val="24"/>
              </w:rPr>
              <w:t>0.2.1</w:t>
            </w:r>
            <w:r>
              <w:rPr>
                <w:rFonts w:hint="eastAsia"/>
                <w:sz w:val="24"/>
              </w:rPr>
              <w:t>条-</w:t>
            </w:r>
            <w:r>
              <w:rPr>
                <w:sz w:val="24"/>
              </w:rPr>
              <w:t>5</w:t>
            </w:r>
            <w:r>
              <w:rPr>
                <w:rFonts w:hint="eastAsia"/>
                <w:sz w:val="24"/>
              </w:rPr>
              <w:t>-</w:t>
            </w:r>
            <w:r>
              <w:rPr>
                <w:sz w:val="24"/>
              </w:rPr>
              <w:t>1</w:t>
            </w:r>
            <w:r>
              <w:rPr>
                <w:rFonts w:hint="eastAsia"/>
                <w:sz w:val="24"/>
              </w:rPr>
              <w:t>）</w:t>
            </w:r>
          </w:p>
        </w:tc>
        <w:tc>
          <w:tcPr>
            <w:tcW w:w="396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1</w:t>
            </w:r>
            <w:r>
              <w:rPr>
                <w:sz w:val="24"/>
              </w:rPr>
              <w:t>0.3.1</w:t>
            </w:r>
            <w:r>
              <w:rPr>
                <w:rFonts w:hint="eastAsia"/>
                <w:sz w:val="24"/>
              </w:rPr>
              <w:t>条-</w:t>
            </w:r>
            <w:r>
              <w:rPr>
                <w:sz w:val="24"/>
              </w:rPr>
              <w:t>1</w:t>
            </w:r>
          </w:p>
        </w:tc>
        <w:tc>
          <w:tcPr>
            <w:tcW w:w="3969"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1</w:t>
            </w:r>
            <w:r>
              <w:rPr>
                <w:sz w:val="24"/>
              </w:rPr>
              <w:t>0.4.1</w:t>
            </w:r>
            <w:r>
              <w:rPr>
                <w:rFonts w:hint="eastAsia"/>
                <w:sz w:val="24"/>
              </w:rPr>
              <w:t>条-</w:t>
            </w:r>
            <w:r>
              <w:rPr>
                <w:sz w:val="24"/>
              </w:rPr>
              <w:t>1</w:t>
            </w:r>
          </w:p>
        </w:tc>
        <w:tc>
          <w:tcPr>
            <w:tcW w:w="396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依据材料</w:t>
            </w:r>
          </w:p>
        </w:tc>
        <w:tc>
          <w:tcPr>
            <w:tcW w:w="8121" w:type="dxa"/>
            <w:gridSpan w:val="3"/>
          </w:tcPr>
          <w:p>
            <w:pPr>
              <w:pStyle w:val="84"/>
              <w:spacing w:line="360" w:lineRule="auto"/>
              <w:ind w:firstLine="480" w:firstLineChars="200"/>
              <w:jc w:val="left"/>
              <w:rPr>
                <w:sz w:val="24"/>
              </w:rPr>
            </w:pPr>
            <w:r>
              <w:rPr>
                <w:rFonts w:hint="eastAsia"/>
                <w:sz w:val="24"/>
              </w:rPr>
              <w:t>本项涉及与给排水专业相关内容，设计人员应事先与相关专业相互核对，统一填写。设计人员根据项目的地形图、场地规划设计文件、施工图文件（含总图、景观设计图、室外给排水总平面图、计算书等），依据场地雨水综合利用方案或雨水专项规划设计、场地雨水综合利用方案或雨水专项规划设计，选用的水资源利用措施，根据给排水专业计算结果，在相关图纸中应有体现，并据实填写本条内容（场地大于10hm2的应提供雨水专项规划设计），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备注</w:t>
            </w:r>
          </w:p>
        </w:tc>
        <w:tc>
          <w:tcPr>
            <w:tcW w:w="8121" w:type="dxa"/>
            <w:gridSpan w:val="3"/>
          </w:tcPr>
          <w:p>
            <w:pPr>
              <w:pStyle w:val="84"/>
              <w:spacing w:line="360" w:lineRule="auto"/>
              <w:ind w:firstLine="480" w:firstLineChars="200"/>
              <w:jc w:val="left"/>
              <w:rPr>
                <w:sz w:val="24"/>
              </w:rPr>
            </w:pPr>
            <w:r>
              <w:rPr>
                <w:rFonts w:hint="eastAsia"/>
                <w:sz w:val="24"/>
              </w:rPr>
              <w:t>如景观图未与土建施工图同时出图时，应在土建图中写明相应措施为景观设计的前置要求，并在总平面图及设计说明中表达。</w:t>
            </w:r>
          </w:p>
          <w:p>
            <w:pPr>
              <w:pStyle w:val="84"/>
              <w:spacing w:line="360" w:lineRule="auto"/>
              <w:ind w:firstLine="480" w:firstLineChars="200"/>
              <w:jc w:val="left"/>
              <w:rPr>
                <w:sz w:val="24"/>
              </w:rPr>
            </w:pPr>
            <w:r>
              <w:rPr>
                <w:rFonts w:hint="eastAsia"/>
                <w:sz w:val="24"/>
              </w:rPr>
              <w:t>场地开发应遵循低影响开发原则，合理利用场地空间设置绿色雨水基础设施。绿色雨水基础设施有雨水花园、下凹式绿地、屋顶绿化、植被浅沟、雨水截流设施、渗透设施、雨水塘、雨水湿地、景观水体、多功能调蓄设施等。绿色雨水基础设施有别于传统的灰色雨水设施（雨水口、雨水管道等），能够以自然的方式控制城市雨水径流、减少城市洪涝灾害、控制径流污染、保护水环境。</w:t>
            </w:r>
          </w:p>
          <w:p>
            <w:pPr>
              <w:pStyle w:val="84"/>
              <w:spacing w:line="360" w:lineRule="auto"/>
              <w:ind w:firstLine="480" w:firstLineChars="200"/>
              <w:jc w:val="left"/>
              <w:rPr>
                <w:sz w:val="24"/>
              </w:rPr>
            </w:pPr>
            <w:r>
              <w:rPr>
                <w:rFonts w:hint="eastAsia"/>
                <w:sz w:val="24"/>
              </w:rPr>
              <w:t>利用场地的河流、湖泊、水塘、湿地、低洼地作为雨水调蓄设施，或利用场地内设计景观（如景观绿地和景观水体）来调蓄雨水，可达到有限土地资源多功能开发的目标。能调蓄雨水的景观绿地包括下凹式绿地、雨水花园、树池、水塘等。</w:t>
            </w:r>
          </w:p>
        </w:tc>
      </w:tr>
    </w:tbl>
    <w:p>
      <w:pPr>
        <w:pStyle w:val="88"/>
        <w:numPr>
          <w:ilvl w:val="0"/>
          <w:numId w:val="0"/>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 xml:space="preserve">.3 </w:t>
      </w:r>
      <w:r>
        <w:rPr>
          <w:rFonts w:hint="eastAsia" w:asciiTheme="minorEastAsia" w:hAnsiTheme="minorEastAsia" w:eastAsiaTheme="minorEastAsia" w:cstheme="minorBidi"/>
          <w:sz w:val="24"/>
          <w:szCs w:val="24"/>
        </w:rPr>
        <w:t>场地设置透水地面；透水铺装面积；硬质铺装地面中透水铺装的比例；项目</w:t>
      </w:r>
      <w:r>
        <w:rPr>
          <w:rFonts w:asciiTheme="minorEastAsia" w:hAnsiTheme="minorEastAsia" w:eastAsiaTheme="minorEastAsia" w:cstheme="minorBidi"/>
          <w:sz w:val="24"/>
          <w:szCs w:val="24"/>
        </w:rPr>
        <w:t>公共服务设施</w:t>
      </w:r>
      <w:r>
        <w:rPr>
          <w:rFonts w:hint="eastAsia" w:asciiTheme="minorEastAsia" w:hAnsiTheme="minorEastAsia" w:eastAsiaTheme="minorEastAsia" w:cstheme="minorBidi"/>
          <w:sz w:val="24"/>
          <w:szCs w:val="24"/>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026"/>
        <w:gridCol w:w="2268"/>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3" w:type="dxa"/>
            <w:vMerge w:val="restart"/>
          </w:tcPr>
          <w:p>
            <w:pPr>
              <w:pStyle w:val="84"/>
              <w:spacing w:line="360" w:lineRule="auto"/>
              <w:rPr>
                <w:sz w:val="24"/>
              </w:rPr>
            </w:pPr>
            <w:r>
              <w:rPr>
                <w:rFonts w:hint="eastAsia"/>
                <w:sz w:val="24"/>
              </w:rPr>
              <w:t>条文来源</w:t>
            </w:r>
          </w:p>
        </w:tc>
        <w:tc>
          <w:tcPr>
            <w:tcW w:w="2026" w:type="dxa"/>
          </w:tcPr>
          <w:p>
            <w:pPr>
              <w:pStyle w:val="84"/>
              <w:spacing w:line="360" w:lineRule="auto"/>
              <w:rPr>
                <w:sz w:val="24"/>
              </w:rPr>
            </w:pPr>
            <w:r>
              <w:rPr>
                <w:rFonts w:hint="eastAsia"/>
                <w:sz w:val="24"/>
              </w:rPr>
              <w:t>GB/T 50378-201</w:t>
            </w:r>
            <w:r>
              <w:rPr>
                <w:sz w:val="24"/>
              </w:rPr>
              <w:t>9</w:t>
            </w:r>
          </w:p>
        </w:tc>
        <w:tc>
          <w:tcPr>
            <w:tcW w:w="2268" w:type="dxa"/>
          </w:tcPr>
          <w:p>
            <w:pPr>
              <w:pStyle w:val="84"/>
              <w:spacing w:line="360" w:lineRule="auto"/>
              <w:rPr>
                <w:sz w:val="24"/>
              </w:rPr>
            </w:pPr>
            <w:r>
              <w:rPr>
                <w:sz w:val="24"/>
              </w:rPr>
              <w:t>8.2.5</w:t>
            </w:r>
            <w:r>
              <w:rPr>
                <w:rFonts w:hint="eastAsia"/>
                <w:sz w:val="24"/>
              </w:rPr>
              <w:t>条-</w:t>
            </w:r>
            <w:r>
              <w:rPr>
                <w:sz w:val="24"/>
              </w:rPr>
              <w:t>4</w:t>
            </w:r>
          </w:p>
        </w:tc>
        <w:tc>
          <w:tcPr>
            <w:tcW w:w="3827" w:type="dxa"/>
          </w:tcPr>
          <w:p>
            <w:pPr>
              <w:pStyle w:val="84"/>
              <w:spacing w:line="360" w:lineRule="auto"/>
              <w:rPr>
                <w:sz w:val="24"/>
              </w:rPr>
            </w:pPr>
            <w:r>
              <w:rPr>
                <w:rFonts w:hint="eastAsia"/>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restart"/>
          </w:tcPr>
          <w:p>
            <w:pPr>
              <w:pStyle w:val="84"/>
              <w:spacing w:line="360" w:lineRule="auto"/>
              <w:rPr>
                <w:sz w:val="24"/>
              </w:rPr>
            </w:pPr>
            <w:r>
              <w:rPr>
                <w:rFonts w:hint="eastAsia"/>
                <w:sz w:val="24"/>
              </w:rPr>
              <w:t>DB33/1092-20</w:t>
            </w:r>
            <w:r>
              <w:rPr>
                <w:sz w:val="24"/>
              </w:rPr>
              <w:t>21</w:t>
            </w:r>
          </w:p>
        </w:tc>
        <w:tc>
          <w:tcPr>
            <w:tcW w:w="2268" w:type="dxa"/>
          </w:tcPr>
          <w:p>
            <w:pPr>
              <w:pStyle w:val="84"/>
              <w:spacing w:line="360" w:lineRule="auto"/>
              <w:rPr>
                <w:sz w:val="24"/>
              </w:rPr>
            </w:pPr>
            <w:r>
              <w:rPr>
                <w:rFonts w:hint="eastAsia"/>
                <w:sz w:val="24"/>
              </w:rPr>
              <w:t>10.2.1条-5-</w:t>
            </w:r>
            <w:r>
              <w:rPr>
                <w:sz w:val="24"/>
              </w:rPr>
              <w:t>4</w:t>
            </w:r>
            <w:r>
              <w:rPr>
                <w:rFonts w:hint="eastAsia"/>
                <w:sz w:val="24"/>
              </w:rPr>
              <w:t>）</w:t>
            </w:r>
          </w:p>
        </w:tc>
        <w:tc>
          <w:tcPr>
            <w:tcW w:w="3827"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268" w:type="dxa"/>
          </w:tcPr>
          <w:p>
            <w:pPr>
              <w:pStyle w:val="84"/>
              <w:spacing w:line="360" w:lineRule="auto"/>
              <w:rPr>
                <w:sz w:val="24"/>
              </w:rPr>
            </w:pPr>
            <w:r>
              <w:rPr>
                <w:rFonts w:hint="eastAsia"/>
                <w:sz w:val="24"/>
              </w:rPr>
              <w:t>1</w:t>
            </w:r>
            <w:r>
              <w:rPr>
                <w:sz w:val="24"/>
              </w:rPr>
              <w:t>0.3.1</w:t>
            </w:r>
            <w:r>
              <w:rPr>
                <w:rFonts w:hint="eastAsia"/>
                <w:sz w:val="24"/>
              </w:rPr>
              <w:t>条-</w:t>
            </w:r>
            <w:r>
              <w:rPr>
                <w:sz w:val="24"/>
              </w:rPr>
              <w:t>4</w:t>
            </w:r>
          </w:p>
        </w:tc>
        <w:tc>
          <w:tcPr>
            <w:tcW w:w="3827"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268" w:type="dxa"/>
          </w:tcPr>
          <w:p>
            <w:pPr>
              <w:pStyle w:val="84"/>
              <w:spacing w:line="360" w:lineRule="auto"/>
              <w:rPr>
                <w:sz w:val="24"/>
              </w:rPr>
            </w:pPr>
            <w:r>
              <w:rPr>
                <w:rFonts w:hint="eastAsia"/>
                <w:sz w:val="24"/>
              </w:rPr>
              <w:t>1</w:t>
            </w:r>
            <w:r>
              <w:rPr>
                <w:sz w:val="24"/>
              </w:rPr>
              <w:t>0.4.1</w:t>
            </w:r>
            <w:r>
              <w:rPr>
                <w:rFonts w:hint="eastAsia"/>
                <w:sz w:val="24"/>
              </w:rPr>
              <w:t>条-</w:t>
            </w:r>
            <w:r>
              <w:rPr>
                <w:sz w:val="24"/>
              </w:rPr>
              <w:t>4</w:t>
            </w:r>
          </w:p>
        </w:tc>
        <w:tc>
          <w:tcPr>
            <w:tcW w:w="3827"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依据材料</w:t>
            </w:r>
          </w:p>
        </w:tc>
        <w:tc>
          <w:tcPr>
            <w:tcW w:w="8121" w:type="dxa"/>
            <w:gridSpan w:val="3"/>
          </w:tcPr>
          <w:p>
            <w:pPr>
              <w:pStyle w:val="84"/>
              <w:spacing w:line="360" w:lineRule="auto"/>
              <w:ind w:firstLine="480" w:firstLineChars="200"/>
              <w:jc w:val="left"/>
              <w:rPr>
                <w:sz w:val="24"/>
              </w:rPr>
            </w:pPr>
            <w:r>
              <w:rPr>
                <w:rFonts w:hint="eastAsia"/>
                <w:sz w:val="24"/>
              </w:rPr>
              <w:t>本项涉及与给排水专业相关内容，设计人员应事先与相关专业相互核对，统一填写。设计人员根据项目的地形图、场地规划设计文件、施工图文件（含总图、景观设计图、室外给排水总平面图、计算书等），依据场地雨水综合利用方案或雨水专项规划设计、场地雨水综合利用方案或雨水专项规划设计（场地大于10hm2的应提供雨水专项规划设计），按照项目实际，填写此项内容。</w:t>
            </w:r>
          </w:p>
          <w:p>
            <w:pPr>
              <w:pStyle w:val="84"/>
              <w:spacing w:line="360" w:lineRule="auto"/>
              <w:ind w:firstLine="480" w:firstLineChars="200"/>
              <w:jc w:val="left"/>
              <w:rPr>
                <w:sz w:val="24"/>
              </w:rPr>
            </w:pPr>
            <w:r>
              <w:rPr>
                <w:rFonts w:hint="eastAsia"/>
                <w:sz w:val="24"/>
              </w:rPr>
              <w:t>值得注意的是，设计师有场地铺装图，并标明室外透水铺装地面位置、面积、铺装材料。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备注</w:t>
            </w:r>
          </w:p>
        </w:tc>
        <w:tc>
          <w:tcPr>
            <w:tcW w:w="8121" w:type="dxa"/>
            <w:gridSpan w:val="3"/>
          </w:tcPr>
          <w:p>
            <w:pPr>
              <w:pStyle w:val="84"/>
              <w:spacing w:line="360" w:lineRule="auto"/>
              <w:ind w:firstLine="480" w:firstLineChars="200"/>
              <w:jc w:val="left"/>
              <w:rPr>
                <w:sz w:val="24"/>
              </w:rPr>
            </w:pPr>
            <w:r>
              <w:rPr>
                <w:rFonts w:hint="eastAsia"/>
                <w:sz w:val="24"/>
              </w:rPr>
              <w:t>如景观图未与土建施工图同时出图时，应在土建图中写明相应措施为景观设计的前置要求，并在总平面图及设计说明中表达。</w:t>
            </w:r>
          </w:p>
          <w:p>
            <w:pPr>
              <w:pStyle w:val="84"/>
              <w:spacing w:line="360" w:lineRule="auto"/>
              <w:ind w:firstLine="480" w:firstLineChars="200"/>
              <w:jc w:val="left"/>
              <w:rPr>
                <w:sz w:val="24"/>
              </w:rPr>
            </w:pPr>
            <w:r>
              <w:rPr>
                <w:rFonts w:hint="eastAsia"/>
                <w:sz w:val="24"/>
              </w:rPr>
              <w:t>雨水下渗也是消减径流和径流污染的重要途径之一。本条 “硬质铺装地面”指场地中停车场、道路和室外活动场地等，不包括建筑占地（屋面）、绿地、水面等。通常停车场、道路和室外活动场地等，有一定承载力要求，多采用石材、砖、混凝土、砾石等为铺地材料，透水性能较差，雨水无法人渗，形成大量地面径流，增加城市排水系统的压力。“透水铺装”是指采用如植草砖、透水沥青、透水混凝土、透水地砖等透水铺装系统，既能满足路用及铺地强度和耐久性要求，又能使雨水通过本身与铺装下基层相通的渗水路径直接渗入下部土壤的地面铺装。当透水铺装下为地下室顶板时，若地下室顶板设有疏水板及导水管等可将渗透雨水导人与地下室顶板接壤的实士，或地下室顶板上覆土深度能满足当地园林绿化部门要求时，仍可认定其为透水铺装地面。评价时以场地中硬质铺装地面中透水铺装所占的面积比例为依据。</w:t>
            </w:r>
          </w:p>
        </w:tc>
      </w:tr>
    </w:tbl>
    <w:p>
      <w:pPr>
        <w:spacing w:line="360" w:lineRule="auto"/>
        <w:ind w:firstLine="420"/>
        <w:rPr>
          <w:sz w:val="24"/>
        </w:rPr>
      </w:pPr>
    </w:p>
    <w:p>
      <w:pPr>
        <w:pStyle w:val="87"/>
        <w:numPr>
          <w:ilvl w:val="0"/>
          <w:numId w:val="60"/>
        </w:num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项目</w:t>
      </w:r>
      <w:r>
        <w:rPr>
          <w:rFonts w:asciiTheme="minorEastAsia" w:hAnsiTheme="minorEastAsia" w:eastAsiaTheme="minorEastAsia"/>
          <w:b/>
          <w:sz w:val="24"/>
          <w:szCs w:val="24"/>
        </w:rPr>
        <w:t>公共服务设施</w:t>
      </w:r>
      <w:r>
        <w:rPr>
          <w:rFonts w:hint="eastAsia" w:asciiTheme="minorEastAsia" w:hAnsiTheme="minorEastAsia" w:eastAsiaTheme="minorEastAsia"/>
          <w:b/>
          <w:sz w:val="24"/>
          <w:szCs w:val="24"/>
        </w:rPr>
        <w:t>：</w:t>
      </w:r>
      <w:r>
        <w:rPr>
          <w:rFonts w:asciiTheme="minorEastAsia" w:hAnsiTheme="minorEastAsia" w:eastAsiaTheme="minorEastAsia"/>
          <w:b/>
          <w:sz w:val="24"/>
          <w:szCs w:val="24"/>
        </w:rPr>
        <w:t xml:space="preserve"> </w:t>
      </w:r>
    </w:p>
    <w:p>
      <w:pPr>
        <w:pStyle w:val="87"/>
        <w:numPr>
          <w:ilvl w:val="0"/>
          <w:numId w:val="0"/>
        </w:numPr>
        <w:spacing w:line="360" w:lineRule="auto"/>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4.1公共服务设施按规划配建：</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024"/>
        <w:gridCol w:w="1666"/>
        <w:gridCol w:w="4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345" w:type="dxa"/>
            <w:vMerge w:val="restart"/>
          </w:tcPr>
          <w:p>
            <w:pPr>
              <w:pStyle w:val="84"/>
              <w:spacing w:line="360" w:lineRule="auto"/>
              <w:rPr>
                <w:sz w:val="24"/>
              </w:rPr>
            </w:pPr>
            <w:r>
              <w:rPr>
                <w:rFonts w:hint="eastAsia"/>
                <w:sz w:val="24"/>
              </w:rPr>
              <w:t>条文来源</w:t>
            </w:r>
          </w:p>
        </w:tc>
        <w:tc>
          <w:tcPr>
            <w:tcW w:w="2024" w:type="dxa"/>
          </w:tcPr>
          <w:p>
            <w:pPr>
              <w:pStyle w:val="84"/>
              <w:spacing w:line="360" w:lineRule="auto"/>
              <w:rPr>
                <w:sz w:val="24"/>
              </w:rPr>
            </w:pPr>
            <w:r>
              <w:rPr>
                <w:rFonts w:hint="eastAsia"/>
                <w:sz w:val="24"/>
              </w:rPr>
              <w:t>GB/T 50378-201</w:t>
            </w:r>
            <w:r>
              <w:rPr>
                <w:sz w:val="24"/>
              </w:rPr>
              <w:t>9</w:t>
            </w:r>
          </w:p>
        </w:tc>
        <w:tc>
          <w:tcPr>
            <w:tcW w:w="1666" w:type="dxa"/>
          </w:tcPr>
          <w:p>
            <w:pPr>
              <w:pStyle w:val="84"/>
              <w:spacing w:line="360" w:lineRule="auto"/>
              <w:rPr>
                <w:sz w:val="24"/>
              </w:rPr>
            </w:pPr>
            <w:r>
              <w:rPr>
                <w:rFonts w:hint="eastAsia"/>
                <w:sz w:val="24"/>
              </w:rPr>
              <w:t>6</w:t>
            </w:r>
            <w:r>
              <w:rPr>
                <w:sz w:val="24"/>
              </w:rPr>
              <w:t>.2.3</w:t>
            </w:r>
            <w:r>
              <w:rPr>
                <w:rFonts w:hint="eastAsia"/>
                <w:sz w:val="24"/>
              </w:rPr>
              <w:t>条-</w:t>
            </w:r>
            <w:r>
              <w:rPr>
                <w:sz w:val="24"/>
              </w:rPr>
              <w:t>2</w:t>
            </w:r>
          </w:p>
        </w:tc>
        <w:tc>
          <w:tcPr>
            <w:tcW w:w="4429" w:type="dxa"/>
          </w:tcPr>
          <w:p>
            <w:pPr>
              <w:pStyle w:val="84"/>
              <w:spacing w:line="360" w:lineRule="auto"/>
              <w:rPr>
                <w:sz w:val="24"/>
              </w:rPr>
            </w:pPr>
            <w:r>
              <w:rPr>
                <w:rFonts w:hint="eastAsia"/>
                <w:sz w:val="24"/>
              </w:rPr>
              <w:t>满足要求中的3项，</w:t>
            </w:r>
            <w:r>
              <w:rPr>
                <w:sz w:val="24"/>
              </w:rPr>
              <w:t>5</w:t>
            </w:r>
            <w:r>
              <w:rPr>
                <w:rFonts w:hint="eastAsia"/>
                <w:sz w:val="24"/>
              </w:rPr>
              <w:t>分；</w:t>
            </w:r>
          </w:p>
          <w:p>
            <w:pPr>
              <w:pStyle w:val="84"/>
              <w:spacing w:line="360" w:lineRule="auto"/>
              <w:rPr>
                <w:sz w:val="24"/>
              </w:rPr>
            </w:pPr>
            <w:r>
              <w:rPr>
                <w:rFonts w:hint="eastAsia"/>
                <w:sz w:val="24"/>
              </w:rPr>
              <w:t>满足要求中的</w:t>
            </w:r>
            <w:r>
              <w:rPr>
                <w:sz w:val="24"/>
              </w:rPr>
              <w:t>5</w:t>
            </w:r>
            <w:r>
              <w:rPr>
                <w:rFonts w:hint="eastAsia"/>
                <w:sz w:val="24"/>
              </w:rPr>
              <w:t>项，</w:t>
            </w:r>
            <w:r>
              <w:rPr>
                <w:sz w:val="24"/>
              </w:rPr>
              <w:t>10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restart"/>
          </w:tcPr>
          <w:p>
            <w:pPr>
              <w:pStyle w:val="84"/>
              <w:spacing w:line="360" w:lineRule="auto"/>
              <w:rPr>
                <w:sz w:val="24"/>
              </w:rPr>
            </w:pPr>
            <w:r>
              <w:rPr>
                <w:rFonts w:hint="eastAsia"/>
                <w:sz w:val="24"/>
              </w:rPr>
              <w:t>DB33/1092-20</w:t>
            </w:r>
            <w:r>
              <w:rPr>
                <w:sz w:val="24"/>
              </w:rPr>
              <w:t>21</w:t>
            </w:r>
          </w:p>
        </w:tc>
        <w:tc>
          <w:tcPr>
            <w:tcW w:w="1666" w:type="dxa"/>
          </w:tcPr>
          <w:p>
            <w:pPr>
              <w:pStyle w:val="84"/>
              <w:spacing w:line="360" w:lineRule="auto"/>
              <w:rPr>
                <w:sz w:val="24"/>
              </w:rPr>
            </w:pPr>
            <w:r>
              <w:rPr>
                <w:sz w:val="24"/>
              </w:rPr>
              <w:t>4.1</w:t>
            </w:r>
            <w:r>
              <w:rPr>
                <w:rFonts w:hint="eastAsia"/>
                <w:sz w:val="24"/>
              </w:rPr>
              <w:t>.</w:t>
            </w:r>
            <w:r>
              <w:rPr>
                <w:sz w:val="24"/>
              </w:rPr>
              <w:t>3</w:t>
            </w:r>
            <w:r>
              <w:rPr>
                <w:rFonts w:hint="eastAsia"/>
                <w:sz w:val="24"/>
              </w:rPr>
              <w:t>条</w:t>
            </w:r>
          </w:p>
        </w:tc>
        <w:tc>
          <w:tcPr>
            <w:tcW w:w="4429"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6" w:type="dxa"/>
          </w:tcPr>
          <w:p>
            <w:pPr>
              <w:pStyle w:val="84"/>
              <w:spacing w:line="360" w:lineRule="auto"/>
              <w:rPr>
                <w:sz w:val="24"/>
              </w:rPr>
            </w:pPr>
            <w:r>
              <w:rPr>
                <w:sz w:val="24"/>
              </w:rPr>
              <w:t>4.2</w:t>
            </w:r>
            <w:r>
              <w:rPr>
                <w:rFonts w:hint="eastAsia"/>
                <w:sz w:val="24"/>
              </w:rPr>
              <w:t>.</w:t>
            </w:r>
            <w:r>
              <w:rPr>
                <w:sz w:val="24"/>
              </w:rPr>
              <w:t>12</w:t>
            </w:r>
            <w:r>
              <w:rPr>
                <w:rFonts w:hint="eastAsia"/>
                <w:sz w:val="24"/>
              </w:rPr>
              <w:t>条-</w:t>
            </w:r>
            <w:r>
              <w:rPr>
                <w:sz w:val="24"/>
              </w:rPr>
              <w:t>2</w:t>
            </w:r>
          </w:p>
        </w:tc>
        <w:tc>
          <w:tcPr>
            <w:tcW w:w="442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6" w:type="dxa"/>
          </w:tcPr>
          <w:p>
            <w:pPr>
              <w:pStyle w:val="84"/>
              <w:spacing w:line="360" w:lineRule="auto"/>
              <w:rPr>
                <w:sz w:val="24"/>
              </w:rPr>
            </w:pPr>
            <w:r>
              <w:rPr>
                <w:sz w:val="24"/>
              </w:rPr>
              <w:t>4.4</w:t>
            </w:r>
            <w:r>
              <w:rPr>
                <w:rFonts w:hint="eastAsia"/>
                <w:sz w:val="24"/>
              </w:rPr>
              <w:t>.</w:t>
            </w:r>
            <w:r>
              <w:rPr>
                <w:sz w:val="24"/>
              </w:rPr>
              <w:t>6</w:t>
            </w:r>
            <w:r>
              <w:rPr>
                <w:rFonts w:hint="eastAsia"/>
                <w:sz w:val="24"/>
              </w:rPr>
              <w:t>条 -2</w:t>
            </w:r>
          </w:p>
        </w:tc>
        <w:tc>
          <w:tcPr>
            <w:tcW w:w="442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依据材料</w:t>
            </w:r>
          </w:p>
        </w:tc>
        <w:tc>
          <w:tcPr>
            <w:tcW w:w="8119" w:type="dxa"/>
            <w:gridSpan w:val="3"/>
          </w:tcPr>
          <w:p>
            <w:pPr>
              <w:pStyle w:val="84"/>
              <w:spacing w:line="360" w:lineRule="auto"/>
              <w:ind w:firstLine="480" w:firstLineChars="200"/>
              <w:jc w:val="left"/>
              <w:rPr>
                <w:sz w:val="24"/>
              </w:rPr>
            </w:pPr>
            <w:r>
              <w:rPr>
                <w:rFonts w:hint="eastAsia"/>
                <w:sz w:val="24"/>
              </w:rPr>
              <w:t>设计人员应根据项目实施的建筑总平面图、建筑平面图（含公共配套服务设施的相关楼层）、位置标识图、管理实施方案，此项的重点是项目的共享共用的设施或空间，拟向社会开放部分的规划设计与组织管理实施方案等，依照项目实际情况，来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备注</w:t>
            </w:r>
          </w:p>
        </w:tc>
        <w:tc>
          <w:tcPr>
            <w:tcW w:w="8119" w:type="dxa"/>
            <w:gridSpan w:val="3"/>
          </w:tcPr>
          <w:p>
            <w:pPr>
              <w:pStyle w:val="84"/>
              <w:spacing w:line="360" w:lineRule="auto"/>
              <w:ind w:firstLine="480" w:firstLineChars="200"/>
              <w:jc w:val="left"/>
              <w:rPr>
                <w:sz w:val="24"/>
              </w:rPr>
            </w:pPr>
            <w:r>
              <w:rPr>
                <w:rFonts w:hint="eastAsia"/>
                <w:sz w:val="24"/>
              </w:rPr>
              <w:t>设计人员在本条填写时需注意，如项目为建筑单体，则“场地入口”用“建筑主要出入口”替代。</w:t>
            </w:r>
          </w:p>
          <w:p>
            <w:pPr>
              <w:pStyle w:val="84"/>
              <w:spacing w:line="360" w:lineRule="auto"/>
              <w:ind w:firstLine="480" w:firstLineChars="200"/>
              <w:jc w:val="left"/>
              <w:rPr>
                <w:sz w:val="24"/>
              </w:rPr>
            </w:pPr>
            <w:r>
              <w:rPr>
                <w:rFonts w:hint="eastAsia"/>
                <w:sz w:val="24"/>
              </w:rPr>
              <w:t>公共建筑兼容2种及以上主要公共服务功能是指主要服务功能在建筑内部混合布局，如建筑中设有共用的会议设施、展览设施、健身设施、餐饮设施等以及交往空间、休息空间等空间，提供休息座位、家属室、母婴室、活动室等人员停留、沟通交流、聚集活动等与建筑主要使用功能相适应的公共空间。</w:t>
            </w:r>
          </w:p>
          <w:p>
            <w:pPr>
              <w:pStyle w:val="84"/>
              <w:spacing w:line="360" w:lineRule="auto"/>
              <w:ind w:firstLine="480" w:firstLineChars="200"/>
              <w:jc w:val="left"/>
              <w:rPr>
                <w:sz w:val="24"/>
              </w:rPr>
            </w:pPr>
            <w:r>
              <w:rPr>
                <w:rFonts w:hint="eastAsia"/>
                <w:sz w:val="24"/>
              </w:rPr>
              <w:t>公共服务功能设施向社会开放共享的方式也具有多种形式，可以全时开放，也可根据自身使用情况错时开放。例如文化活动中心、图书馆、体育运动场、体育馆等，通过科学管理错时向社会公众开放；办公建筑的室外场地、停车库等在非办公时间向周边居民开放，会议室等向社会开放等。周边500m范围内设有社会公共停车场(库)，也是对社会设施共享共用、建筑使用者出行便捷性的重要评价内容。本次增加了城市步行公共通道等内容，以提高和保障城市公共空间步行系统的完整性和连续性，一方面为城市居民的出行提供便利、提高通达性，另一方面也是绿色建筑使用者出行便利的重要评价内容。</w:t>
            </w:r>
          </w:p>
        </w:tc>
      </w:tr>
    </w:tbl>
    <w:p>
      <w:pPr>
        <w:pStyle w:val="271"/>
        <w:spacing w:line="360" w:lineRule="auto"/>
        <w:ind w:firstLine="0" w:firstLineChars="0"/>
        <w:rPr>
          <w:rFonts w:asciiTheme="minorEastAsia" w:hAnsiTheme="minorEastAsia" w:eastAsiaTheme="minorEastAsia"/>
          <w:sz w:val="24"/>
          <w:lang w:val="en-GB"/>
        </w:rPr>
      </w:pPr>
      <w:r>
        <w:rPr>
          <w:rFonts w:hint="eastAsia" w:asciiTheme="minorEastAsia" w:hAnsiTheme="minorEastAsia" w:eastAsiaTheme="minorEastAsia"/>
          <w:sz w:val="24"/>
        </w:rPr>
        <w:t>4.2</w:t>
      </w:r>
      <w:r>
        <w:rPr>
          <w:rFonts w:hint="eastAsia" w:asciiTheme="minorEastAsia" w:hAnsiTheme="minorEastAsia" w:eastAsiaTheme="minorEastAsia"/>
          <w:sz w:val="24"/>
          <w:lang w:val="en-GB"/>
        </w:rPr>
        <w:t>健身场地和空间：</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024"/>
        <w:gridCol w:w="1666"/>
        <w:gridCol w:w="4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45" w:type="dxa"/>
            <w:vMerge w:val="restart"/>
          </w:tcPr>
          <w:p>
            <w:pPr>
              <w:pStyle w:val="84"/>
              <w:spacing w:line="360" w:lineRule="auto"/>
              <w:rPr>
                <w:sz w:val="24"/>
              </w:rPr>
            </w:pPr>
            <w:r>
              <w:rPr>
                <w:rFonts w:hint="eastAsia"/>
                <w:sz w:val="24"/>
              </w:rPr>
              <w:t>条文来源</w:t>
            </w:r>
          </w:p>
        </w:tc>
        <w:tc>
          <w:tcPr>
            <w:tcW w:w="2024" w:type="dxa"/>
            <w:vMerge w:val="restart"/>
          </w:tcPr>
          <w:p>
            <w:pPr>
              <w:pStyle w:val="84"/>
              <w:spacing w:line="360" w:lineRule="auto"/>
              <w:rPr>
                <w:sz w:val="24"/>
              </w:rPr>
            </w:pPr>
            <w:r>
              <w:rPr>
                <w:rFonts w:hint="eastAsia"/>
                <w:sz w:val="24"/>
              </w:rPr>
              <w:t>GB/T 50378-201</w:t>
            </w:r>
            <w:r>
              <w:rPr>
                <w:sz w:val="24"/>
              </w:rPr>
              <w:t>9</w:t>
            </w:r>
          </w:p>
        </w:tc>
        <w:tc>
          <w:tcPr>
            <w:tcW w:w="1666" w:type="dxa"/>
          </w:tcPr>
          <w:p>
            <w:pPr>
              <w:pStyle w:val="84"/>
              <w:spacing w:line="360" w:lineRule="auto"/>
              <w:rPr>
                <w:sz w:val="24"/>
              </w:rPr>
            </w:pPr>
            <w:r>
              <w:rPr>
                <w:rFonts w:hint="eastAsia"/>
                <w:sz w:val="24"/>
              </w:rPr>
              <w:t>6</w:t>
            </w:r>
            <w:r>
              <w:rPr>
                <w:sz w:val="24"/>
              </w:rPr>
              <w:t>.2.4</w:t>
            </w:r>
            <w:r>
              <w:rPr>
                <w:rFonts w:hint="eastAsia"/>
                <w:sz w:val="24"/>
              </w:rPr>
              <w:t>条</w:t>
            </w:r>
          </w:p>
        </w:tc>
        <w:tc>
          <w:tcPr>
            <w:tcW w:w="4429" w:type="dxa"/>
          </w:tcPr>
          <w:p>
            <w:pPr>
              <w:pStyle w:val="84"/>
              <w:spacing w:line="360" w:lineRule="auto"/>
              <w:rPr>
                <w:sz w:val="24"/>
              </w:rPr>
            </w:pPr>
            <w:r>
              <w:rPr>
                <w:sz w:val="24"/>
              </w:rPr>
              <w:t>5</w:t>
            </w:r>
            <w:r>
              <w:rPr>
                <w:rFonts w:hint="eastAsia"/>
                <w:sz w:val="24"/>
              </w:rPr>
              <w:t>分（距离不大于300m，3分；距离不大于500m，2分的）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6" w:type="dxa"/>
          </w:tcPr>
          <w:p>
            <w:pPr>
              <w:pStyle w:val="84"/>
              <w:spacing w:line="360" w:lineRule="auto"/>
              <w:rPr>
                <w:sz w:val="24"/>
              </w:rPr>
            </w:pPr>
            <w:r>
              <w:rPr>
                <w:rFonts w:hint="eastAsia"/>
                <w:sz w:val="24"/>
              </w:rPr>
              <w:t>6</w:t>
            </w:r>
            <w:r>
              <w:rPr>
                <w:sz w:val="24"/>
              </w:rPr>
              <w:t>.2.5</w:t>
            </w:r>
            <w:r>
              <w:rPr>
                <w:rFonts w:hint="eastAsia"/>
                <w:sz w:val="24"/>
              </w:rPr>
              <w:t>条</w:t>
            </w:r>
          </w:p>
        </w:tc>
        <w:tc>
          <w:tcPr>
            <w:tcW w:w="4429" w:type="dxa"/>
          </w:tcPr>
          <w:p>
            <w:pPr>
              <w:pStyle w:val="84"/>
              <w:spacing w:line="360" w:lineRule="auto"/>
              <w:rPr>
                <w:sz w:val="24"/>
              </w:rPr>
            </w:pPr>
            <w:r>
              <w:rPr>
                <w:rFonts w:hint="eastAsia"/>
                <w:sz w:val="24"/>
              </w:rPr>
              <w:t>1</w:t>
            </w:r>
            <w:r>
              <w:rPr>
                <w:sz w:val="24"/>
              </w:rPr>
              <w:t>0</w:t>
            </w:r>
            <w:r>
              <w:rPr>
                <w:rFonts w:hint="eastAsia"/>
                <w:sz w:val="24"/>
              </w:rPr>
              <w:t>分（满足室外健身场地面积要求，3分；满足专用健身慢行道要求，2分；满足室内健身空间的面积要求，3分； 满足楼梯间要求，2分）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restart"/>
          </w:tcPr>
          <w:p>
            <w:pPr>
              <w:pStyle w:val="84"/>
              <w:spacing w:line="360" w:lineRule="auto"/>
              <w:rPr>
                <w:sz w:val="24"/>
              </w:rPr>
            </w:pPr>
            <w:r>
              <w:rPr>
                <w:rFonts w:hint="eastAsia"/>
                <w:sz w:val="24"/>
              </w:rPr>
              <w:t>DB33/1092-20</w:t>
            </w:r>
            <w:r>
              <w:rPr>
                <w:sz w:val="24"/>
              </w:rPr>
              <w:t>21</w:t>
            </w:r>
          </w:p>
        </w:tc>
        <w:tc>
          <w:tcPr>
            <w:tcW w:w="1666" w:type="dxa"/>
          </w:tcPr>
          <w:p>
            <w:pPr>
              <w:pStyle w:val="84"/>
              <w:spacing w:line="360" w:lineRule="auto"/>
              <w:rPr>
                <w:sz w:val="24"/>
              </w:rPr>
            </w:pPr>
            <w:r>
              <w:rPr>
                <w:rFonts w:hint="eastAsia"/>
                <w:sz w:val="24"/>
              </w:rPr>
              <w:t>5</w:t>
            </w:r>
            <w:r>
              <w:rPr>
                <w:sz w:val="24"/>
              </w:rPr>
              <w:t>.3.1</w:t>
            </w:r>
            <w:r>
              <w:rPr>
                <w:rFonts w:hint="eastAsia"/>
                <w:sz w:val="24"/>
              </w:rPr>
              <w:t>条</w:t>
            </w:r>
          </w:p>
        </w:tc>
        <w:tc>
          <w:tcPr>
            <w:tcW w:w="4429"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6" w:type="dxa"/>
          </w:tcPr>
          <w:p>
            <w:pPr>
              <w:pStyle w:val="84"/>
              <w:spacing w:line="360" w:lineRule="auto"/>
              <w:rPr>
                <w:sz w:val="24"/>
              </w:rPr>
            </w:pPr>
            <w:r>
              <w:rPr>
                <w:sz w:val="24"/>
              </w:rPr>
              <w:t>10.2.2</w:t>
            </w:r>
            <w:r>
              <w:rPr>
                <w:rFonts w:hint="eastAsia"/>
                <w:sz w:val="24"/>
              </w:rPr>
              <w:t>条</w:t>
            </w:r>
          </w:p>
        </w:tc>
        <w:tc>
          <w:tcPr>
            <w:tcW w:w="442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6" w:type="dxa"/>
          </w:tcPr>
          <w:p>
            <w:pPr>
              <w:pStyle w:val="84"/>
              <w:spacing w:line="360" w:lineRule="auto"/>
              <w:rPr>
                <w:sz w:val="24"/>
              </w:rPr>
            </w:pPr>
            <w:r>
              <w:rPr>
                <w:sz w:val="24"/>
              </w:rPr>
              <w:t>10.4.2</w:t>
            </w:r>
            <w:r>
              <w:rPr>
                <w:rFonts w:hint="eastAsia"/>
                <w:sz w:val="24"/>
              </w:rPr>
              <w:t>条</w:t>
            </w:r>
          </w:p>
        </w:tc>
        <w:tc>
          <w:tcPr>
            <w:tcW w:w="442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依据材料</w:t>
            </w:r>
          </w:p>
        </w:tc>
        <w:tc>
          <w:tcPr>
            <w:tcW w:w="8119" w:type="dxa"/>
            <w:gridSpan w:val="3"/>
          </w:tcPr>
          <w:p>
            <w:pPr>
              <w:pStyle w:val="84"/>
              <w:spacing w:line="360" w:lineRule="auto"/>
              <w:ind w:firstLine="480" w:firstLineChars="200"/>
              <w:jc w:val="left"/>
              <w:rPr>
                <w:sz w:val="24"/>
              </w:rPr>
            </w:pPr>
            <w:r>
              <w:rPr>
                <w:rFonts w:hint="eastAsia"/>
                <w:sz w:val="24"/>
              </w:rPr>
              <w:t>设计人员应根据项目实施的建筑总平面图、建筑平面图（含公共配套服务设施的相关楼层）、位置标识图、管理实施方案、产品说明书，此项的重点是项目的共享共用的设施或空间，拟向社会开放部分的规划设计与组织管理实施方案等，依照项目实际情况，来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备注</w:t>
            </w:r>
          </w:p>
        </w:tc>
        <w:tc>
          <w:tcPr>
            <w:tcW w:w="8119" w:type="dxa"/>
            <w:gridSpan w:val="3"/>
          </w:tcPr>
          <w:p>
            <w:pPr>
              <w:pStyle w:val="84"/>
              <w:spacing w:line="360" w:lineRule="auto"/>
              <w:ind w:firstLine="480" w:firstLineChars="200"/>
              <w:jc w:val="left"/>
              <w:rPr>
                <w:sz w:val="24"/>
              </w:rPr>
            </w:pPr>
            <w:r>
              <w:rPr>
                <w:rFonts w:hint="eastAsia"/>
                <w:sz w:val="24"/>
              </w:rPr>
              <w:t>本项为新增内容。强调了城市公共开敞空间、运动场所的便捷性、可达性。提出步行500m应能够到达1处中型多功能运动场地(大约1300m2～2500m2，集中设置了篮球、排球、5人足球的运动场地)，或是其他对外开放的专用运动场，如学校对外开放的运动场。符合《中共中央国务院关于进一步加强城市规划建设管理工作的若干意见》提出的“合理规划建设广场、公园、步行道等公共活动空间，方便居民文体活动，促进居民交流。强化绿地服务群众日常活动的功能，使市民在居家和工作附近能够见到绿地、亲近绿地”的要求。</w:t>
            </w:r>
          </w:p>
          <w:p>
            <w:pPr>
              <w:pStyle w:val="84"/>
              <w:spacing w:line="360" w:lineRule="auto"/>
              <w:ind w:firstLine="480" w:firstLineChars="200"/>
              <w:jc w:val="left"/>
              <w:rPr>
                <w:sz w:val="24"/>
              </w:rPr>
            </w:pPr>
            <w:r>
              <w:rPr>
                <w:rFonts w:hint="eastAsia"/>
                <w:sz w:val="24"/>
              </w:rPr>
              <w:t>要求设置集中的室外健身活动区。健身场地的设置位置应避免噪声扰民，并根据运动类型设置适当的隔声措施；健身场地设置应进行全龄化的设计，满足各年龄段人群的室外活动要求。</w:t>
            </w:r>
          </w:p>
          <w:p>
            <w:pPr>
              <w:pStyle w:val="84"/>
              <w:spacing w:line="360" w:lineRule="auto"/>
              <w:ind w:firstLine="480" w:firstLineChars="200"/>
              <w:jc w:val="left"/>
              <w:rPr>
                <w:sz w:val="24"/>
              </w:rPr>
            </w:pPr>
            <w:r>
              <w:rPr>
                <w:rFonts w:hint="eastAsia"/>
                <w:sz w:val="24"/>
              </w:rPr>
              <w:t>健身慢行道是指在场地内设置的供人们进行行走、慢跑的专门道路。健身慢行道应尽可能避免与场地内车行道交叉，步道宜采用弹性减振、防滑和环保的材料，如塑胶、彩色陶粒等。步道宽度不少于1．25m，源自原建设部以及原国土资源部联合发布的《城市社区体育设施建设用地指标》的要求。</w:t>
            </w:r>
          </w:p>
          <w:p>
            <w:pPr>
              <w:pStyle w:val="84"/>
              <w:spacing w:line="360" w:lineRule="auto"/>
              <w:ind w:firstLine="480" w:firstLineChars="200"/>
              <w:jc w:val="left"/>
              <w:rPr>
                <w:sz w:val="24"/>
              </w:rPr>
            </w:pPr>
            <w:r>
              <w:rPr>
                <w:rFonts w:hint="eastAsia"/>
                <w:sz w:val="24"/>
              </w:rPr>
              <w:t>鼓励建筑或社区中可设置健身房，或利用公共空间(如小区会所、入口大堂、休闲平台、共享空间等)设置健身区，配置一些健身器材，提供给人们全天候进行健身活动的条件，鼓励积极健康的生活方式。健康空间还包括开放共享的羽毛球室、乒乓球室。</w:t>
            </w:r>
          </w:p>
          <w:p>
            <w:pPr>
              <w:pStyle w:val="84"/>
              <w:spacing w:line="360" w:lineRule="auto"/>
              <w:ind w:firstLine="480" w:firstLineChars="200"/>
              <w:jc w:val="left"/>
              <w:rPr>
                <w:sz w:val="24"/>
              </w:rPr>
            </w:pPr>
            <w:r>
              <w:rPr>
                <w:rFonts w:hint="eastAsia"/>
                <w:sz w:val="24"/>
              </w:rPr>
              <w:t>鼓励将楼梯设置在靠近主入口的地方。楼梯间内有天然采光、有良好的视野和人体感应灯，可以提高楼梯间锻炼的舒适度。</w:t>
            </w:r>
          </w:p>
        </w:tc>
      </w:tr>
    </w:tbl>
    <w:p>
      <w:pPr>
        <w:pStyle w:val="87"/>
        <w:numPr>
          <w:ilvl w:val="0"/>
          <w:numId w:val="60"/>
        </w:num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出入口与公共交通设置：</w:t>
      </w:r>
      <w:r>
        <w:rPr>
          <w:rFonts w:asciiTheme="minorEastAsia" w:hAnsiTheme="minorEastAsia" w:eastAsiaTheme="minorEastAsia"/>
          <w:b/>
          <w:sz w:val="24"/>
          <w:szCs w:val="24"/>
        </w:rPr>
        <w:t xml:space="preserve"> </w:t>
      </w:r>
    </w:p>
    <w:p>
      <w:pPr>
        <w:pStyle w:val="271"/>
        <w:spacing w:line="360" w:lineRule="auto"/>
        <w:ind w:firstLine="0" w:firstLineChars="0"/>
        <w:rPr>
          <w:rFonts w:asciiTheme="minorEastAsia" w:hAnsiTheme="minorEastAsia" w:eastAsiaTheme="minorEastAsia"/>
          <w:sz w:val="24"/>
          <w:lang w:val="en-GB"/>
        </w:rPr>
      </w:pPr>
      <w:r>
        <w:rPr>
          <w:rFonts w:hint="eastAsia" w:asciiTheme="minorEastAsia" w:hAnsiTheme="minorEastAsia" w:eastAsiaTheme="minorEastAsia"/>
          <w:sz w:val="24"/>
        </w:rPr>
        <w:t>5.1</w:t>
      </w:r>
      <w:r>
        <w:rPr>
          <w:rFonts w:asciiTheme="minorEastAsia" w:hAnsiTheme="minorEastAsia" w:eastAsiaTheme="minorEastAsia"/>
          <w:sz w:val="24"/>
        </w:rPr>
        <w:t>场地与公共交通站点联系便捷</w:t>
      </w:r>
      <w:r>
        <w:rPr>
          <w:rFonts w:hint="eastAsia" w:asciiTheme="minorEastAsia" w:hAnsiTheme="minorEastAsia" w:eastAsiaTheme="minorEastAsia"/>
          <w:sz w:val="24"/>
          <w:lang w:val="en-GB"/>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.1.1 </w:t>
      </w:r>
      <w:r>
        <w:rPr>
          <w:rFonts w:hint="eastAsia" w:asciiTheme="minorEastAsia" w:hAnsiTheme="minorEastAsia" w:eastAsiaTheme="minorEastAsia"/>
          <w:sz w:val="24"/>
        </w:rPr>
        <w:t>场地</w:t>
      </w:r>
      <w:r>
        <w:rPr>
          <w:rFonts w:asciiTheme="minorEastAsia" w:hAnsiTheme="minorEastAsia" w:eastAsiaTheme="minorEastAsia"/>
          <w:sz w:val="24"/>
        </w:rPr>
        <w:t>人行</w:t>
      </w:r>
      <w:r>
        <w:rPr>
          <w:rFonts w:hint="eastAsia" w:asciiTheme="minorEastAsia" w:hAnsiTheme="minorEastAsia" w:eastAsiaTheme="minorEastAsia"/>
          <w:sz w:val="24"/>
        </w:rPr>
        <w:t>出入口设有</w:t>
      </w:r>
      <w:r>
        <w:rPr>
          <w:rFonts w:asciiTheme="minorEastAsia" w:hAnsiTheme="minorEastAsia" w:eastAsiaTheme="minorEastAsia"/>
          <w:sz w:val="24"/>
        </w:rPr>
        <w:t>公共交通站点</w:t>
      </w:r>
      <w:r>
        <w:rPr>
          <w:rFonts w:hint="eastAsia" w:asciiTheme="minorEastAsia" w:hAnsiTheme="minorEastAsia" w:eastAsiaTheme="minorEastAsia"/>
          <w:sz w:val="24"/>
        </w:rPr>
        <w:t>；</w:t>
      </w:r>
      <w:bookmarkStart w:id="32" w:name="_Hlk106721848"/>
      <w:r>
        <w:rPr>
          <w:rFonts w:hint="eastAsia" w:asciiTheme="minorEastAsia" w:hAnsiTheme="minorEastAsia" w:eastAsiaTheme="minorEastAsia"/>
          <w:sz w:val="24"/>
        </w:rPr>
        <w:t>（与5</w:t>
      </w:r>
      <w:r>
        <w:rPr>
          <w:rFonts w:asciiTheme="minorEastAsia" w:hAnsiTheme="minorEastAsia" w:eastAsiaTheme="minorEastAsia"/>
          <w:sz w:val="24"/>
        </w:rPr>
        <w:t>.1.4</w:t>
      </w:r>
      <w:r>
        <w:rPr>
          <w:rFonts w:hint="eastAsia" w:asciiTheme="minorEastAsia" w:hAnsiTheme="minorEastAsia" w:eastAsiaTheme="minorEastAsia"/>
          <w:sz w:val="24"/>
        </w:rPr>
        <w:t>条两者至少可满足其一）</w:t>
      </w:r>
      <w:bookmarkEnd w:id="32"/>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.1.2 </w:t>
      </w:r>
      <w:r>
        <w:rPr>
          <w:rFonts w:hint="eastAsia" w:asciiTheme="minorEastAsia" w:hAnsiTheme="minorEastAsia" w:eastAsiaTheme="minorEastAsia"/>
          <w:sz w:val="24"/>
        </w:rPr>
        <w:t>场地</w:t>
      </w:r>
      <w:r>
        <w:rPr>
          <w:rFonts w:asciiTheme="minorEastAsia" w:hAnsiTheme="minorEastAsia" w:eastAsiaTheme="minorEastAsia"/>
          <w:sz w:val="24"/>
        </w:rPr>
        <w:t>人行</w:t>
      </w:r>
      <w:r>
        <w:rPr>
          <w:rFonts w:hint="eastAsia" w:asciiTheme="minorEastAsia" w:hAnsiTheme="minorEastAsia" w:eastAsiaTheme="minorEastAsia"/>
          <w:sz w:val="24"/>
        </w:rPr>
        <w:t>出入口设有轨道交通站；</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.1.3 </w:t>
      </w:r>
      <w:r>
        <w:rPr>
          <w:rFonts w:hint="eastAsia" w:asciiTheme="minorEastAsia" w:hAnsiTheme="minorEastAsia" w:eastAsiaTheme="minorEastAsia"/>
          <w:sz w:val="24"/>
        </w:rPr>
        <w:t>场地</w:t>
      </w:r>
      <w:r>
        <w:rPr>
          <w:rFonts w:asciiTheme="minorEastAsia" w:hAnsiTheme="minorEastAsia" w:eastAsiaTheme="minorEastAsia"/>
          <w:sz w:val="24"/>
        </w:rPr>
        <w:t>人行</w:t>
      </w:r>
      <w:r>
        <w:rPr>
          <w:rFonts w:hint="eastAsia" w:asciiTheme="minorEastAsia" w:hAnsiTheme="minorEastAsia" w:eastAsiaTheme="minorEastAsia"/>
          <w:sz w:val="24"/>
        </w:rPr>
        <w:t>出入口</w:t>
      </w:r>
      <w:r>
        <w:rPr>
          <w:rFonts w:asciiTheme="minorEastAsia" w:hAnsiTheme="minorEastAsia" w:eastAsiaTheme="minorEastAsia"/>
          <w:sz w:val="24"/>
        </w:rPr>
        <w:t>步行距离</w:t>
      </w:r>
      <w:r>
        <w:rPr>
          <w:rFonts w:hint="eastAsia" w:asciiTheme="minorEastAsia" w:hAnsiTheme="minorEastAsia" w:eastAsiaTheme="minorEastAsia"/>
          <w:sz w:val="24"/>
        </w:rPr>
        <w:t>800m范围内设有2条及以上线路的公共交通站点（含公交站和轨道交通站）；</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.1.4 </w:t>
      </w:r>
      <w:r>
        <w:rPr>
          <w:rFonts w:hint="eastAsia" w:asciiTheme="minorEastAsia" w:hAnsiTheme="minorEastAsia" w:eastAsiaTheme="minorEastAsia"/>
          <w:sz w:val="24"/>
        </w:rPr>
        <w:t>场地有</w:t>
      </w:r>
      <w:r>
        <w:rPr>
          <w:rFonts w:asciiTheme="minorEastAsia" w:hAnsiTheme="minorEastAsia" w:eastAsiaTheme="minorEastAsia"/>
          <w:sz w:val="24"/>
        </w:rPr>
        <w:t>配备联系公共交通站点的专用接驳车</w:t>
      </w:r>
      <w:r>
        <w:rPr>
          <w:rFonts w:hint="eastAsia" w:asciiTheme="minorEastAsia" w:hAnsiTheme="minorEastAsia" w:eastAsiaTheme="minorEastAsia"/>
          <w:sz w:val="24"/>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2028"/>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1" w:type="dxa"/>
            <w:vMerge w:val="restart"/>
          </w:tcPr>
          <w:p>
            <w:pPr>
              <w:pStyle w:val="84"/>
              <w:spacing w:line="360" w:lineRule="auto"/>
              <w:rPr>
                <w:sz w:val="24"/>
              </w:rPr>
            </w:pPr>
            <w:r>
              <w:rPr>
                <w:rFonts w:hint="eastAsia"/>
                <w:sz w:val="24"/>
              </w:rPr>
              <w:t>条文来源</w:t>
            </w:r>
          </w:p>
        </w:tc>
        <w:tc>
          <w:tcPr>
            <w:tcW w:w="2028" w:type="dxa"/>
            <w:vMerge w:val="restart"/>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rFonts w:hint="eastAsia"/>
                <w:sz w:val="24"/>
              </w:rPr>
              <w:t>6</w:t>
            </w:r>
            <w:r>
              <w:rPr>
                <w:sz w:val="24"/>
              </w:rPr>
              <w:t>.1.2</w:t>
            </w:r>
            <w:r>
              <w:rPr>
                <w:rFonts w:hint="eastAsia"/>
                <w:sz w:val="24"/>
              </w:rPr>
              <w:t>条</w:t>
            </w:r>
          </w:p>
        </w:tc>
        <w:tc>
          <w:tcPr>
            <w:tcW w:w="4431"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1" w:type="dxa"/>
            <w:vMerge w:val="continue"/>
          </w:tcPr>
          <w:p>
            <w:pPr>
              <w:pStyle w:val="84"/>
              <w:spacing w:line="360" w:lineRule="auto"/>
              <w:rPr>
                <w:sz w:val="24"/>
              </w:rPr>
            </w:pPr>
          </w:p>
        </w:tc>
        <w:tc>
          <w:tcPr>
            <w:tcW w:w="2028" w:type="dxa"/>
            <w:vMerge w:val="continue"/>
          </w:tcPr>
          <w:p>
            <w:pPr>
              <w:pStyle w:val="84"/>
              <w:spacing w:line="360" w:lineRule="auto"/>
              <w:rPr>
                <w:sz w:val="24"/>
              </w:rPr>
            </w:pPr>
          </w:p>
        </w:tc>
        <w:tc>
          <w:tcPr>
            <w:tcW w:w="1664" w:type="dxa"/>
            <w:vMerge w:val="restart"/>
          </w:tcPr>
          <w:p>
            <w:pPr>
              <w:pStyle w:val="84"/>
              <w:spacing w:line="360" w:lineRule="auto"/>
              <w:rPr>
                <w:sz w:val="24"/>
              </w:rPr>
            </w:pPr>
            <w:r>
              <w:rPr>
                <w:rFonts w:hint="eastAsia"/>
                <w:sz w:val="24"/>
              </w:rPr>
              <w:t>6</w:t>
            </w:r>
            <w:r>
              <w:rPr>
                <w:sz w:val="24"/>
              </w:rPr>
              <w:t>.2.1</w:t>
            </w:r>
            <w:r>
              <w:rPr>
                <w:rFonts w:hint="eastAsia"/>
                <w:sz w:val="24"/>
              </w:rPr>
              <w:t>条</w:t>
            </w:r>
          </w:p>
          <w:p>
            <w:pPr>
              <w:pStyle w:val="84"/>
              <w:spacing w:line="360" w:lineRule="auto"/>
              <w:rPr>
                <w:sz w:val="24"/>
              </w:rPr>
            </w:pPr>
          </w:p>
        </w:tc>
        <w:tc>
          <w:tcPr>
            <w:tcW w:w="4431" w:type="dxa"/>
          </w:tcPr>
          <w:p>
            <w:pPr>
              <w:pStyle w:val="84"/>
              <w:spacing w:line="360" w:lineRule="auto"/>
              <w:rPr>
                <w:sz w:val="24"/>
              </w:rPr>
            </w:pPr>
            <w:r>
              <w:rPr>
                <w:rFonts w:hint="eastAsia"/>
                <w:sz w:val="24"/>
              </w:rPr>
              <w:t>到达公共交通站点不超过500m，或到达轨道交通站不大于800m，2分；到达公共交通站点不超过300m，或到达轨道交通站不大于500m，4分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1" w:type="dxa"/>
            <w:vMerge w:val="continue"/>
          </w:tcPr>
          <w:p>
            <w:pPr>
              <w:pStyle w:val="84"/>
              <w:spacing w:line="360" w:lineRule="auto"/>
              <w:rPr>
                <w:sz w:val="24"/>
              </w:rPr>
            </w:pPr>
          </w:p>
        </w:tc>
        <w:tc>
          <w:tcPr>
            <w:tcW w:w="2028" w:type="dxa"/>
            <w:vMerge w:val="continue"/>
          </w:tcPr>
          <w:p>
            <w:pPr>
              <w:pStyle w:val="84"/>
              <w:spacing w:line="360" w:lineRule="auto"/>
              <w:rPr>
                <w:sz w:val="24"/>
              </w:rPr>
            </w:pPr>
          </w:p>
        </w:tc>
        <w:tc>
          <w:tcPr>
            <w:tcW w:w="1664" w:type="dxa"/>
            <w:vMerge w:val="continue"/>
          </w:tcPr>
          <w:p>
            <w:pPr>
              <w:pStyle w:val="84"/>
              <w:spacing w:line="360" w:lineRule="auto"/>
              <w:rPr>
                <w:sz w:val="24"/>
              </w:rPr>
            </w:pPr>
          </w:p>
        </w:tc>
        <w:tc>
          <w:tcPr>
            <w:tcW w:w="4431" w:type="dxa"/>
          </w:tcPr>
          <w:p>
            <w:pPr>
              <w:pStyle w:val="84"/>
              <w:spacing w:line="360" w:lineRule="auto"/>
              <w:rPr>
                <w:sz w:val="24"/>
              </w:rPr>
            </w:pPr>
            <w:r>
              <w:rPr>
                <w:rFonts w:hint="eastAsia"/>
                <w:sz w:val="24"/>
              </w:rPr>
              <w:t>场地出入口800m范围内设有不少于2条线路的公共交通站点，4分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1" w:type="dxa"/>
            <w:vMerge w:val="continue"/>
          </w:tcPr>
          <w:p>
            <w:pPr>
              <w:pStyle w:val="84"/>
              <w:spacing w:line="360" w:lineRule="auto"/>
              <w:rPr>
                <w:sz w:val="24"/>
              </w:rPr>
            </w:pPr>
          </w:p>
        </w:tc>
        <w:tc>
          <w:tcPr>
            <w:tcW w:w="2028" w:type="dxa"/>
            <w:vMerge w:val="restart"/>
          </w:tcPr>
          <w:p>
            <w:pPr>
              <w:pStyle w:val="84"/>
              <w:spacing w:line="360" w:lineRule="auto"/>
              <w:rPr>
                <w:sz w:val="24"/>
              </w:rPr>
            </w:pPr>
            <w:r>
              <w:rPr>
                <w:rFonts w:hint="eastAsia"/>
                <w:sz w:val="24"/>
              </w:rPr>
              <w:t>DB33/1092-20</w:t>
            </w:r>
            <w:r>
              <w:rPr>
                <w:sz w:val="24"/>
              </w:rPr>
              <w:t>21</w:t>
            </w:r>
          </w:p>
        </w:tc>
        <w:tc>
          <w:tcPr>
            <w:tcW w:w="1664" w:type="dxa"/>
          </w:tcPr>
          <w:p>
            <w:pPr>
              <w:pStyle w:val="84"/>
              <w:spacing w:line="360" w:lineRule="auto"/>
              <w:rPr>
                <w:sz w:val="24"/>
              </w:rPr>
            </w:pPr>
            <w:r>
              <w:rPr>
                <w:sz w:val="24"/>
              </w:rPr>
              <w:t>4.2.10</w:t>
            </w:r>
            <w:r>
              <w:rPr>
                <w:rFonts w:hint="eastAsia"/>
                <w:sz w:val="24"/>
              </w:rPr>
              <w:t>条</w:t>
            </w:r>
          </w:p>
        </w:tc>
        <w:tc>
          <w:tcPr>
            <w:tcW w:w="4431"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1" w:type="dxa"/>
            <w:vMerge w:val="continue"/>
          </w:tcPr>
          <w:p>
            <w:pPr>
              <w:pStyle w:val="84"/>
              <w:spacing w:line="360" w:lineRule="auto"/>
              <w:rPr>
                <w:sz w:val="24"/>
              </w:rPr>
            </w:pPr>
          </w:p>
        </w:tc>
        <w:tc>
          <w:tcPr>
            <w:tcW w:w="2028" w:type="dxa"/>
            <w:vMerge w:val="continue"/>
          </w:tcPr>
          <w:p>
            <w:pPr>
              <w:pStyle w:val="84"/>
              <w:spacing w:line="360" w:lineRule="auto"/>
              <w:rPr>
                <w:sz w:val="24"/>
              </w:rPr>
            </w:pPr>
          </w:p>
        </w:tc>
        <w:tc>
          <w:tcPr>
            <w:tcW w:w="1664" w:type="dxa"/>
          </w:tcPr>
          <w:p>
            <w:pPr>
              <w:pStyle w:val="84"/>
              <w:spacing w:line="360" w:lineRule="auto"/>
              <w:rPr>
                <w:sz w:val="24"/>
              </w:rPr>
            </w:pPr>
            <w:r>
              <w:rPr>
                <w:sz w:val="24"/>
              </w:rPr>
              <w:t>4.</w:t>
            </w:r>
            <w:r>
              <w:rPr>
                <w:rFonts w:hint="eastAsia"/>
                <w:sz w:val="24"/>
              </w:rPr>
              <w:t>3.5条</w:t>
            </w:r>
          </w:p>
        </w:tc>
        <w:tc>
          <w:tcPr>
            <w:tcW w:w="4431" w:type="dxa"/>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1" w:type="dxa"/>
            <w:vMerge w:val="continue"/>
          </w:tcPr>
          <w:p>
            <w:pPr>
              <w:pStyle w:val="84"/>
              <w:spacing w:line="360" w:lineRule="auto"/>
              <w:rPr>
                <w:sz w:val="24"/>
              </w:rPr>
            </w:pPr>
          </w:p>
        </w:tc>
        <w:tc>
          <w:tcPr>
            <w:tcW w:w="2028" w:type="dxa"/>
            <w:vMerge w:val="continue"/>
          </w:tcPr>
          <w:p>
            <w:pPr>
              <w:pStyle w:val="84"/>
              <w:spacing w:line="360" w:lineRule="auto"/>
              <w:rPr>
                <w:sz w:val="24"/>
              </w:rPr>
            </w:pPr>
          </w:p>
        </w:tc>
        <w:tc>
          <w:tcPr>
            <w:tcW w:w="1664" w:type="dxa"/>
          </w:tcPr>
          <w:p>
            <w:pPr>
              <w:pStyle w:val="84"/>
              <w:spacing w:line="360" w:lineRule="auto"/>
              <w:rPr>
                <w:sz w:val="24"/>
              </w:rPr>
            </w:pPr>
            <w:r>
              <w:rPr>
                <w:sz w:val="24"/>
              </w:rPr>
              <w:t>4.</w:t>
            </w:r>
            <w:r>
              <w:rPr>
                <w:rFonts w:hint="eastAsia"/>
                <w:sz w:val="24"/>
              </w:rPr>
              <w:t>4.</w:t>
            </w:r>
            <w:r>
              <w:rPr>
                <w:sz w:val="24"/>
              </w:rPr>
              <w:t>4</w:t>
            </w:r>
            <w:r>
              <w:rPr>
                <w:rFonts w:hint="eastAsia"/>
                <w:sz w:val="24"/>
              </w:rPr>
              <w:t>条</w:t>
            </w:r>
          </w:p>
        </w:tc>
        <w:tc>
          <w:tcPr>
            <w:tcW w:w="4431" w:type="dxa"/>
          </w:tcPr>
          <w:p>
            <w:pPr>
              <w:pStyle w:val="84"/>
              <w:spacing w:line="360" w:lineRule="auto"/>
              <w:rPr>
                <w:sz w:val="24"/>
              </w:rPr>
            </w:pPr>
            <w:r>
              <w:rPr>
                <w:rFonts w:hint="eastAsia"/>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4"/>
              <w:spacing w:line="360" w:lineRule="auto"/>
              <w:rPr>
                <w:sz w:val="24"/>
              </w:rPr>
            </w:pPr>
            <w:r>
              <w:rPr>
                <w:rFonts w:hint="eastAsia"/>
                <w:sz w:val="24"/>
              </w:rPr>
              <w:t>依据材料</w:t>
            </w:r>
          </w:p>
        </w:tc>
        <w:tc>
          <w:tcPr>
            <w:tcW w:w="8123" w:type="dxa"/>
            <w:gridSpan w:val="3"/>
          </w:tcPr>
          <w:p>
            <w:pPr>
              <w:pStyle w:val="84"/>
              <w:spacing w:line="360" w:lineRule="auto"/>
              <w:ind w:firstLine="480" w:firstLineChars="200"/>
              <w:jc w:val="left"/>
              <w:rPr>
                <w:sz w:val="24"/>
              </w:rPr>
            </w:pPr>
            <w:r>
              <w:rPr>
                <w:rFonts w:hint="eastAsia"/>
                <w:sz w:val="24"/>
              </w:rPr>
              <w:t>设计人员根据项目实施的建筑总平面图、场地周边公共交通设施布局图（应标出场地到达公交站点的步行线路、场地出入口到达公交站点的距离，包括建筑与公共交通站连通的专用通道、连接口等内容），周边规划图，依照项目实际填写此项内容。</w:t>
            </w:r>
          </w:p>
          <w:p>
            <w:pPr>
              <w:pStyle w:val="84"/>
              <w:spacing w:line="360" w:lineRule="auto"/>
              <w:ind w:firstLine="480" w:firstLineChars="200"/>
              <w:jc w:val="left"/>
              <w:rPr>
                <w:sz w:val="24"/>
              </w:rPr>
            </w:pPr>
            <w:r>
              <w:rPr>
                <w:rFonts w:hint="eastAsia"/>
                <w:sz w:val="24"/>
              </w:rPr>
              <w:t>另外，如项目位于新区，周边暂未开通或与公交连接，但规划有，且项目建成期内可满足，此项也可选“是”。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84"/>
              <w:spacing w:line="360" w:lineRule="auto"/>
              <w:rPr>
                <w:sz w:val="24"/>
              </w:rPr>
            </w:pPr>
            <w:r>
              <w:rPr>
                <w:rFonts w:hint="eastAsia"/>
                <w:sz w:val="24"/>
              </w:rPr>
              <w:t>备注</w:t>
            </w:r>
          </w:p>
        </w:tc>
        <w:tc>
          <w:tcPr>
            <w:tcW w:w="8123" w:type="dxa"/>
            <w:gridSpan w:val="3"/>
          </w:tcPr>
          <w:p>
            <w:pPr>
              <w:pStyle w:val="84"/>
              <w:spacing w:line="360" w:lineRule="auto"/>
              <w:ind w:firstLine="480" w:firstLineChars="200"/>
              <w:jc w:val="left"/>
              <w:rPr>
                <w:sz w:val="24"/>
              </w:rPr>
            </w:pPr>
            <w:r>
              <w:rPr>
                <w:rFonts w:hint="eastAsia"/>
                <w:sz w:val="24"/>
              </w:rPr>
              <w:t>优先发展公共交通是缓解城市交通拥堵问题的重要措施，因此建筑与公共交通联系的便捷程度很重要。为便于选择公共交通出行，在选址与场地规划中应重视建筑场地与公共交通站点的便捷联系，合理设置出入口。“有便捷的人行通道联系公共交通站点”包括：建筑外的平台直接通过天桥与公交站点相连，建筑的部分空间与地面轨道交通站点出入口直接连通，为减少到达公共交通站点的绕行距离设置了专用的人行通道，地下空间与地铁站点直接相连等。</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.1.</w:t>
      </w:r>
      <w:r>
        <w:rPr>
          <w:rFonts w:hint="eastAsia" w:asciiTheme="minorEastAsia" w:hAnsiTheme="minorEastAsia" w:eastAsiaTheme="minorEastAsia"/>
          <w:sz w:val="24"/>
        </w:rPr>
        <w:t>5采取人车分流措施，且步行和自行车交通系统有充足的照明</w:t>
      </w:r>
      <w:r>
        <w:rPr>
          <w:rFonts w:hint="eastAsia" w:asciiTheme="minorEastAsia" w:hAnsiTheme="minorEastAsia" w:eastAsiaTheme="minorEastAsia"/>
          <w:sz w:val="24"/>
          <w:lang w:eastAsia="zh-Hans"/>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restart"/>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sz w:val="24"/>
              </w:rPr>
              <w:t>4.2.5</w:t>
            </w:r>
            <w:r>
              <w:rPr>
                <w:rFonts w:hint="eastAsia"/>
                <w:sz w:val="24"/>
                <w:lang w:eastAsia="zh-Hans"/>
              </w:rPr>
              <w:t>条</w:t>
            </w:r>
          </w:p>
        </w:tc>
        <w:tc>
          <w:tcPr>
            <w:tcW w:w="4431" w:type="dxa"/>
          </w:tcPr>
          <w:p>
            <w:pPr>
              <w:pStyle w:val="84"/>
              <w:spacing w:line="360" w:lineRule="auto"/>
              <w:rPr>
                <w:sz w:val="24"/>
                <w:lang w:eastAsia="zh-Hans"/>
              </w:rPr>
            </w:pPr>
            <w:r>
              <w:rPr>
                <w:sz w:val="24"/>
                <w:lang w:eastAsia="zh-Hans"/>
              </w:rPr>
              <w:t>8</w:t>
            </w:r>
            <w:r>
              <w:rPr>
                <w:rFonts w:hint="eastAsia"/>
                <w:sz w:val="24"/>
                <w:lang w:eastAsia="zh-Han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lang w:eastAsia="zh-Hans"/>
              </w:rPr>
            </w:pPr>
          </w:p>
        </w:tc>
        <w:tc>
          <w:tcPr>
            <w:tcW w:w="2022" w:type="dxa"/>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sz w:val="24"/>
              </w:rPr>
              <w:t>4.2.10</w:t>
            </w:r>
            <w:r>
              <w:rPr>
                <w:rFonts w:hint="eastAsia"/>
                <w:sz w:val="24"/>
              </w:rPr>
              <w:t>条</w:t>
            </w:r>
            <w:r>
              <w:rPr>
                <w:sz w:val="24"/>
              </w:rPr>
              <w:t>-4</w:t>
            </w:r>
          </w:p>
        </w:tc>
        <w:tc>
          <w:tcPr>
            <w:tcW w:w="4431" w:type="dxa"/>
          </w:tcPr>
          <w:p>
            <w:pPr>
              <w:pStyle w:val="84"/>
              <w:spacing w:line="360" w:lineRule="auto"/>
              <w:rPr>
                <w:sz w:val="24"/>
                <w:lang w:eastAsia="zh-Hans"/>
              </w:rPr>
            </w:pPr>
            <w:r>
              <w:rPr>
                <w:rFonts w:hint="eastAsia"/>
                <w:sz w:val="24"/>
                <w:lang w:eastAsia="zh-Hans"/>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设计人员此条应根据</w:t>
            </w:r>
            <w:r>
              <w:rPr>
                <w:rFonts w:hint="eastAsia"/>
                <w:sz w:val="24"/>
                <w:lang w:eastAsia="zh-Hans"/>
              </w:rPr>
              <w:t>照明设计文件和人车分流专项设计文件，依照项目</w:t>
            </w:r>
            <w:r>
              <w:rPr>
                <w:rFonts w:hint="eastAsia"/>
                <w:sz w:val="24"/>
              </w:rPr>
              <w:t>实际</w:t>
            </w:r>
            <w:r>
              <w:rPr>
                <w:rFonts w:hint="eastAsia"/>
                <w:sz w:val="24"/>
                <w:lang w:eastAsia="zh-Hans"/>
              </w:rPr>
              <w:t>情况</w:t>
            </w:r>
            <w:r>
              <w:rPr>
                <w:rFonts w:hint="eastAsia"/>
                <w:sz w:val="24"/>
              </w:rPr>
              <w:t>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lang w:eastAsia="zh-Hans"/>
              </w:rPr>
              <w:t>场地内的交通状况直接关系着使用者的人身安全。人车分流将行人和机动车分离开，互不干扰，可避免人车争路的情况，充分保障行人尤其是老人和儿童的安全。提供完善的人行道路网络可鼓励公众步行，也是建立以行人为本的城市的先决条件。步行</w:t>
            </w:r>
            <w:r>
              <w:rPr>
                <w:sz w:val="24"/>
                <w:lang w:eastAsia="zh-Hans"/>
              </w:rPr>
              <w:t xml:space="preserve"> </w:t>
            </w:r>
            <w:r>
              <w:rPr>
                <w:rFonts w:hint="eastAsia"/>
                <w:sz w:val="24"/>
                <w:lang w:eastAsia="zh-Hans"/>
              </w:rPr>
              <w:t>和自行车交通系统如果照明不足，往往会导致人们产生不安全感，特别是在空旷或比较空旷的公共区域。充足的照明可以消除不安全感，对降低犯罪率、防止发生交通事故、提高夜间行人的安全性有重要作用。步行和自行车交通系统照明应以路面平均照度、</w:t>
            </w:r>
            <w:r>
              <w:rPr>
                <w:sz w:val="24"/>
                <w:lang w:eastAsia="zh-Hans"/>
              </w:rPr>
              <w:t xml:space="preserve"> </w:t>
            </w:r>
            <w:r>
              <w:rPr>
                <w:rFonts w:hint="eastAsia"/>
                <w:sz w:val="24"/>
                <w:lang w:eastAsia="zh-Hans"/>
              </w:rPr>
              <w:t>路面最小照度和垂直照度为评价指标，其照明标准值应不低于现行行业标准《城市道路照明设计标准》CJJ</w:t>
            </w:r>
            <w:r>
              <w:rPr>
                <w:sz w:val="24"/>
                <w:lang w:eastAsia="zh-Hans"/>
              </w:rPr>
              <w:t xml:space="preserve"> </w:t>
            </w:r>
            <w:r>
              <w:rPr>
                <w:rFonts w:hint="eastAsia"/>
                <w:sz w:val="24"/>
                <w:lang w:eastAsia="zh-Hans"/>
              </w:rPr>
              <w:t>45的有关要求。</w:t>
            </w:r>
          </w:p>
        </w:tc>
      </w:tr>
    </w:tbl>
    <w:p>
      <w:pPr>
        <w:spacing w:line="360" w:lineRule="auto"/>
        <w:ind w:firstLine="420"/>
        <w:rPr>
          <w:sz w:val="24"/>
          <w:lang w:eastAsia="zh-Hans"/>
        </w:rPr>
      </w:pPr>
      <w:r>
        <w:rPr>
          <w:rFonts w:hint="eastAsia" w:asciiTheme="minorEastAsia" w:hAnsiTheme="minorEastAsia" w:eastAsiaTheme="minorEastAsia"/>
          <w:sz w:val="24"/>
        </w:rPr>
        <w:t>5</w:t>
      </w:r>
      <w:r>
        <w:rPr>
          <w:rFonts w:asciiTheme="minorEastAsia" w:hAnsiTheme="minorEastAsia" w:eastAsiaTheme="minorEastAsia"/>
          <w:sz w:val="24"/>
        </w:rPr>
        <w:t>.1.</w:t>
      </w:r>
      <w:r>
        <w:rPr>
          <w:rFonts w:hint="eastAsia" w:asciiTheme="minorEastAsia" w:hAnsiTheme="minorEastAsia" w:eastAsiaTheme="minorEastAsia"/>
          <w:sz w:val="24"/>
        </w:rPr>
        <w:t>6</w:t>
      </w:r>
      <w:r>
        <w:rPr>
          <w:rFonts w:hint="eastAsia"/>
          <w:sz w:val="24"/>
        </w:rPr>
        <w:t>场地内各出入口位置及通道进行明显的导向标示设计</w:t>
      </w:r>
      <w:r>
        <w:rPr>
          <w:rFonts w:hint="eastAsia"/>
          <w:sz w:val="24"/>
          <w:lang w:eastAsia="zh-Hans"/>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restart"/>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sz w:val="24"/>
              </w:rPr>
              <w:t>8.1.5</w:t>
            </w:r>
            <w:r>
              <w:rPr>
                <w:rFonts w:hint="eastAsia"/>
                <w:sz w:val="24"/>
                <w:lang w:eastAsia="zh-Hans"/>
              </w:rPr>
              <w:t>条</w:t>
            </w:r>
          </w:p>
        </w:tc>
        <w:tc>
          <w:tcPr>
            <w:tcW w:w="4431"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lang w:eastAsia="zh-Hans"/>
              </w:rPr>
            </w:pPr>
          </w:p>
        </w:tc>
        <w:tc>
          <w:tcPr>
            <w:tcW w:w="2022" w:type="dxa"/>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sz w:val="24"/>
              </w:rPr>
              <w:t>4.3.5</w:t>
            </w:r>
            <w:r>
              <w:rPr>
                <w:rFonts w:hint="eastAsia"/>
                <w:sz w:val="24"/>
              </w:rPr>
              <w:t>条</w:t>
            </w:r>
            <w:r>
              <w:rPr>
                <w:sz w:val="24"/>
              </w:rPr>
              <w:t>-2</w:t>
            </w:r>
          </w:p>
        </w:tc>
        <w:tc>
          <w:tcPr>
            <w:tcW w:w="4431" w:type="dxa"/>
          </w:tcPr>
          <w:p>
            <w:pPr>
              <w:pStyle w:val="84"/>
              <w:spacing w:line="360" w:lineRule="auto"/>
              <w:rPr>
                <w:sz w:val="24"/>
                <w:lang w:eastAsia="zh-Hans"/>
              </w:rPr>
            </w:pPr>
            <w:r>
              <w:rPr>
                <w:rFonts w:hint="eastAsia"/>
                <w:sz w:val="24"/>
                <w:lang w:eastAsia="zh-Hans"/>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设计人员此条应根据</w:t>
            </w:r>
            <w:r>
              <w:rPr>
                <w:rFonts w:hint="eastAsia"/>
                <w:sz w:val="24"/>
                <w:lang w:eastAsia="zh-Hans"/>
              </w:rPr>
              <w:t>相关设计文件和标识系统设计文件，依照项目</w:t>
            </w:r>
            <w:r>
              <w:rPr>
                <w:rFonts w:hint="eastAsia"/>
                <w:sz w:val="24"/>
              </w:rPr>
              <w:t>实际</w:t>
            </w:r>
            <w:r>
              <w:rPr>
                <w:rFonts w:hint="eastAsia"/>
                <w:sz w:val="24"/>
                <w:lang w:eastAsia="zh-Hans"/>
              </w:rPr>
              <w:t>情况</w:t>
            </w:r>
            <w:r>
              <w:rPr>
                <w:rFonts w:hint="eastAsia"/>
                <w:sz w:val="24"/>
              </w:rPr>
              <w:t>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设置便于识别和使用的标识系统，包括导向标识和定位标识等，能够为建筑使用者带来便捷的使用体验。标识一般有人车分流标识、停车场库定位引导标识、场地与建筑出入口定位引导标识、无障碍标识、配套设施定位标识，以及其他促进便捷使用的导向标识等。在标识系统设计和设置时，应考虑建筑使用者的识别习惯通过色彩、形式、字体、符号等整体进行设计，形成统一性和可辨识度。并考虑老年人、残障人士、儿童等不同人群对于标识的识别和感知的方式。同时，为便于标识识别，应在场地内显著位置上设置标识，并沿通行路径布置，构成完整和连续的引导系统。</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.1.</w:t>
      </w:r>
      <w:r>
        <w:rPr>
          <w:rFonts w:hint="eastAsia" w:asciiTheme="minorEastAsia" w:hAnsiTheme="minorEastAsia" w:eastAsiaTheme="minorEastAsia"/>
          <w:sz w:val="24"/>
        </w:rPr>
        <w:t>7建设项目用地面积50万㎡</w:t>
      </w:r>
      <w:r>
        <w:rPr>
          <w:rFonts w:hint="eastAsia" w:asciiTheme="minorEastAsia" w:hAnsiTheme="minorEastAsia" w:eastAsiaTheme="minorEastAsia"/>
          <w:sz w:val="24"/>
          <w:lang w:eastAsia="zh-Hans"/>
        </w:rPr>
        <w:t>以上，</w:t>
      </w:r>
      <w:r>
        <w:rPr>
          <w:rFonts w:hint="eastAsia" w:asciiTheme="minorEastAsia" w:hAnsiTheme="minorEastAsia" w:eastAsiaTheme="minorEastAsia"/>
          <w:sz w:val="24"/>
        </w:rPr>
        <w:t>设置内部公共交通系统</w:t>
      </w:r>
      <w:r>
        <w:rPr>
          <w:rFonts w:hint="eastAsia" w:asciiTheme="minorEastAsia" w:hAnsiTheme="minorEastAsia" w:eastAsiaTheme="minorEastAsia"/>
          <w:sz w:val="24"/>
          <w:lang w:eastAsia="zh-Hans"/>
        </w:rPr>
        <w:t>，并优先</w:t>
      </w:r>
      <w:r>
        <w:rPr>
          <w:rFonts w:hint="eastAsia" w:asciiTheme="minorEastAsia" w:hAnsiTheme="minorEastAsia" w:eastAsiaTheme="minorEastAsia"/>
          <w:sz w:val="24"/>
        </w:rPr>
        <w:t>选择使用清洁能源的交通工具</w:t>
      </w:r>
      <w:r>
        <w:rPr>
          <w:rFonts w:hint="eastAsia" w:asciiTheme="minorEastAsia" w:hAnsiTheme="minorEastAsia" w:eastAsiaTheme="minorEastAsia"/>
          <w:sz w:val="24"/>
          <w:lang w:eastAsia="zh-Hans"/>
        </w:rPr>
        <w:t>；</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DB33/1092-</w:t>
            </w:r>
            <w:r>
              <w:rPr>
                <w:sz w:val="24"/>
              </w:rPr>
              <w:t>2021</w:t>
            </w:r>
          </w:p>
        </w:tc>
        <w:tc>
          <w:tcPr>
            <w:tcW w:w="1664" w:type="dxa"/>
          </w:tcPr>
          <w:p>
            <w:pPr>
              <w:pStyle w:val="84"/>
              <w:spacing w:line="360" w:lineRule="auto"/>
              <w:rPr>
                <w:sz w:val="24"/>
              </w:rPr>
            </w:pPr>
            <w:r>
              <w:rPr>
                <w:sz w:val="24"/>
              </w:rPr>
              <w:t>4</w:t>
            </w:r>
            <w:r>
              <w:rPr>
                <w:rFonts w:hint="eastAsia"/>
                <w:sz w:val="24"/>
                <w:lang w:eastAsia="zh-Hans"/>
              </w:rPr>
              <w:t>.</w:t>
            </w:r>
            <w:r>
              <w:rPr>
                <w:sz w:val="24"/>
                <w:lang w:eastAsia="zh-Hans"/>
              </w:rPr>
              <w:t>4.4</w:t>
            </w:r>
            <w:r>
              <w:rPr>
                <w:rFonts w:hint="eastAsia"/>
                <w:sz w:val="24"/>
              </w:rPr>
              <w:t>条</w:t>
            </w:r>
            <w:r>
              <w:rPr>
                <w:sz w:val="24"/>
              </w:rPr>
              <w:t>-2</w:t>
            </w:r>
          </w:p>
        </w:tc>
        <w:tc>
          <w:tcPr>
            <w:tcW w:w="4289" w:type="dxa"/>
          </w:tcPr>
          <w:p>
            <w:pPr>
              <w:pStyle w:val="84"/>
              <w:spacing w:line="360" w:lineRule="auto"/>
              <w:rPr>
                <w:sz w:val="24"/>
                <w:lang w:eastAsia="zh-Hans"/>
              </w:rPr>
            </w:pPr>
            <w:r>
              <w:rPr>
                <w:rFonts w:hint="eastAsia"/>
                <w:sz w:val="24"/>
                <w:lang w:eastAsia="zh-Hans"/>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7975" w:type="dxa"/>
            <w:gridSpan w:val="3"/>
          </w:tcPr>
          <w:p>
            <w:pPr>
              <w:pStyle w:val="84"/>
              <w:spacing w:line="360" w:lineRule="auto"/>
              <w:ind w:firstLine="480" w:firstLineChars="200"/>
              <w:jc w:val="left"/>
              <w:rPr>
                <w:sz w:val="24"/>
              </w:rPr>
            </w:pPr>
            <w:r>
              <w:rPr>
                <w:rFonts w:hint="eastAsia"/>
                <w:sz w:val="24"/>
              </w:rPr>
              <w:t>设计人员此条应根据</w:t>
            </w:r>
            <w:r>
              <w:rPr>
                <w:rFonts w:hint="eastAsia"/>
                <w:sz w:val="24"/>
                <w:lang w:eastAsia="zh-Hans"/>
              </w:rPr>
              <w:t>建筑总平面图、总平面交通流线分析图等相关设计文件，依照项目</w:t>
            </w:r>
            <w:r>
              <w:rPr>
                <w:rFonts w:hint="eastAsia"/>
                <w:sz w:val="24"/>
              </w:rPr>
              <w:t>实际</w:t>
            </w:r>
            <w:r>
              <w:rPr>
                <w:rFonts w:hint="eastAsia"/>
                <w:sz w:val="24"/>
                <w:lang w:eastAsia="zh-Hans"/>
              </w:rPr>
              <w:t>情况</w:t>
            </w:r>
            <w:r>
              <w:rPr>
                <w:rFonts w:hint="eastAsia"/>
                <w:sz w:val="24"/>
              </w:rPr>
              <w:t>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975" w:type="dxa"/>
            <w:gridSpan w:val="3"/>
          </w:tcPr>
          <w:p>
            <w:pPr>
              <w:pStyle w:val="84"/>
              <w:spacing w:line="360" w:lineRule="auto"/>
              <w:ind w:firstLine="480" w:firstLineChars="200"/>
              <w:jc w:val="left"/>
              <w:rPr>
                <w:sz w:val="24"/>
              </w:rPr>
            </w:pPr>
            <w:r>
              <w:rPr>
                <w:rFonts w:hint="eastAsia"/>
                <w:sz w:val="24"/>
              </w:rPr>
              <w:t>当建设项目的用地面积达到50万m</w:t>
            </w:r>
            <w:r>
              <w:rPr>
                <w:rFonts w:hint="eastAsia"/>
                <w:sz w:val="24"/>
                <w:vertAlign w:val="superscript"/>
              </w:rPr>
              <w:t>2</w:t>
            </w:r>
            <w:r>
              <w:rPr>
                <w:rFonts w:hint="eastAsia"/>
                <w:sz w:val="24"/>
              </w:rPr>
              <w:t>以上时，场地内点到点的交通距离就可能较远，超出步行的适宜范围。因此，如场地内交通量达到一定规模时，建议建设内部公共交通系统，并优先选择使用清洁能源的交通工具，以达到场地内绿色出行的目的。</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.2 </w:t>
      </w:r>
      <w:r>
        <w:rPr>
          <w:rFonts w:hint="eastAsia" w:asciiTheme="minorEastAsia" w:hAnsiTheme="minorEastAsia" w:eastAsiaTheme="minorEastAsia"/>
          <w:sz w:val="24"/>
        </w:rPr>
        <w:t>场地停车设计</w:t>
      </w:r>
      <w:r>
        <w:rPr>
          <w:rFonts w:hint="eastAsia" w:asciiTheme="minorEastAsia" w:hAnsiTheme="minorEastAsia" w:eastAsiaTheme="minorEastAsia"/>
          <w:sz w:val="24"/>
          <w:lang w:val="en-GB"/>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.2.1 </w:t>
      </w:r>
      <w:r>
        <w:rPr>
          <w:rFonts w:hint="eastAsia" w:asciiTheme="minorEastAsia" w:hAnsiTheme="minorEastAsia" w:eastAsiaTheme="minorEastAsia"/>
          <w:sz w:val="24"/>
        </w:rPr>
        <w:t>机动车停车方式；</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2.2 </w:t>
      </w:r>
      <w:r>
        <w:rPr>
          <w:rFonts w:hint="eastAsia" w:asciiTheme="minorEastAsia" w:hAnsiTheme="minorEastAsia" w:eastAsiaTheme="minorEastAsia"/>
          <w:sz w:val="24"/>
        </w:rPr>
        <w:t>公共建筑地面停车占地面积与其总建设用地面积的比率是否小于8％；</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.2.3 </w:t>
      </w:r>
      <w:r>
        <w:rPr>
          <w:rFonts w:hint="eastAsia" w:asciiTheme="minorEastAsia" w:hAnsiTheme="minorEastAsia" w:eastAsiaTheme="minorEastAsia"/>
          <w:sz w:val="24"/>
        </w:rPr>
        <w:t>机动车停车场库设置具有电动汽车充电设施或具备充电设施的安装条件的电动汽车停车位；</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.2.4 </w:t>
      </w:r>
      <w:r>
        <w:rPr>
          <w:rFonts w:hint="eastAsia" w:asciiTheme="minorEastAsia" w:hAnsiTheme="minorEastAsia" w:eastAsiaTheme="minorEastAsia"/>
          <w:sz w:val="24"/>
        </w:rPr>
        <w:t>采用错时停车方式向社会开放，提高停车场（库）使用效率；</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2551"/>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restart"/>
          </w:tcPr>
          <w:p>
            <w:pPr>
              <w:pStyle w:val="84"/>
              <w:spacing w:line="360" w:lineRule="auto"/>
              <w:rPr>
                <w:sz w:val="24"/>
              </w:rPr>
            </w:pPr>
            <w:r>
              <w:rPr>
                <w:rFonts w:hint="eastAsia"/>
                <w:sz w:val="24"/>
              </w:rPr>
              <w:t>条文来源</w:t>
            </w:r>
          </w:p>
        </w:tc>
        <w:tc>
          <w:tcPr>
            <w:tcW w:w="2022" w:type="dxa"/>
            <w:vMerge w:val="restart"/>
          </w:tcPr>
          <w:p>
            <w:pPr>
              <w:pStyle w:val="84"/>
              <w:spacing w:line="360" w:lineRule="auto"/>
              <w:rPr>
                <w:sz w:val="24"/>
              </w:rPr>
            </w:pPr>
            <w:r>
              <w:rPr>
                <w:rFonts w:hint="eastAsia"/>
                <w:sz w:val="24"/>
              </w:rPr>
              <w:t>GB/T 50378-201</w:t>
            </w:r>
            <w:r>
              <w:rPr>
                <w:sz w:val="24"/>
              </w:rPr>
              <w:t>9</w:t>
            </w:r>
          </w:p>
        </w:tc>
        <w:tc>
          <w:tcPr>
            <w:tcW w:w="2551" w:type="dxa"/>
          </w:tcPr>
          <w:p>
            <w:pPr>
              <w:pStyle w:val="84"/>
              <w:spacing w:line="360" w:lineRule="auto"/>
              <w:rPr>
                <w:sz w:val="24"/>
              </w:rPr>
            </w:pPr>
            <w:r>
              <w:rPr>
                <w:rFonts w:hint="eastAsia"/>
                <w:sz w:val="24"/>
              </w:rPr>
              <w:t>6</w:t>
            </w:r>
            <w:r>
              <w:rPr>
                <w:sz w:val="24"/>
              </w:rPr>
              <w:t>.1.3</w:t>
            </w:r>
            <w:r>
              <w:rPr>
                <w:rFonts w:hint="eastAsia"/>
                <w:sz w:val="24"/>
              </w:rPr>
              <w:t>条</w:t>
            </w:r>
          </w:p>
        </w:tc>
        <w:tc>
          <w:tcPr>
            <w:tcW w:w="3544"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551" w:type="dxa"/>
          </w:tcPr>
          <w:p>
            <w:pPr>
              <w:pStyle w:val="84"/>
              <w:spacing w:line="360" w:lineRule="auto"/>
              <w:rPr>
                <w:sz w:val="24"/>
              </w:rPr>
            </w:pPr>
            <w:r>
              <w:rPr>
                <w:rFonts w:hint="eastAsia"/>
                <w:sz w:val="24"/>
              </w:rPr>
              <w:t>6</w:t>
            </w:r>
            <w:r>
              <w:rPr>
                <w:sz w:val="24"/>
              </w:rPr>
              <w:t>.2.3</w:t>
            </w:r>
            <w:r>
              <w:rPr>
                <w:rFonts w:hint="eastAsia"/>
                <w:sz w:val="24"/>
              </w:rPr>
              <w:t>条-</w:t>
            </w:r>
            <w:r>
              <w:rPr>
                <w:sz w:val="24"/>
              </w:rPr>
              <w:t>2</w:t>
            </w:r>
            <w:r>
              <w:rPr>
                <w:rFonts w:hint="eastAsia"/>
                <w:sz w:val="24"/>
              </w:rPr>
              <w:t>-</w:t>
            </w:r>
            <w:r>
              <w:rPr>
                <w:sz w:val="24"/>
              </w:rPr>
              <w:t>3</w:t>
            </w:r>
          </w:p>
        </w:tc>
        <w:tc>
          <w:tcPr>
            <w:tcW w:w="3544" w:type="dxa"/>
          </w:tcPr>
          <w:p>
            <w:pPr>
              <w:pStyle w:val="84"/>
              <w:spacing w:line="360" w:lineRule="auto"/>
              <w:rPr>
                <w:sz w:val="24"/>
              </w:rPr>
            </w:pPr>
            <w:r>
              <w:rPr>
                <w:rFonts w:hint="eastAsia"/>
                <w:sz w:val="24"/>
              </w:rPr>
              <w:t>满足要求中的3项，</w:t>
            </w:r>
            <w:r>
              <w:rPr>
                <w:sz w:val="24"/>
              </w:rPr>
              <w:t>5</w:t>
            </w:r>
            <w:r>
              <w:rPr>
                <w:rFonts w:hint="eastAsia"/>
                <w:sz w:val="24"/>
              </w:rPr>
              <w:t>分；</w:t>
            </w:r>
          </w:p>
          <w:p>
            <w:pPr>
              <w:pStyle w:val="84"/>
              <w:spacing w:line="360" w:lineRule="auto"/>
              <w:rPr>
                <w:sz w:val="24"/>
              </w:rPr>
            </w:pPr>
            <w:r>
              <w:rPr>
                <w:rFonts w:hint="eastAsia"/>
                <w:sz w:val="24"/>
              </w:rPr>
              <w:t>满足要求中的</w:t>
            </w:r>
            <w:r>
              <w:rPr>
                <w:sz w:val="24"/>
              </w:rPr>
              <w:t>5</w:t>
            </w:r>
            <w:r>
              <w:rPr>
                <w:rFonts w:hint="eastAsia"/>
                <w:sz w:val="24"/>
              </w:rPr>
              <w:t>项，</w:t>
            </w:r>
            <w:r>
              <w:rPr>
                <w:sz w:val="24"/>
              </w:rPr>
              <w:t>10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551" w:type="dxa"/>
          </w:tcPr>
          <w:p>
            <w:pPr>
              <w:pStyle w:val="84"/>
              <w:spacing w:line="360" w:lineRule="auto"/>
              <w:rPr>
                <w:sz w:val="24"/>
              </w:rPr>
            </w:pPr>
            <w:r>
              <w:rPr>
                <w:sz w:val="24"/>
              </w:rPr>
              <w:t>7.2.3</w:t>
            </w:r>
            <w:r>
              <w:rPr>
                <w:rFonts w:hint="eastAsia"/>
                <w:sz w:val="24"/>
              </w:rPr>
              <w:t>条</w:t>
            </w:r>
          </w:p>
        </w:tc>
        <w:tc>
          <w:tcPr>
            <w:tcW w:w="3544" w:type="dxa"/>
          </w:tcPr>
          <w:p>
            <w:pPr>
              <w:pStyle w:val="84"/>
              <w:spacing w:line="360" w:lineRule="auto"/>
              <w:rPr>
                <w:sz w:val="24"/>
              </w:rPr>
            </w:pPr>
            <w:r>
              <w:rPr>
                <w:sz w:val="24"/>
              </w:rPr>
              <w:t>8</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restart"/>
          </w:tcPr>
          <w:p>
            <w:pPr>
              <w:pStyle w:val="84"/>
              <w:spacing w:line="360" w:lineRule="auto"/>
              <w:rPr>
                <w:sz w:val="24"/>
              </w:rPr>
            </w:pPr>
            <w:r>
              <w:rPr>
                <w:rFonts w:hint="eastAsia"/>
                <w:sz w:val="24"/>
              </w:rPr>
              <w:t>DB33/1092-20</w:t>
            </w:r>
            <w:r>
              <w:rPr>
                <w:sz w:val="24"/>
              </w:rPr>
              <w:t>21</w:t>
            </w:r>
          </w:p>
        </w:tc>
        <w:tc>
          <w:tcPr>
            <w:tcW w:w="2551" w:type="dxa"/>
          </w:tcPr>
          <w:p>
            <w:pPr>
              <w:pStyle w:val="84"/>
              <w:spacing w:line="360" w:lineRule="auto"/>
              <w:rPr>
                <w:sz w:val="24"/>
              </w:rPr>
            </w:pPr>
            <w:r>
              <w:rPr>
                <w:sz w:val="24"/>
              </w:rPr>
              <w:t>4.</w:t>
            </w:r>
            <w:r>
              <w:rPr>
                <w:rFonts w:hint="eastAsia"/>
                <w:sz w:val="24"/>
              </w:rPr>
              <w:t>2.1</w:t>
            </w:r>
            <w:r>
              <w:rPr>
                <w:sz w:val="24"/>
              </w:rPr>
              <w:t>1</w:t>
            </w:r>
            <w:r>
              <w:rPr>
                <w:rFonts w:hint="eastAsia"/>
                <w:sz w:val="24"/>
              </w:rPr>
              <w:t>条-</w:t>
            </w:r>
            <w:r>
              <w:rPr>
                <w:sz w:val="24"/>
              </w:rPr>
              <w:t>1</w:t>
            </w:r>
            <w:r>
              <w:rPr>
                <w:rFonts w:hint="eastAsia"/>
                <w:sz w:val="24"/>
              </w:rPr>
              <w:t>-</w:t>
            </w:r>
            <w:r>
              <w:rPr>
                <w:sz w:val="24"/>
              </w:rPr>
              <w:t>2</w:t>
            </w:r>
          </w:p>
        </w:tc>
        <w:tc>
          <w:tcPr>
            <w:tcW w:w="3544"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2551" w:type="dxa"/>
          </w:tcPr>
          <w:p>
            <w:pPr>
              <w:pStyle w:val="84"/>
              <w:spacing w:line="360" w:lineRule="auto"/>
              <w:rPr>
                <w:sz w:val="24"/>
              </w:rPr>
            </w:pPr>
            <w:r>
              <w:rPr>
                <w:sz w:val="24"/>
              </w:rPr>
              <w:t>4.4</w:t>
            </w:r>
            <w:r>
              <w:rPr>
                <w:rFonts w:hint="eastAsia"/>
                <w:sz w:val="24"/>
              </w:rPr>
              <w:t>.5条</w:t>
            </w:r>
          </w:p>
        </w:tc>
        <w:tc>
          <w:tcPr>
            <w:tcW w:w="3544"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设计人员根据建筑总平面图（注明地面停车场位置），停车场（库）施工图，错时停车管理制度文件、地面交通流线分析图等，依据项目实际情况，填写此项。</w:t>
            </w:r>
          </w:p>
          <w:p>
            <w:pPr>
              <w:pStyle w:val="84"/>
              <w:spacing w:line="360" w:lineRule="auto"/>
              <w:ind w:firstLine="480" w:firstLineChars="200"/>
              <w:jc w:val="left"/>
              <w:rPr>
                <w:sz w:val="24"/>
              </w:rPr>
            </w:pPr>
            <w:r>
              <w:rPr>
                <w:rFonts w:hint="eastAsia"/>
                <w:sz w:val="24"/>
              </w:rPr>
              <w:t>另外，值得注意的是，机动车停车的数量和位置应满足规划条件的要求。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机动车停车应符合所在地控制性详细规划要求，地面停车位应按照国家和地方有关标准适度设置，并科学管理、合理组织交通流线，不应对人行、活动场所产生干扰。</w:t>
            </w:r>
          </w:p>
          <w:p>
            <w:pPr>
              <w:pStyle w:val="84"/>
              <w:spacing w:line="360" w:lineRule="auto"/>
              <w:ind w:firstLine="480" w:firstLineChars="200"/>
              <w:jc w:val="left"/>
              <w:rPr>
                <w:sz w:val="24"/>
              </w:rPr>
            </w:pPr>
            <w:r>
              <w:rPr>
                <w:rFonts w:hint="eastAsia"/>
                <w:sz w:val="24"/>
              </w:rPr>
              <w:t>电动汽车充电桩的车位数占总车位数的比例不低于10％，是适应电动汽车发展的必要措施。</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 xml:space="preserve">.2.5 </w:t>
      </w:r>
      <w:r>
        <w:rPr>
          <w:rFonts w:hint="eastAsia" w:asciiTheme="minorEastAsia" w:hAnsiTheme="minorEastAsia" w:eastAsiaTheme="minorEastAsia"/>
          <w:sz w:val="24"/>
        </w:rPr>
        <w:t>自行车停车场所应位置合理、方便出入。</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7"/>
        <w:gridCol w:w="4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667" w:type="dxa"/>
          </w:tcPr>
          <w:p>
            <w:pPr>
              <w:pStyle w:val="84"/>
              <w:spacing w:line="360" w:lineRule="auto"/>
              <w:rPr>
                <w:sz w:val="24"/>
              </w:rPr>
            </w:pPr>
            <w:r>
              <w:rPr>
                <w:rFonts w:hint="eastAsia"/>
                <w:sz w:val="24"/>
              </w:rPr>
              <w:t>6.1.</w:t>
            </w:r>
            <w:r>
              <w:rPr>
                <w:sz w:val="24"/>
              </w:rPr>
              <w:t>4</w:t>
            </w:r>
            <w:r>
              <w:rPr>
                <w:rFonts w:hint="eastAsia"/>
                <w:sz w:val="24"/>
              </w:rPr>
              <w:t>条</w:t>
            </w:r>
          </w:p>
        </w:tc>
        <w:tc>
          <w:tcPr>
            <w:tcW w:w="4428"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tcPr>
          <w:p>
            <w:pPr>
              <w:pStyle w:val="84"/>
              <w:spacing w:line="360" w:lineRule="auto"/>
              <w:rPr>
                <w:sz w:val="24"/>
              </w:rPr>
            </w:pPr>
            <w:r>
              <w:rPr>
                <w:rFonts w:hint="eastAsia"/>
                <w:sz w:val="24"/>
              </w:rPr>
              <w:t>DB33/1092-20</w:t>
            </w:r>
            <w:r>
              <w:rPr>
                <w:sz w:val="24"/>
              </w:rPr>
              <w:t>21</w:t>
            </w:r>
          </w:p>
        </w:tc>
        <w:tc>
          <w:tcPr>
            <w:tcW w:w="1667" w:type="dxa"/>
          </w:tcPr>
          <w:p>
            <w:pPr>
              <w:pStyle w:val="84"/>
              <w:spacing w:line="360" w:lineRule="auto"/>
              <w:rPr>
                <w:sz w:val="24"/>
              </w:rPr>
            </w:pPr>
            <w:r>
              <w:rPr>
                <w:sz w:val="24"/>
              </w:rPr>
              <w:t>4.</w:t>
            </w:r>
            <w:r>
              <w:rPr>
                <w:rFonts w:hint="eastAsia"/>
                <w:sz w:val="24"/>
              </w:rPr>
              <w:t>2.1</w:t>
            </w:r>
            <w:r>
              <w:rPr>
                <w:sz w:val="24"/>
              </w:rPr>
              <w:t>1</w:t>
            </w:r>
            <w:r>
              <w:rPr>
                <w:rFonts w:hint="eastAsia"/>
                <w:sz w:val="24"/>
              </w:rPr>
              <w:t>条-</w:t>
            </w:r>
            <w:r>
              <w:rPr>
                <w:sz w:val="24"/>
              </w:rPr>
              <w:t>3</w:t>
            </w:r>
          </w:p>
        </w:tc>
        <w:tc>
          <w:tcPr>
            <w:tcW w:w="4428"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rPr>
              <w:t>设计人员依据项目实施的建筑总平面图（注明自行车库/棚位置、地面停车场位置）及相关指标数据、自行车库/棚及附属设施的施工图，根据项目实际，填写此项内容。</w:t>
            </w:r>
          </w:p>
          <w:p>
            <w:pPr>
              <w:pStyle w:val="84"/>
              <w:spacing w:line="360" w:lineRule="auto"/>
              <w:ind w:firstLine="480" w:firstLineChars="200"/>
              <w:jc w:val="left"/>
              <w:rPr>
                <w:sz w:val="24"/>
              </w:rPr>
            </w:pPr>
            <w:r>
              <w:rPr>
                <w:rFonts w:hint="eastAsia"/>
                <w:sz w:val="24"/>
              </w:rPr>
              <w:t>另外，值得注意的是，设置有自行车库（棚）的自行车数量当满足或高于规划条件中的配建要求时，才可填“是”。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jc w:val="left"/>
              <w:rPr>
                <w:sz w:val="24"/>
              </w:rPr>
            </w:pPr>
            <w:r>
              <w:rPr>
                <w:rFonts w:hint="eastAsia"/>
                <w:sz w:val="24"/>
              </w:rPr>
              <w:t>如规划条件中未要求设置自行车库/棚，且没有设置自行车停车库（棚）的，本条不得分。但对于不适宜使用自行车作为交通工具的情况（例如山地城市），应供应专项说明材料；经论证，确不适宜使用自行车作为公交工具的，本款可不参评。</w:t>
            </w:r>
          </w:p>
          <w:p>
            <w:pPr>
              <w:pStyle w:val="84"/>
              <w:spacing w:line="360" w:lineRule="auto"/>
              <w:ind w:firstLine="480" w:firstLineChars="200"/>
              <w:jc w:val="left"/>
              <w:rPr>
                <w:sz w:val="24"/>
              </w:rPr>
            </w:pPr>
            <w:r>
              <w:rPr>
                <w:sz w:val="24"/>
              </w:rPr>
              <w:t>为使用自行车出行的人提供方便的停车场所，以此鼓励绿色出行。 自行车停车场所应规模适度、布局合理，符合使用者出行习惯。室外自行车停车场应与建筑物出入口有便捷的联系，室内自行车停车库应与楼梯、电梯等竖向交通有便捷的联系</w:t>
            </w:r>
            <w:r>
              <w:rPr>
                <w:rFonts w:hint="eastAsia"/>
                <w:sz w:val="24"/>
              </w:rPr>
              <w:t>。</w:t>
            </w:r>
          </w:p>
        </w:tc>
      </w:tr>
    </w:tbl>
    <w:p>
      <w:pPr>
        <w:spacing w:line="360" w:lineRule="auto"/>
        <w:ind w:firstLine="420"/>
        <w:rPr>
          <w:rFonts w:asciiTheme="minorEastAsia" w:hAnsiTheme="minorEastAsia" w:eastAsiaTheme="minorEastAsia"/>
          <w:sz w:val="24"/>
        </w:rPr>
      </w:pPr>
    </w:p>
    <w:p>
      <w:pPr>
        <w:pStyle w:val="271"/>
        <w:numPr>
          <w:ilvl w:val="0"/>
          <w:numId w:val="60"/>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b/>
          <w:sz w:val="24"/>
        </w:rPr>
        <w:t>无障碍与安全：</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.1 </w:t>
      </w:r>
      <w:r>
        <w:rPr>
          <w:rFonts w:hint="eastAsia" w:asciiTheme="minorEastAsia" w:hAnsiTheme="minorEastAsia" w:eastAsiaTheme="minorEastAsia"/>
          <w:sz w:val="24"/>
        </w:rPr>
        <w:t>场地内的建筑、室外场地、公共绿地、城市道路相互之间设置连贯的无障碍步行系统；</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.2 </w:t>
      </w:r>
      <w:r>
        <w:rPr>
          <w:rFonts w:hint="eastAsia" w:asciiTheme="minorEastAsia" w:hAnsiTheme="minorEastAsia" w:eastAsiaTheme="minorEastAsia"/>
          <w:sz w:val="24"/>
        </w:rPr>
        <w:t>场地内人行通道采用无障碍设计；</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.3 </w:t>
      </w:r>
      <w:r>
        <w:rPr>
          <w:rFonts w:hint="eastAsia" w:asciiTheme="minorEastAsia" w:hAnsiTheme="minorEastAsia" w:eastAsiaTheme="minorEastAsia"/>
          <w:sz w:val="24"/>
        </w:rPr>
        <w:t>机动车停车场库设置无障碍汽车停车位；</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024"/>
        <w:gridCol w:w="1667"/>
        <w:gridCol w:w="4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pStyle w:val="84"/>
              <w:spacing w:line="360" w:lineRule="auto"/>
              <w:rPr>
                <w:sz w:val="24"/>
              </w:rPr>
            </w:pPr>
            <w:r>
              <w:rPr>
                <w:rFonts w:hint="eastAsia"/>
                <w:sz w:val="24"/>
              </w:rPr>
              <w:t>条文来源</w:t>
            </w:r>
          </w:p>
        </w:tc>
        <w:tc>
          <w:tcPr>
            <w:tcW w:w="2024" w:type="dxa"/>
            <w:vMerge w:val="restart"/>
          </w:tcPr>
          <w:p>
            <w:pPr>
              <w:pStyle w:val="84"/>
              <w:spacing w:line="360" w:lineRule="auto"/>
              <w:rPr>
                <w:sz w:val="24"/>
              </w:rPr>
            </w:pPr>
            <w:r>
              <w:rPr>
                <w:rFonts w:hint="eastAsia"/>
                <w:sz w:val="24"/>
              </w:rPr>
              <w:t>GB/T 50378-201</w:t>
            </w:r>
            <w:r>
              <w:rPr>
                <w:sz w:val="24"/>
              </w:rPr>
              <w:t>9</w:t>
            </w:r>
          </w:p>
        </w:tc>
        <w:tc>
          <w:tcPr>
            <w:tcW w:w="1667" w:type="dxa"/>
          </w:tcPr>
          <w:p>
            <w:pPr>
              <w:pStyle w:val="84"/>
              <w:spacing w:line="360" w:lineRule="auto"/>
              <w:rPr>
                <w:sz w:val="24"/>
              </w:rPr>
            </w:pPr>
            <w:r>
              <w:rPr>
                <w:rFonts w:hint="eastAsia"/>
                <w:sz w:val="24"/>
              </w:rPr>
              <w:t>6</w:t>
            </w:r>
            <w:r>
              <w:rPr>
                <w:sz w:val="24"/>
              </w:rPr>
              <w:t>.1.1</w:t>
            </w:r>
            <w:r>
              <w:rPr>
                <w:rFonts w:hint="eastAsia"/>
                <w:sz w:val="24"/>
              </w:rPr>
              <w:t>条</w:t>
            </w:r>
          </w:p>
        </w:tc>
        <w:tc>
          <w:tcPr>
            <w:tcW w:w="4428"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7" w:type="dxa"/>
          </w:tcPr>
          <w:p>
            <w:pPr>
              <w:pStyle w:val="84"/>
              <w:spacing w:line="360" w:lineRule="auto"/>
              <w:rPr>
                <w:sz w:val="24"/>
              </w:rPr>
            </w:pPr>
            <w:r>
              <w:rPr>
                <w:rFonts w:hint="eastAsia"/>
                <w:sz w:val="24"/>
              </w:rPr>
              <w:t>6</w:t>
            </w:r>
            <w:r>
              <w:rPr>
                <w:sz w:val="24"/>
              </w:rPr>
              <w:t>.1.3</w:t>
            </w:r>
            <w:r>
              <w:rPr>
                <w:rFonts w:hint="eastAsia"/>
                <w:sz w:val="24"/>
              </w:rPr>
              <w:t>条</w:t>
            </w:r>
          </w:p>
        </w:tc>
        <w:tc>
          <w:tcPr>
            <w:tcW w:w="4428"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restart"/>
          </w:tcPr>
          <w:p>
            <w:pPr>
              <w:pStyle w:val="84"/>
              <w:spacing w:line="360" w:lineRule="auto"/>
              <w:rPr>
                <w:sz w:val="24"/>
              </w:rPr>
            </w:pPr>
            <w:r>
              <w:rPr>
                <w:rFonts w:hint="eastAsia"/>
                <w:sz w:val="24"/>
              </w:rPr>
              <w:t>DB33/1092-20</w:t>
            </w:r>
            <w:r>
              <w:rPr>
                <w:sz w:val="24"/>
              </w:rPr>
              <w:t>21</w:t>
            </w:r>
          </w:p>
        </w:tc>
        <w:tc>
          <w:tcPr>
            <w:tcW w:w="1667" w:type="dxa"/>
          </w:tcPr>
          <w:p>
            <w:pPr>
              <w:pStyle w:val="84"/>
              <w:spacing w:line="360" w:lineRule="auto"/>
              <w:rPr>
                <w:sz w:val="24"/>
              </w:rPr>
            </w:pPr>
            <w:r>
              <w:rPr>
                <w:rFonts w:hint="eastAsia"/>
                <w:sz w:val="24"/>
              </w:rPr>
              <w:t>4.2.1</w:t>
            </w:r>
            <w:r>
              <w:rPr>
                <w:sz w:val="24"/>
              </w:rPr>
              <w:t>0</w:t>
            </w:r>
            <w:r>
              <w:rPr>
                <w:rFonts w:hint="eastAsia"/>
                <w:sz w:val="24"/>
              </w:rPr>
              <w:t>条</w:t>
            </w:r>
          </w:p>
        </w:tc>
        <w:tc>
          <w:tcPr>
            <w:tcW w:w="4428"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7" w:type="dxa"/>
          </w:tcPr>
          <w:p>
            <w:pPr>
              <w:pStyle w:val="84"/>
              <w:spacing w:line="360" w:lineRule="auto"/>
              <w:rPr>
                <w:sz w:val="24"/>
              </w:rPr>
            </w:pPr>
            <w:r>
              <w:rPr>
                <w:sz w:val="24"/>
              </w:rPr>
              <w:t>4.2.11</w:t>
            </w:r>
            <w:r>
              <w:rPr>
                <w:rFonts w:hint="eastAsia"/>
                <w:sz w:val="24"/>
              </w:rPr>
              <w:t>条-</w:t>
            </w:r>
            <w:r>
              <w:rPr>
                <w:sz w:val="24"/>
              </w:rPr>
              <w:t>2</w:t>
            </w:r>
          </w:p>
        </w:tc>
        <w:tc>
          <w:tcPr>
            <w:tcW w:w="4428"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依据材料</w:t>
            </w:r>
          </w:p>
        </w:tc>
        <w:tc>
          <w:tcPr>
            <w:tcW w:w="8119" w:type="dxa"/>
            <w:gridSpan w:val="3"/>
          </w:tcPr>
          <w:p>
            <w:pPr>
              <w:pStyle w:val="84"/>
              <w:spacing w:line="360" w:lineRule="auto"/>
              <w:ind w:firstLine="480" w:firstLineChars="200"/>
              <w:jc w:val="left"/>
              <w:rPr>
                <w:sz w:val="24"/>
              </w:rPr>
            </w:pPr>
            <w:r>
              <w:rPr>
                <w:rFonts w:hint="eastAsia"/>
                <w:sz w:val="24"/>
              </w:rPr>
              <w:t>设计人员依据项目实施的建筑总平面图、总图的竖向及景观设计文件，根据项目实际情况，重点审查建筑的主要出入口是否满足无障碍要求，场地内的人行系统以及外部城市道路的连接是否满足无障碍要求后，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备注</w:t>
            </w:r>
          </w:p>
        </w:tc>
        <w:tc>
          <w:tcPr>
            <w:tcW w:w="8119" w:type="dxa"/>
            <w:gridSpan w:val="3"/>
          </w:tcPr>
          <w:p>
            <w:pPr>
              <w:pStyle w:val="84"/>
              <w:spacing w:line="360" w:lineRule="auto"/>
              <w:ind w:firstLine="480" w:firstLineChars="200"/>
              <w:jc w:val="left"/>
              <w:rPr>
                <w:sz w:val="24"/>
              </w:rPr>
            </w:pPr>
            <w:r>
              <w:rPr>
                <w:rFonts w:hint="eastAsia"/>
                <w:sz w:val="24"/>
              </w:rPr>
              <w:t>如果建筑场地外已有无障碍人行通道,场地内的无障碍通道人行通道必须与之联系。</w:t>
            </w:r>
          </w:p>
          <w:p>
            <w:pPr>
              <w:pStyle w:val="84"/>
              <w:spacing w:line="360" w:lineRule="auto"/>
              <w:ind w:firstLine="480" w:firstLineChars="200"/>
              <w:jc w:val="left"/>
              <w:rPr>
                <w:sz w:val="24"/>
              </w:rPr>
            </w:pPr>
            <w:r>
              <w:rPr>
                <w:rFonts w:hint="eastAsia"/>
                <w:sz w:val="24"/>
              </w:rPr>
              <w:t>场地内人行通道及场地内外联系的元障碍设计是绿色出行的重要组成部分，是保障各类人群方便、安全出行的基本设施。</w:t>
            </w:r>
          </w:p>
          <w:p>
            <w:pPr>
              <w:pStyle w:val="84"/>
              <w:spacing w:line="360" w:lineRule="auto"/>
              <w:ind w:firstLine="480" w:firstLineChars="200"/>
              <w:jc w:val="left"/>
              <w:rPr>
                <w:sz w:val="24"/>
              </w:rPr>
            </w:pPr>
            <w:r>
              <w:rPr>
                <w:rFonts w:hint="eastAsia"/>
                <w:sz w:val="24"/>
              </w:rPr>
              <w:t>根据现行国家标准《无障碍设计规范》GB 50763对不同场所无障碍停车的要求，对于公共建筑，建筑基地内总停车数在100辆以下时应设置不少于1个无障碍机动车停车位，100辆以上时应设置不少于总停车数1％的无障碍机动车停车位。本条要求停车场应合理设置电动洗车和无障碍汽车停车位。</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.4 </w:t>
      </w:r>
      <w:r>
        <w:rPr>
          <w:rFonts w:hint="eastAsia" w:asciiTheme="minorEastAsia" w:hAnsiTheme="minorEastAsia" w:eastAsiaTheme="minorEastAsia"/>
          <w:sz w:val="24"/>
        </w:rPr>
        <w:t>室外活动场所、坡道、路面应采用防滑地面，防滑等级达到现行行业标准《建筑地面工程防滑技术规程》JGJ/T 331 规定的Aw级；</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.5 </w:t>
      </w:r>
      <w:r>
        <w:rPr>
          <w:rFonts w:hint="eastAsia" w:asciiTheme="minorEastAsia" w:hAnsiTheme="minorEastAsia" w:eastAsiaTheme="minorEastAsia"/>
          <w:sz w:val="24"/>
        </w:rPr>
        <w:t>总平面设计利用场地或景观形成可降低坠物风险的缓冲区、隔离带；</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449"/>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pStyle w:val="84"/>
              <w:spacing w:line="360" w:lineRule="auto"/>
              <w:rPr>
                <w:sz w:val="24"/>
              </w:rPr>
            </w:pPr>
            <w:r>
              <w:rPr>
                <w:rFonts w:hint="eastAsia"/>
                <w:sz w:val="24"/>
              </w:rPr>
              <w:t>条文来源</w:t>
            </w:r>
          </w:p>
        </w:tc>
        <w:tc>
          <w:tcPr>
            <w:tcW w:w="2449" w:type="dxa"/>
            <w:vMerge w:val="restart"/>
          </w:tcPr>
          <w:p>
            <w:pPr>
              <w:pStyle w:val="84"/>
              <w:spacing w:line="360" w:lineRule="auto"/>
              <w:rPr>
                <w:sz w:val="24"/>
              </w:rPr>
            </w:pPr>
            <w:r>
              <w:rPr>
                <w:rFonts w:hint="eastAsia"/>
                <w:sz w:val="24"/>
              </w:rPr>
              <w:t>GB/T 50378-201</w:t>
            </w:r>
            <w:r>
              <w:rPr>
                <w:sz w:val="24"/>
              </w:rPr>
              <w:t>9</w:t>
            </w:r>
          </w:p>
        </w:tc>
        <w:tc>
          <w:tcPr>
            <w:tcW w:w="1843" w:type="dxa"/>
          </w:tcPr>
          <w:p>
            <w:pPr>
              <w:pStyle w:val="84"/>
              <w:spacing w:line="360" w:lineRule="auto"/>
              <w:rPr>
                <w:sz w:val="24"/>
              </w:rPr>
            </w:pPr>
            <w:r>
              <w:rPr>
                <w:rFonts w:hint="eastAsia"/>
                <w:sz w:val="24"/>
              </w:rPr>
              <w:t>4</w:t>
            </w:r>
            <w:r>
              <w:rPr>
                <w:sz w:val="24"/>
              </w:rPr>
              <w:t>.2.2</w:t>
            </w:r>
            <w:r>
              <w:rPr>
                <w:rFonts w:hint="eastAsia"/>
                <w:sz w:val="24"/>
              </w:rPr>
              <w:t>条</w:t>
            </w:r>
          </w:p>
        </w:tc>
        <w:tc>
          <w:tcPr>
            <w:tcW w:w="3827" w:type="dxa"/>
          </w:tcPr>
          <w:p>
            <w:pPr>
              <w:pStyle w:val="84"/>
              <w:spacing w:line="360" w:lineRule="auto"/>
              <w:rPr>
                <w:sz w:val="24"/>
              </w:rPr>
            </w:pPr>
            <w:r>
              <w:rPr>
                <w:rFonts w:hint="eastAsia"/>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449" w:type="dxa"/>
            <w:vMerge w:val="continue"/>
          </w:tcPr>
          <w:p>
            <w:pPr>
              <w:pStyle w:val="84"/>
              <w:spacing w:line="360" w:lineRule="auto"/>
              <w:rPr>
                <w:sz w:val="24"/>
              </w:rPr>
            </w:pPr>
          </w:p>
        </w:tc>
        <w:tc>
          <w:tcPr>
            <w:tcW w:w="1843" w:type="dxa"/>
          </w:tcPr>
          <w:p>
            <w:pPr>
              <w:pStyle w:val="84"/>
              <w:spacing w:line="360" w:lineRule="auto"/>
              <w:rPr>
                <w:sz w:val="24"/>
              </w:rPr>
            </w:pPr>
            <w:r>
              <w:rPr>
                <w:rFonts w:hint="eastAsia"/>
                <w:sz w:val="24"/>
              </w:rPr>
              <w:t>4</w:t>
            </w:r>
            <w:r>
              <w:rPr>
                <w:sz w:val="24"/>
              </w:rPr>
              <w:t>.2.4</w:t>
            </w:r>
            <w:r>
              <w:rPr>
                <w:rFonts w:hint="eastAsia"/>
                <w:sz w:val="24"/>
              </w:rPr>
              <w:t>条</w:t>
            </w:r>
          </w:p>
        </w:tc>
        <w:tc>
          <w:tcPr>
            <w:tcW w:w="3827" w:type="dxa"/>
          </w:tcPr>
          <w:p>
            <w:pPr>
              <w:pStyle w:val="84"/>
              <w:spacing w:line="360" w:lineRule="auto"/>
              <w:rPr>
                <w:sz w:val="24"/>
              </w:rPr>
            </w:pPr>
            <w:r>
              <w:rPr>
                <w:rFonts w:hint="eastAsia"/>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449" w:type="dxa"/>
            <w:vMerge w:val="restart"/>
          </w:tcPr>
          <w:p>
            <w:pPr>
              <w:pStyle w:val="84"/>
              <w:spacing w:line="360" w:lineRule="auto"/>
              <w:rPr>
                <w:sz w:val="24"/>
              </w:rPr>
            </w:pPr>
            <w:r>
              <w:rPr>
                <w:rFonts w:hint="eastAsia"/>
                <w:sz w:val="24"/>
              </w:rPr>
              <w:t>DB33/1092-20</w:t>
            </w:r>
            <w:r>
              <w:rPr>
                <w:sz w:val="24"/>
              </w:rPr>
              <w:t>21</w:t>
            </w:r>
          </w:p>
        </w:tc>
        <w:tc>
          <w:tcPr>
            <w:tcW w:w="1843" w:type="dxa"/>
          </w:tcPr>
          <w:p>
            <w:pPr>
              <w:pStyle w:val="84"/>
              <w:spacing w:line="360" w:lineRule="auto"/>
              <w:rPr>
                <w:sz w:val="24"/>
              </w:rPr>
            </w:pPr>
            <w:r>
              <w:rPr>
                <w:rFonts w:hint="eastAsia"/>
                <w:sz w:val="24"/>
              </w:rPr>
              <w:t>4.2.1</w:t>
            </w:r>
            <w:r>
              <w:rPr>
                <w:sz w:val="24"/>
              </w:rPr>
              <w:t>3</w:t>
            </w:r>
            <w:r>
              <w:rPr>
                <w:rFonts w:hint="eastAsia"/>
                <w:sz w:val="24"/>
              </w:rPr>
              <w:t>条-</w:t>
            </w:r>
            <w:r>
              <w:rPr>
                <w:sz w:val="24"/>
              </w:rPr>
              <w:t>3</w:t>
            </w:r>
          </w:p>
        </w:tc>
        <w:tc>
          <w:tcPr>
            <w:tcW w:w="3827"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449" w:type="dxa"/>
            <w:vMerge w:val="continue"/>
          </w:tcPr>
          <w:p>
            <w:pPr>
              <w:pStyle w:val="84"/>
              <w:spacing w:line="360" w:lineRule="auto"/>
              <w:rPr>
                <w:sz w:val="24"/>
              </w:rPr>
            </w:pPr>
          </w:p>
        </w:tc>
        <w:tc>
          <w:tcPr>
            <w:tcW w:w="1843" w:type="dxa"/>
          </w:tcPr>
          <w:p>
            <w:pPr>
              <w:pStyle w:val="84"/>
              <w:spacing w:line="360" w:lineRule="auto"/>
              <w:rPr>
                <w:sz w:val="24"/>
              </w:rPr>
            </w:pPr>
            <w:r>
              <w:rPr>
                <w:rFonts w:hint="eastAsia"/>
                <w:sz w:val="24"/>
              </w:rPr>
              <w:t>4</w:t>
            </w:r>
            <w:r>
              <w:rPr>
                <w:sz w:val="24"/>
              </w:rPr>
              <w:t>.3.6</w:t>
            </w:r>
            <w:r>
              <w:rPr>
                <w:rFonts w:hint="eastAsia"/>
                <w:sz w:val="24"/>
              </w:rPr>
              <w:t>条</w:t>
            </w:r>
          </w:p>
        </w:tc>
        <w:tc>
          <w:tcPr>
            <w:tcW w:w="3827"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449" w:type="dxa"/>
            <w:vMerge w:val="continue"/>
          </w:tcPr>
          <w:p>
            <w:pPr>
              <w:pStyle w:val="84"/>
              <w:spacing w:line="360" w:lineRule="auto"/>
              <w:rPr>
                <w:sz w:val="24"/>
              </w:rPr>
            </w:pPr>
          </w:p>
        </w:tc>
        <w:tc>
          <w:tcPr>
            <w:tcW w:w="1843" w:type="dxa"/>
          </w:tcPr>
          <w:p>
            <w:pPr>
              <w:pStyle w:val="84"/>
              <w:spacing w:line="360" w:lineRule="auto"/>
              <w:rPr>
                <w:sz w:val="24"/>
              </w:rPr>
            </w:pPr>
            <w:r>
              <w:rPr>
                <w:sz w:val="24"/>
              </w:rPr>
              <w:t>10.1.7</w:t>
            </w:r>
            <w:r>
              <w:rPr>
                <w:rFonts w:hint="eastAsia"/>
                <w:sz w:val="24"/>
              </w:rPr>
              <w:t>条</w:t>
            </w:r>
          </w:p>
        </w:tc>
        <w:tc>
          <w:tcPr>
            <w:tcW w:w="3827"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依据材料</w:t>
            </w:r>
          </w:p>
        </w:tc>
        <w:tc>
          <w:tcPr>
            <w:tcW w:w="8119" w:type="dxa"/>
            <w:gridSpan w:val="3"/>
          </w:tcPr>
          <w:p>
            <w:pPr>
              <w:pStyle w:val="84"/>
              <w:spacing w:line="360" w:lineRule="auto"/>
              <w:ind w:firstLine="480" w:firstLineChars="200"/>
              <w:jc w:val="left"/>
              <w:rPr>
                <w:sz w:val="24"/>
              </w:rPr>
            </w:pPr>
            <w:r>
              <w:rPr>
                <w:rFonts w:hint="eastAsia"/>
                <w:sz w:val="24"/>
              </w:rPr>
              <w:t>设计人员依据项目实施的建筑总平面图、总图的竖向及景观设计文件，根据项目实际情况，填写此项内容。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备注</w:t>
            </w:r>
          </w:p>
        </w:tc>
        <w:tc>
          <w:tcPr>
            <w:tcW w:w="8119" w:type="dxa"/>
            <w:gridSpan w:val="3"/>
          </w:tcPr>
          <w:p>
            <w:pPr>
              <w:pStyle w:val="84"/>
              <w:spacing w:line="360" w:lineRule="auto"/>
              <w:ind w:firstLine="480" w:firstLineChars="200"/>
              <w:jc w:val="left"/>
              <w:rPr>
                <w:sz w:val="24"/>
              </w:rPr>
            </w:pPr>
            <w:r>
              <w:rPr>
                <w:rFonts w:hint="eastAsia"/>
                <w:sz w:val="24"/>
              </w:rPr>
              <w:t>阳台、外窗、窗台、防护栏杆等强化防坠设计有利于降低坠物伤人风险，阳台外窗采用高窗设计、限制窗扇开启角度、窗台与绿化种植整合设计、适度减少防护栏杆垂直杆件水平净距、安装隐形防盗网等措施，防止物品坠落伤人。此外，外窗的安全防护可与纱窗等相结合，既可以防坠物伤人，还可以防蚊防盗。</w:t>
            </w:r>
          </w:p>
          <w:p>
            <w:pPr>
              <w:pStyle w:val="84"/>
              <w:spacing w:line="360" w:lineRule="auto"/>
              <w:ind w:firstLine="480" w:firstLineChars="200"/>
              <w:jc w:val="left"/>
              <w:rPr>
                <w:sz w:val="24"/>
              </w:rPr>
            </w:pPr>
            <w:r>
              <w:rPr>
                <w:rFonts w:hint="eastAsia"/>
                <w:sz w:val="24"/>
              </w:rPr>
              <w:t>建筑防滑地面工程对于保证人身安全至关重要。光亮、光滑的室内地面，因雨雪天气造成的室外湿滑地面和浴室、厕所等湿滑地面极易导致伤害事故。按现行行业标准《建筑地面工程防滑技术规程》JGJ/T 331的规定，Aw、Bw、Cw、Dw分别表示潮湿地面防滑安全程度为高级、中高级、中级、低级，Ad、Bd、Cd、Dd分别表示干态地面防滑安全程度为高级、中高级、中级、低级。</w:t>
            </w:r>
          </w:p>
        </w:tc>
      </w:tr>
    </w:tbl>
    <w:p>
      <w:pPr>
        <w:spacing w:line="360" w:lineRule="auto"/>
        <w:ind w:firstLine="420"/>
        <w:rPr>
          <w:rFonts w:asciiTheme="minorEastAsia" w:hAnsiTheme="minorEastAsia" w:eastAsiaTheme="minorEastAsia"/>
          <w:sz w:val="24"/>
          <w:lang w:eastAsia="zh-Hans"/>
        </w:rPr>
      </w:pPr>
      <w:r>
        <w:rPr>
          <w:rFonts w:hint="eastAsia" w:asciiTheme="minorEastAsia" w:hAnsiTheme="minorEastAsia" w:eastAsiaTheme="minorEastAsia"/>
          <w:sz w:val="24"/>
        </w:rPr>
        <w:t>6</w:t>
      </w:r>
      <w:r>
        <w:rPr>
          <w:rFonts w:asciiTheme="minorEastAsia" w:hAnsiTheme="minorEastAsia" w:eastAsiaTheme="minorEastAsia"/>
          <w:sz w:val="24"/>
        </w:rPr>
        <w:t xml:space="preserve">.6 </w:t>
      </w:r>
      <w:r>
        <w:rPr>
          <w:rFonts w:hint="eastAsia" w:asciiTheme="minorEastAsia" w:hAnsiTheme="minorEastAsia" w:eastAsiaTheme="minorEastAsia"/>
          <w:sz w:val="24"/>
        </w:rPr>
        <w:t>室外吸烟区设置</w:t>
      </w:r>
      <w:r>
        <w:rPr>
          <w:rFonts w:hint="eastAsia" w:asciiTheme="minorEastAsia" w:hAnsiTheme="minorEastAsia" w:eastAsiaTheme="minorEastAsia"/>
          <w:sz w:val="24"/>
          <w:lang w:eastAsia="zh-Hans"/>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.7 </w:t>
      </w:r>
      <w:r>
        <w:rPr>
          <w:rFonts w:hint="eastAsia" w:asciiTheme="minorEastAsia" w:hAnsiTheme="minorEastAsia" w:eastAsiaTheme="minorEastAsia"/>
          <w:sz w:val="24"/>
        </w:rPr>
        <w:t>场地内设计安全防护的警示和引导标识系统；</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 xml:space="preserve">.8 </w:t>
      </w:r>
      <w:r>
        <w:rPr>
          <w:rFonts w:hint="eastAsia" w:asciiTheme="minorEastAsia" w:hAnsiTheme="minorEastAsia" w:eastAsiaTheme="minorEastAsia"/>
          <w:sz w:val="24"/>
        </w:rPr>
        <w:t>场地内设置便于识别和使用的标识系统。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024"/>
        <w:gridCol w:w="2409"/>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pStyle w:val="84"/>
              <w:spacing w:line="360" w:lineRule="auto"/>
              <w:rPr>
                <w:sz w:val="24"/>
              </w:rPr>
            </w:pPr>
            <w:r>
              <w:rPr>
                <w:rFonts w:hint="eastAsia"/>
                <w:sz w:val="24"/>
              </w:rPr>
              <w:t>条文来源</w:t>
            </w:r>
          </w:p>
        </w:tc>
        <w:tc>
          <w:tcPr>
            <w:tcW w:w="2024" w:type="dxa"/>
            <w:vMerge w:val="restart"/>
          </w:tcPr>
          <w:p>
            <w:pPr>
              <w:pStyle w:val="84"/>
              <w:spacing w:line="360" w:lineRule="auto"/>
              <w:rPr>
                <w:sz w:val="24"/>
              </w:rPr>
            </w:pPr>
            <w:r>
              <w:rPr>
                <w:rFonts w:hint="eastAsia"/>
                <w:sz w:val="24"/>
              </w:rPr>
              <w:t>GB/T 50378-201</w:t>
            </w:r>
            <w:r>
              <w:rPr>
                <w:sz w:val="24"/>
              </w:rPr>
              <w:t>9</w:t>
            </w:r>
          </w:p>
        </w:tc>
        <w:tc>
          <w:tcPr>
            <w:tcW w:w="2409" w:type="dxa"/>
          </w:tcPr>
          <w:p>
            <w:pPr>
              <w:pStyle w:val="84"/>
              <w:spacing w:line="360" w:lineRule="auto"/>
              <w:rPr>
                <w:sz w:val="24"/>
              </w:rPr>
            </w:pPr>
            <w:r>
              <w:rPr>
                <w:sz w:val="24"/>
              </w:rPr>
              <w:t>4.1.8</w:t>
            </w:r>
            <w:r>
              <w:rPr>
                <w:rFonts w:hint="eastAsia"/>
                <w:sz w:val="24"/>
              </w:rPr>
              <w:t>条</w:t>
            </w:r>
          </w:p>
        </w:tc>
        <w:tc>
          <w:tcPr>
            <w:tcW w:w="3686"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sz w:val="24"/>
              </w:rPr>
              <w:t>5.1.1</w:t>
            </w:r>
            <w:r>
              <w:rPr>
                <w:rFonts w:hint="eastAsia"/>
                <w:sz w:val="24"/>
              </w:rPr>
              <w:t>条</w:t>
            </w:r>
          </w:p>
        </w:tc>
        <w:tc>
          <w:tcPr>
            <w:tcW w:w="3686"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8</w:t>
            </w:r>
            <w:r>
              <w:rPr>
                <w:sz w:val="24"/>
              </w:rPr>
              <w:t>.1.5</w:t>
            </w:r>
            <w:r>
              <w:rPr>
                <w:rFonts w:hint="eastAsia"/>
                <w:sz w:val="24"/>
              </w:rPr>
              <w:t>条</w:t>
            </w:r>
          </w:p>
        </w:tc>
        <w:tc>
          <w:tcPr>
            <w:tcW w:w="3686"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sz w:val="24"/>
              </w:rPr>
              <w:t>8.2.4</w:t>
            </w:r>
            <w:r>
              <w:rPr>
                <w:rFonts w:hint="eastAsia"/>
                <w:sz w:val="24"/>
              </w:rPr>
              <w:t>条-</w:t>
            </w:r>
            <w:r>
              <w:rPr>
                <w:sz w:val="24"/>
              </w:rPr>
              <w:t>1</w:t>
            </w:r>
          </w:p>
        </w:tc>
        <w:tc>
          <w:tcPr>
            <w:tcW w:w="3686" w:type="dxa"/>
          </w:tcPr>
          <w:p>
            <w:pPr>
              <w:pStyle w:val="84"/>
              <w:spacing w:line="360" w:lineRule="auto"/>
              <w:rPr>
                <w:sz w:val="24"/>
              </w:rPr>
            </w:pPr>
            <w:r>
              <w:rPr>
                <w:sz w:val="24"/>
              </w:rPr>
              <w:t>5</w:t>
            </w:r>
            <w:r>
              <w:rPr>
                <w:rFonts w:hint="eastAsia"/>
                <w:sz w:val="24"/>
                <w:lang w:eastAsia="zh-Han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sz w:val="24"/>
              </w:rPr>
              <w:t>8.2.4</w:t>
            </w:r>
            <w:r>
              <w:rPr>
                <w:rFonts w:hint="eastAsia"/>
                <w:sz w:val="24"/>
              </w:rPr>
              <w:t>条-</w:t>
            </w:r>
            <w:r>
              <w:rPr>
                <w:sz w:val="24"/>
              </w:rPr>
              <w:t>2</w:t>
            </w:r>
          </w:p>
        </w:tc>
        <w:tc>
          <w:tcPr>
            <w:tcW w:w="3686" w:type="dxa"/>
          </w:tcPr>
          <w:p>
            <w:pPr>
              <w:pStyle w:val="84"/>
              <w:spacing w:line="360" w:lineRule="auto"/>
              <w:rPr>
                <w:sz w:val="24"/>
              </w:rPr>
            </w:pPr>
            <w:r>
              <w:rPr>
                <w:rFonts w:hint="eastAsia"/>
                <w:sz w:val="24"/>
              </w:rPr>
              <w:t xml:space="preserve">4分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restart"/>
          </w:tcPr>
          <w:p>
            <w:pPr>
              <w:pStyle w:val="84"/>
              <w:spacing w:line="360" w:lineRule="auto"/>
              <w:rPr>
                <w:sz w:val="24"/>
              </w:rPr>
            </w:pPr>
            <w:r>
              <w:rPr>
                <w:rFonts w:hint="eastAsia"/>
                <w:sz w:val="24"/>
              </w:rPr>
              <w:t>DB33/1092-20</w:t>
            </w:r>
            <w:r>
              <w:rPr>
                <w:sz w:val="24"/>
              </w:rPr>
              <w:t>21</w:t>
            </w:r>
          </w:p>
        </w:tc>
        <w:tc>
          <w:tcPr>
            <w:tcW w:w="2409" w:type="dxa"/>
          </w:tcPr>
          <w:p>
            <w:pPr>
              <w:pStyle w:val="84"/>
              <w:spacing w:line="360" w:lineRule="auto"/>
              <w:rPr>
                <w:sz w:val="24"/>
              </w:rPr>
            </w:pPr>
            <w:r>
              <w:rPr>
                <w:rFonts w:hint="eastAsia"/>
                <w:sz w:val="24"/>
              </w:rPr>
              <w:t>4.2.1</w:t>
            </w:r>
            <w:r>
              <w:rPr>
                <w:sz w:val="24"/>
              </w:rPr>
              <w:t>3</w:t>
            </w:r>
            <w:r>
              <w:rPr>
                <w:rFonts w:hint="eastAsia"/>
                <w:sz w:val="24"/>
              </w:rPr>
              <w:t>条-</w:t>
            </w:r>
            <w:r>
              <w:rPr>
                <w:sz w:val="24"/>
              </w:rPr>
              <w:t>2</w:t>
            </w:r>
          </w:p>
        </w:tc>
        <w:tc>
          <w:tcPr>
            <w:tcW w:w="3686"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4.2.1</w:t>
            </w:r>
            <w:r>
              <w:rPr>
                <w:sz w:val="24"/>
              </w:rPr>
              <w:t>5</w:t>
            </w:r>
            <w:r>
              <w:rPr>
                <w:rFonts w:hint="eastAsia"/>
                <w:sz w:val="24"/>
              </w:rPr>
              <w:t>条</w:t>
            </w:r>
          </w:p>
        </w:tc>
        <w:tc>
          <w:tcPr>
            <w:tcW w:w="3686"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rFonts w:hint="eastAsia"/>
                <w:sz w:val="24"/>
              </w:rPr>
              <w:t>4</w:t>
            </w:r>
            <w:r>
              <w:rPr>
                <w:sz w:val="24"/>
              </w:rPr>
              <w:t>.3.5</w:t>
            </w:r>
            <w:r>
              <w:rPr>
                <w:rFonts w:hint="eastAsia"/>
                <w:sz w:val="24"/>
              </w:rPr>
              <w:t>条-</w:t>
            </w:r>
            <w:r>
              <w:rPr>
                <w:sz w:val="24"/>
              </w:rPr>
              <w:t>2</w:t>
            </w:r>
          </w:p>
        </w:tc>
        <w:tc>
          <w:tcPr>
            <w:tcW w:w="3686"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2409" w:type="dxa"/>
          </w:tcPr>
          <w:p>
            <w:pPr>
              <w:pStyle w:val="84"/>
              <w:spacing w:line="360" w:lineRule="auto"/>
              <w:rPr>
                <w:sz w:val="24"/>
              </w:rPr>
            </w:pPr>
            <w:r>
              <w:rPr>
                <w:sz w:val="24"/>
              </w:rPr>
              <w:t>4.3.7</w:t>
            </w:r>
            <w:r>
              <w:rPr>
                <w:rFonts w:hint="eastAsia"/>
                <w:sz w:val="24"/>
              </w:rPr>
              <w:t>条</w:t>
            </w:r>
          </w:p>
        </w:tc>
        <w:tc>
          <w:tcPr>
            <w:tcW w:w="3686"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依据材料</w:t>
            </w:r>
          </w:p>
        </w:tc>
        <w:tc>
          <w:tcPr>
            <w:tcW w:w="8119" w:type="dxa"/>
            <w:gridSpan w:val="3"/>
          </w:tcPr>
          <w:p>
            <w:pPr>
              <w:pStyle w:val="84"/>
              <w:spacing w:line="360" w:lineRule="auto"/>
              <w:ind w:firstLine="480" w:firstLineChars="200"/>
              <w:jc w:val="left"/>
              <w:rPr>
                <w:sz w:val="24"/>
              </w:rPr>
            </w:pPr>
            <w:r>
              <w:rPr>
                <w:rFonts w:hint="eastAsia"/>
                <w:sz w:val="24"/>
              </w:rPr>
              <w:t>设计人员依据项目实施的建筑总平面图等相关设计文件、标识系统设计与设置说明文件等相关说明文件(装修材料种类、用量，禁止吸烟措施)、预评估分析报告，根据项目实际情况，填写此项内容。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备注</w:t>
            </w:r>
          </w:p>
        </w:tc>
        <w:tc>
          <w:tcPr>
            <w:tcW w:w="8119" w:type="dxa"/>
            <w:gridSpan w:val="3"/>
          </w:tcPr>
          <w:p>
            <w:pPr>
              <w:pStyle w:val="84"/>
              <w:spacing w:line="360" w:lineRule="auto"/>
              <w:ind w:firstLine="480" w:firstLineChars="200"/>
              <w:jc w:val="left"/>
              <w:rPr>
                <w:sz w:val="24"/>
              </w:rPr>
            </w:pPr>
            <w:r>
              <w:rPr>
                <w:rFonts w:hint="eastAsia"/>
                <w:sz w:val="24"/>
              </w:rPr>
              <w:t>GB/T 50378-201</w:t>
            </w:r>
            <w:r>
              <w:rPr>
                <w:sz w:val="24"/>
              </w:rPr>
              <w:t>9</w:t>
            </w:r>
            <w:r>
              <w:rPr>
                <w:rFonts w:hint="eastAsia"/>
                <w:sz w:val="24"/>
              </w:rPr>
              <w:t>第5．1．1条规定了室内禁止吸烟，同时需要为“烟民”设置专门的室外吸烟区，有效地引导有吸烟习惯的人群，走出室内，在规定的合理范围内吸烟，做到“疏堵结合”。吸烟区内须配置垃圾筒和吸烟有害健康的警示标识。公共建筑的标识系统应当执行现行国家标准《公共建筑标识系统技术规范》GB/T 51223。</w:t>
            </w:r>
          </w:p>
          <w:p>
            <w:pPr>
              <w:pStyle w:val="84"/>
              <w:spacing w:line="360" w:lineRule="auto"/>
              <w:ind w:firstLine="480" w:firstLineChars="200"/>
              <w:jc w:val="left"/>
              <w:rPr>
                <w:sz w:val="24"/>
              </w:rPr>
            </w:pPr>
            <w:r>
              <w:rPr>
                <w:rFonts w:hint="eastAsia"/>
                <w:sz w:val="24"/>
              </w:rPr>
              <w:t>同时，为便于标识识别，应在场地内显著位置上设置标识，标识应反映一定区域范围内的建筑与设施分布情况，并提示当前位置等。建筑及场地的标识应沿通行路径布置，构成完整和连续的引导系统。</w:t>
            </w:r>
          </w:p>
        </w:tc>
      </w:tr>
    </w:tbl>
    <w:p>
      <w:pPr>
        <w:spacing w:line="360" w:lineRule="auto"/>
        <w:rPr>
          <w:rFonts w:asciiTheme="minorEastAsia" w:hAnsiTheme="minorEastAsia" w:eastAsiaTheme="minorEastAsia"/>
          <w:sz w:val="24"/>
        </w:rPr>
      </w:pPr>
    </w:p>
    <w:p>
      <w:pPr>
        <w:pStyle w:val="271"/>
        <w:numPr>
          <w:ilvl w:val="0"/>
          <w:numId w:val="60"/>
        </w:numPr>
        <w:spacing w:line="360" w:lineRule="auto"/>
        <w:ind w:firstLineChars="0"/>
        <w:rPr>
          <w:rFonts w:asciiTheme="minorEastAsia" w:hAnsiTheme="minorEastAsia" w:eastAsiaTheme="minorEastAsia"/>
          <w:sz w:val="24"/>
        </w:rPr>
      </w:pPr>
      <w:r>
        <w:rPr>
          <w:rFonts w:hint="eastAsia" w:asciiTheme="minorEastAsia" w:hAnsiTheme="minorEastAsia" w:eastAsiaTheme="minorEastAsia"/>
          <w:b/>
          <w:sz w:val="24"/>
        </w:rPr>
        <w:t>场地声环境：</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 xml:space="preserve">.1 </w:t>
      </w:r>
      <w:r>
        <w:rPr>
          <w:rFonts w:hint="eastAsia" w:asciiTheme="minorEastAsia" w:hAnsiTheme="minorEastAsia" w:eastAsiaTheme="minorEastAsia"/>
          <w:sz w:val="24"/>
        </w:rPr>
        <w:t>场地声环境设计符合现行国家标准《声环境质量标准》GB 3096 的要求；</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 xml:space="preserve">.2 </w:t>
      </w:r>
      <w:r>
        <w:rPr>
          <w:rFonts w:hint="eastAsia" w:asciiTheme="minorEastAsia" w:hAnsiTheme="minorEastAsia" w:eastAsiaTheme="minorEastAsia"/>
          <w:sz w:val="24"/>
        </w:rPr>
        <w:t>场地环境噪声值不大于现行国家标准《声环境质量标准》GB 3096的声环境功能区标准限值；</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 xml:space="preserve">.3 </w:t>
      </w:r>
      <w:r>
        <w:rPr>
          <w:rFonts w:hint="eastAsia" w:asciiTheme="minorEastAsia" w:hAnsiTheme="minorEastAsia" w:eastAsiaTheme="minorEastAsia"/>
          <w:sz w:val="24"/>
        </w:rPr>
        <w:t>场地内未设置未经有效处理的强噪声源；</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.4</w:t>
      </w:r>
      <w:r>
        <w:rPr>
          <w:rFonts w:hint="eastAsia" w:asciiTheme="minorEastAsia" w:hAnsiTheme="minorEastAsia" w:eastAsiaTheme="minorEastAsia"/>
          <w:sz w:val="24"/>
        </w:rPr>
        <w:t>噪声源改善措施：</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 xml:space="preserve">.4.1 </w:t>
      </w:r>
      <w:r>
        <w:rPr>
          <w:rFonts w:hint="eastAsia" w:asciiTheme="minorEastAsia" w:hAnsiTheme="minorEastAsia" w:eastAsiaTheme="minorEastAsia"/>
          <w:sz w:val="24"/>
        </w:rPr>
        <w:t>对固定噪声源采用适当的隔声和降噪措施；</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 xml:space="preserve">.4.2 </w:t>
      </w:r>
      <w:r>
        <w:rPr>
          <w:rFonts w:hint="eastAsia" w:asciiTheme="minorEastAsia" w:hAnsiTheme="minorEastAsia" w:eastAsiaTheme="minorEastAsia"/>
          <w:sz w:val="24"/>
        </w:rPr>
        <w:t>对交通干道的噪声采取声屏障或降噪路面等措施；</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.4.</w:t>
      </w:r>
      <w:r>
        <w:rPr>
          <w:rFonts w:hint="eastAsia" w:asciiTheme="minorEastAsia" w:hAnsiTheme="minorEastAsia" w:eastAsiaTheme="minorEastAsia"/>
          <w:sz w:val="24"/>
        </w:rPr>
        <w:t>3</w:t>
      </w:r>
      <w:r>
        <w:rPr>
          <w:rFonts w:asciiTheme="minorEastAsia" w:hAnsiTheme="minorEastAsia" w:eastAsiaTheme="minorEastAsia"/>
          <w:sz w:val="24"/>
        </w:rPr>
        <w:t xml:space="preserve"> </w:t>
      </w:r>
      <w:r>
        <w:rPr>
          <w:rFonts w:hint="eastAsia" w:asciiTheme="minorEastAsia" w:hAnsiTheme="minorEastAsia" w:eastAsiaTheme="minorEastAsia"/>
          <w:sz w:val="24"/>
        </w:rPr>
        <w:t>对声环境要求高的建筑，设置于主要噪声源主导风向的上风侧，并进行噪声专项分析；</w:t>
      </w:r>
      <w:r>
        <w:rPr>
          <w:rFonts w:asciiTheme="minorEastAsia" w:hAnsiTheme="minorEastAsia" w:eastAsiaTheme="minorEastAsia"/>
          <w:sz w:val="24"/>
        </w:rPr>
        <w:t xml:space="preserve"> </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 xml:space="preserve">.4.4 </w:t>
      </w:r>
      <w:r>
        <w:rPr>
          <w:rFonts w:hint="eastAsia" w:asciiTheme="minorEastAsia" w:hAnsiTheme="minorEastAsia" w:eastAsiaTheme="minorEastAsia"/>
          <w:sz w:val="24"/>
        </w:rPr>
        <w:t>当建筑相邻高速公路或快速路，且临道路一侧退后道路红线距离小于15m时，或当建筑相邻城市干道，且临道路一侧退后用地红线距离小于12m时，进行噪声专项分析；</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.4.</w:t>
      </w:r>
      <w:r>
        <w:rPr>
          <w:rFonts w:hint="eastAsia" w:asciiTheme="minorEastAsia" w:hAnsiTheme="minorEastAsia" w:eastAsiaTheme="minorEastAsia"/>
          <w:sz w:val="24"/>
        </w:rPr>
        <w:t>5</w:t>
      </w:r>
      <w:r>
        <w:rPr>
          <w:rFonts w:asciiTheme="minorEastAsia" w:hAnsiTheme="minorEastAsia" w:eastAsiaTheme="minorEastAsia"/>
          <w:sz w:val="24"/>
        </w:rPr>
        <w:t xml:space="preserve"> </w:t>
      </w:r>
      <w:r>
        <w:rPr>
          <w:rFonts w:hint="eastAsia" w:asciiTheme="minorEastAsia" w:hAnsiTheme="minorEastAsia" w:eastAsiaTheme="minorEastAsia"/>
          <w:sz w:val="24"/>
        </w:rPr>
        <w:t>将对噪声不明感的建筑物布置在场地内临近交通干道的位置，以形成周边式的声屏障；</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024"/>
        <w:gridCol w:w="1663"/>
        <w:gridCol w:w="4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pStyle w:val="84"/>
              <w:spacing w:line="360" w:lineRule="auto"/>
              <w:rPr>
                <w:sz w:val="24"/>
              </w:rPr>
            </w:pPr>
            <w:r>
              <w:rPr>
                <w:rFonts w:hint="eastAsia"/>
                <w:sz w:val="24"/>
              </w:rPr>
              <w:t>条文来源</w:t>
            </w:r>
          </w:p>
        </w:tc>
        <w:tc>
          <w:tcPr>
            <w:tcW w:w="2024" w:type="dxa"/>
          </w:tcPr>
          <w:p>
            <w:pPr>
              <w:pStyle w:val="84"/>
              <w:spacing w:line="360" w:lineRule="auto"/>
              <w:rPr>
                <w:sz w:val="24"/>
              </w:rPr>
            </w:pPr>
            <w:r>
              <w:rPr>
                <w:rFonts w:hint="eastAsia"/>
                <w:sz w:val="24"/>
              </w:rPr>
              <w:t>GB/T 50378-201</w:t>
            </w:r>
            <w:r>
              <w:rPr>
                <w:sz w:val="24"/>
              </w:rPr>
              <w:t>9</w:t>
            </w:r>
          </w:p>
        </w:tc>
        <w:tc>
          <w:tcPr>
            <w:tcW w:w="1663" w:type="dxa"/>
          </w:tcPr>
          <w:p>
            <w:pPr>
              <w:pStyle w:val="84"/>
              <w:spacing w:line="360" w:lineRule="auto"/>
              <w:rPr>
                <w:sz w:val="24"/>
              </w:rPr>
            </w:pPr>
            <w:r>
              <w:rPr>
                <w:sz w:val="24"/>
              </w:rPr>
              <w:t>8.</w:t>
            </w:r>
            <w:r>
              <w:rPr>
                <w:rFonts w:hint="eastAsia"/>
                <w:sz w:val="24"/>
              </w:rPr>
              <w:t>2.</w:t>
            </w:r>
            <w:r>
              <w:rPr>
                <w:sz w:val="24"/>
              </w:rPr>
              <w:t>6</w:t>
            </w:r>
            <w:r>
              <w:rPr>
                <w:rFonts w:hint="eastAsia"/>
                <w:sz w:val="24"/>
              </w:rPr>
              <w:t>条</w:t>
            </w:r>
          </w:p>
        </w:tc>
        <w:tc>
          <w:tcPr>
            <w:tcW w:w="4432" w:type="dxa"/>
          </w:tcPr>
          <w:p>
            <w:pPr>
              <w:pStyle w:val="84"/>
              <w:spacing w:line="360" w:lineRule="auto"/>
              <w:rPr>
                <w:sz w:val="24"/>
              </w:rPr>
            </w:pPr>
            <w:r>
              <w:rPr>
                <w:rFonts w:hint="eastAsia"/>
                <w:sz w:val="24"/>
              </w:rPr>
              <w:t>环境噪声值＞2类声环境功能区标准限值，且≤3类声环境功能区标准限值，5分； 环境噪声值≤2类声环境功能区标准限值，10分。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restart"/>
          </w:tcPr>
          <w:p>
            <w:pPr>
              <w:pStyle w:val="84"/>
              <w:spacing w:line="360" w:lineRule="auto"/>
              <w:rPr>
                <w:sz w:val="24"/>
              </w:rPr>
            </w:pPr>
            <w:r>
              <w:rPr>
                <w:rFonts w:hint="eastAsia"/>
                <w:sz w:val="24"/>
              </w:rPr>
              <w:t>DB33/1092-20</w:t>
            </w:r>
            <w:r>
              <w:rPr>
                <w:sz w:val="24"/>
              </w:rPr>
              <w:t>21</w:t>
            </w:r>
          </w:p>
        </w:tc>
        <w:tc>
          <w:tcPr>
            <w:tcW w:w="1663" w:type="dxa"/>
          </w:tcPr>
          <w:p>
            <w:pPr>
              <w:pStyle w:val="84"/>
              <w:spacing w:line="360" w:lineRule="auto"/>
              <w:rPr>
                <w:sz w:val="24"/>
              </w:rPr>
            </w:pPr>
            <w:r>
              <w:rPr>
                <w:sz w:val="24"/>
              </w:rPr>
              <w:t>4.</w:t>
            </w:r>
            <w:r>
              <w:rPr>
                <w:rFonts w:hint="eastAsia"/>
                <w:sz w:val="24"/>
              </w:rPr>
              <w:t>2.</w:t>
            </w:r>
            <w:r>
              <w:rPr>
                <w:sz w:val="24"/>
              </w:rPr>
              <w:t>8</w:t>
            </w:r>
            <w:r>
              <w:rPr>
                <w:rFonts w:hint="eastAsia"/>
                <w:sz w:val="24"/>
              </w:rPr>
              <w:t>条</w:t>
            </w:r>
          </w:p>
        </w:tc>
        <w:tc>
          <w:tcPr>
            <w:tcW w:w="4432"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3" w:type="dxa"/>
          </w:tcPr>
          <w:p>
            <w:pPr>
              <w:pStyle w:val="84"/>
              <w:spacing w:line="360" w:lineRule="auto"/>
              <w:rPr>
                <w:sz w:val="24"/>
              </w:rPr>
            </w:pPr>
            <w:r>
              <w:rPr>
                <w:rFonts w:hint="eastAsia"/>
                <w:sz w:val="24"/>
              </w:rPr>
              <w:t>4</w:t>
            </w:r>
            <w:r>
              <w:rPr>
                <w:sz w:val="24"/>
              </w:rPr>
              <w:t>.3.3</w:t>
            </w:r>
            <w:r>
              <w:rPr>
                <w:rFonts w:hint="eastAsia"/>
                <w:sz w:val="24"/>
              </w:rPr>
              <w:t>条</w:t>
            </w:r>
          </w:p>
        </w:tc>
        <w:tc>
          <w:tcPr>
            <w:tcW w:w="4432"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pStyle w:val="84"/>
              <w:spacing w:line="360" w:lineRule="auto"/>
              <w:rPr>
                <w:sz w:val="24"/>
              </w:rPr>
            </w:pPr>
          </w:p>
        </w:tc>
        <w:tc>
          <w:tcPr>
            <w:tcW w:w="2024" w:type="dxa"/>
            <w:vMerge w:val="continue"/>
          </w:tcPr>
          <w:p>
            <w:pPr>
              <w:pStyle w:val="84"/>
              <w:spacing w:line="360" w:lineRule="auto"/>
              <w:rPr>
                <w:sz w:val="24"/>
              </w:rPr>
            </w:pPr>
          </w:p>
        </w:tc>
        <w:tc>
          <w:tcPr>
            <w:tcW w:w="1663" w:type="dxa"/>
          </w:tcPr>
          <w:p>
            <w:pPr>
              <w:pStyle w:val="84"/>
              <w:spacing w:line="360" w:lineRule="auto"/>
              <w:rPr>
                <w:sz w:val="24"/>
              </w:rPr>
            </w:pPr>
            <w:r>
              <w:rPr>
                <w:rFonts w:hint="eastAsia"/>
                <w:sz w:val="24"/>
              </w:rPr>
              <w:t>4</w:t>
            </w:r>
            <w:r>
              <w:rPr>
                <w:sz w:val="24"/>
              </w:rPr>
              <w:t>.4.3</w:t>
            </w:r>
            <w:r>
              <w:rPr>
                <w:rFonts w:hint="eastAsia"/>
                <w:sz w:val="24"/>
              </w:rPr>
              <w:t>条</w:t>
            </w:r>
          </w:p>
        </w:tc>
        <w:tc>
          <w:tcPr>
            <w:tcW w:w="4432"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依据材料</w:t>
            </w:r>
          </w:p>
        </w:tc>
        <w:tc>
          <w:tcPr>
            <w:tcW w:w="8119" w:type="dxa"/>
            <w:gridSpan w:val="3"/>
          </w:tcPr>
          <w:p>
            <w:pPr>
              <w:pStyle w:val="84"/>
              <w:spacing w:line="360" w:lineRule="auto"/>
              <w:ind w:firstLine="480" w:firstLineChars="200"/>
              <w:jc w:val="left"/>
              <w:rPr>
                <w:sz w:val="24"/>
              </w:rPr>
            </w:pPr>
            <w:r>
              <w:rPr>
                <w:rFonts w:hint="eastAsia"/>
                <w:sz w:val="24"/>
              </w:rPr>
              <w:t>设计人员应依据项目的环评报告(含有噪声检测及预测评价或独立的环境噪声影响测试评估报告)、相关设计文件、声环境优化报告、噪声预测分析报告，根据项目情况，填写此项内容。</w:t>
            </w:r>
          </w:p>
          <w:p>
            <w:pPr>
              <w:pStyle w:val="84"/>
              <w:spacing w:line="360" w:lineRule="auto"/>
              <w:ind w:firstLine="480" w:firstLineChars="200"/>
              <w:jc w:val="left"/>
              <w:rPr>
                <w:sz w:val="24"/>
              </w:rPr>
            </w:pPr>
            <w:r>
              <w:rPr>
                <w:rFonts w:hint="eastAsia"/>
                <w:sz w:val="24"/>
              </w:rPr>
              <w:t>如果环评报告中包含噪声预测分析的相关内容，则可不单独提供噪声预测分析报告；如果没有现场测试结果、噪声预测值等，则需单独提供由第三方机构检测的噪声检测报告和（或噪声模拟计算文件）。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pStyle w:val="84"/>
              <w:spacing w:line="360" w:lineRule="auto"/>
              <w:rPr>
                <w:sz w:val="24"/>
              </w:rPr>
            </w:pPr>
            <w:r>
              <w:rPr>
                <w:rFonts w:hint="eastAsia"/>
                <w:sz w:val="24"/>
              </w:rPr>
              <w:t>备注</w:t>
            </w:r>
          </w:p>
        </w:tc>
        <w:tc>
          <w:tcPr>
            <w:tcW w:w="8119" w:type="dxa"/>
            <w:gridSpan w:val="3"/>
          </w:tcPr>
          <w:p>
            <w:pPr>
              <w:pStyle w:val="84"/>
              <w:spacing w:line="360" w:lineRule="auto"/>
              <w:ind w:firstLine="480" w:firstLineChars="200"/>
              <w:jc w:val="left"/>
              <w:rPr>
                <w:sz w:val="24"/>
              </w:rPr>
            </w:pPr>
            <w:r>
              <w:rPr>
                <w:rFonts w:hint="eastAsia"/>
                <w:sz w:val="24"/>
              </w:rPr>
              <w:t>绿色建筑设计应对场地周边的噪声现状进行检测，并对规划实施后的环境噪声进行预测，必要时采取有效措施改善环境噪声状况，使之符合现行国家标准《声环境质量标准》</w:t>
            </w:r>
            <w:r>
              <w:rPr>
                <w:sz w:val="24"/>
              </w:rPr>
              <w:t>GB 3096</w:t>
            </w:r>
            <w:r>
              <w:rPr>
                <w:rFonts w:hint="eastAsia"/>
                <w:sz w:val="24"/>
              </w:rPr>
              <w:t>中对于不同声环境功能区噪声标准的规定。当拟建噪声敏感建筑不能避免临近交通干线，或不能远离固定的设备噪声源时，需要采取措施降低噪声干扰。</w:t>
            </w:r>
          </w:p>
          <w:p>
            <w:pPr>
              <w:pStyle w:val="84"/>
              <w:spacing w:line="360" w:lineRule="auto"/>
              <w:ind w:firstLine="480" w:firstLineChars="200"/>
              <w:jc w:val="left"/>
              <w:rPr>
                <w:sz w:val="24"/>
              </w:rPr>
            </w:pPr>
            <w:r>
              <w:rPr>
                <w:rFonts w:hint="eastAsia"/>
                <w:sz w:val="24"/>
              </w:rPr>
              <w:t>需要说明的是，噪声监测的现状值仅作为参考，需结合场地环境条件的变化（如道路车流量的增长）进行对应的噪声改变情况预测。</w:t>
            </w:r>
          </w:p>
          <w:p>
            <w:pPr>
              <w:pStyle w:val="84"/>
              <w:spacing w:line="360" w:lineRule="auto"/>
              <w:ind w:firstLine="480" w:firstLineChars="200"/>
              <w:jc w:val="left"/>
              <w:rPr>
                <w:sz w:val="24"/>
              </w:rPr>
            </w:pPr>
            <w:r>
              <w:rPr>
                <w:rFonts w:hint="eastAsia"/>
                <w:sz w:val="24"/>
              </w:rPr>
              <w:t>采用适当的隔离或降噪措施，如道路声屏障、低噪声路面、绿化降噪、限制重载车通行等隔离和降噪措施，减少环境噪声干扰。对于可能产生噪声干扰的固定的设备噪声源采取隔声和消声措施，降低环境噪声。</w:t>
            </w:r>
          </w:p>
          <w:p>
            <w:pPr>
              <w:pStyle w:val="84"/>
              <w:spacing w:line="360" w:lineRule="auto"/>
              <w:ind w:firstLine="480" w:firstLineChars="200"/>
              <w:jc w:val="left"/>
              <w:rPr>
                <w:sz w:val="24"/>
              </w:rPr>
            </w:pPr>
            <w:r>
              <w:rPr>
                <w:rFonts w:hint="eastAsia"/>
                <w:sz w:val="24"/>
              </w:rPr>
              <w:t>当拟建噪声敏感建筑不能避免临近交通干线，或不能远离固定的设备噪声源时，应采取建筑隔声等措施来降低噪声干扰。</w:t>
            </w:r>
          </w:p>
          <w:p>
            <w:pPr>
              <w:pStyle w:val="84"/>
              <w:spacing w:line="360" w:lineRule="auto"/>
              <w:ind w:firstLine="480" w:firstLineChars="200"/>
              <w:jc w:val="left"/>
              <w:rPr>
                <w:sz w:val="24"/>
              </w:rPr>
            </w:pPr>
            <w:r>
              <w:rPr>
                <w:rFonts w:hint="eastAsia"/>
                <w:sz w:val="24"/>
              </w:rPr>
              <w:t>声屏障是指在声源与承受接收者之间插人的一个设施，使声波的传播有一个显著的附加衰减，从而减弱了接收者所在一定区域内的噪声影响，这一设施就叫声屏障。声屏障主要用于高速公路、高架桥道路、城市轻轨地铁以及铁路等交通市政设施中的降噪处理，也可应用于工矿企业和大冷却设备等噪声产生源的降噪处理。</w:t>
            </w:r>
          </w:p>
          <w:p>
            <w:pPr>
              <w:pStyle w:val="84"/>
              <w:spacing w:line="360" w:lineRule="auto"/>
              <w:ind w:firstLine="480" w:firstLineChars="200"/>
              <w:jc w:val="left"/>
              <w:rPr>
                <w:sz w:val="24"/>
              </w:rPr>
            </w:pPr>
            <w:r>
              <w:rPr>
                <w:rFonts w:hint="eastAsia"/>
                <w:sz w:val="24"/>
              </w:rPr>
              <w:t>噪声不敏感的建筑包括超市、餐饮、娱乐等。</w:t>
            </w:r>
          </w:p>
        </w:tc>
      </w:tr>
    </w:tbl>
    <w:p>
      <w:pPr>
        <w:spacing w:line="360" w:lineRule="auto"/>
        <w:rPr>
          <w:rFonts w:asciiTheme="minorEastAsia" w:hAnsiTheme="minorEastAsia" w:eastAsiaTheme="minorEastAsia"/>
          <w:sz w:val="24"/>
        </w:rPr>
      </w:pPr>
    </w:p>
    <w:p>
      <w:pPr>
        <w:pStyle w:val="271"/>
        <w:numPr>
          <w:ilvl w:val="0"/>
          <w:numId w:val="60"/>
        </w:numPr>
        <w:spacing w:line="360" w:lineRule="auto"/>
        <w:ind w:firstLineChars="0"/>
        <w:rPr>
          <w:rFonts w:asciiTheme="minorEastAsia" w:hAnsiTheme="minorEastAsia" w:eastAsiaTheme="minorEastAsia"/>
          <w:b/>
          <w:sz w:val="24"/>
        </w:rPr>
      </w:pPr>
      <w:r>
        <w:rPr>
          <w:rFonts w:hint="eastAsia" w:asciiTheme="minorEastAsia" w:hAnsiTheme="minorEastAsia" w:eastAsiaTheme="minorEastAsia"/>
          <w:b/>
          <w:sz w:val="24"/>
        </w:rPr>
        <w:t>场地风环境：</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.1</w:t>
      </w:r>
      <w:r>
        <w:rPr>
          <w:rFonts w:hint="eastAsia" w:asciiTheme="minorEastAsia" w:hAnsiTheme="minorEastAsia" w:eastAsiaTheme="minorEastAsia"/>
          <w:sz w:val="24"/>
        </w:rPr>
        <w:t xml:space="preserve"> 总平面设计对场地风环境进行模拟预测，优化建筑布局；</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.2</w:t>
      </w:r>
      <w:r>
        <w:rPr>
          <w:rFonts w:hint="eastAsia" w:asciiTheme="minorEastAsia" w:hAnsiTheme="minorEastAsia" w:eastAsiaTheme="minorEastAsia"/>
          <w:sz w:val="24"/>
        </w:rPr>
        <w:t xml:space="preserve"> 冬季典型风速和风向条件下，建筑物周围人行区1</w:t>
      </w:r>
      <w:r>
        <w:rPr>
          <w:rFonts w:asciiTheme="minorEastAsia" w:hAnsiTheme="minorEastAsia" w:eastAsiaTheme="minorEastAsia"/>
          <w:sz w:val="24"/>
        </w:rPr>
        <w:t>.5</w:t>
      </w:r>
      <w:r>
        <w:rPr>
          <w:rFonts w:hint="eastAsia" w:asciiTheme="minorEastAsia" w:hAnsiTheme="minorEastAsia" w:eastAsiaTheme="minorEastAsia"/>
          <w:sz w:val="24"/>
        </w:rPr>
        <w:t>m处风速小于5</w:t>
      </w:r>
      <w:r>
        <w:rPr>
          <w:rFonts w:asciiTheme="minorEastAsia" w:hAnsiTheme="minorEastAsia" w:eastAsiaTheme="minorEastAsia"/>
          <w:sz w:val="24"/>
        </w:rPr>
        <w:t>m/s</w:t>
      </w:r>
      <w:r>
        <w:rPr>
          <w:rFonts w:hint="eastAsia"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xml:space="preserve">.3 </w:t>
      </w:r>
      <w:r>
        <w:rPr>
          <w:rFonts w:hint="eastAsia" w:asciiTheme="minorEastAsia" w:hAnsiTheme="minorEastAsia" w:eastAsiaTheme="minorEastAsia"/>
          <w:sz w:val="24"/>
        </w:rPr>
        <w:t>户外休息区</w:t>
      </w:r>
      <w:r>
        <w:rPr>
          <w:rFonts w:asciiTheme="minorEastAsia" w:hAnsiTheme="minorEastAsia" w:eastAsiaTheme="minorEastAsia"/>
          <w:sz w:val="24"/>
        </w:rPr>
        <w:t>、儿童娱乐区风速小于</w:t>
      </w:r>
      <w:r>
        <w:rPr>
          <w:rFonts w:hint="eastAsia" w:asciiTheme="minorEastAsia" w:hAnsiTheme="minorEastAsia" w:eastAsiaTheme="minorEastAsia"/>
          <w:sz w:val="24"/>
        </w:rPr>
        <w:t>5</w:t>
      </w:r>
      <w:r>
        <w:rPr>
          <w:rFonts w:asciiTheme="minorEastAsia" w:hAnsiTheme="minorEastAsia" w:eastAsiaTheme="minorEastAsia"/>
          <w:sz w:val="24"/>
        </w:rPr>
        <w:t>m/s</w:t>
      </w:r>
      <w:r>
        <w:rPr>
          <w:rFonts w:hint="eastAsia"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xml:space="preserve">.4 </w:t>
      </w:r>
      <w:r>
        <w:rPr>
          <w:rFonts w:hint="eastAsia" w:asciiTheme="minorEastAsia" w:hAnsiTheme="minorEastAsia" w:eastAsiaTheme="minorEastAsia"/>
          <w:sz w:val="24"/>
        </w:rPr>
        <w:t>室外风速放大系数小于2；</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xml:space="preserve">.5 </w:t>
      </w:r>
      <w:r>
        <w:rPr>
          <w:rFonts w:hint="eastAsia" w:asciiTheme="minorEastAsia" w:hAnsiTheme="minorEastAsia" w:eastAsiaTheme="minorEastAsia"/>
          <w:sz w:val="24"/>
        </w:rPr>
        <w:t>避开冬季主导风向，冬季除迎风面第一排建筑外，建筑表面压强绝对值的平均值不大于5</w:t>
      </w:r>
      <w:r>
        <w:rPr>
          <w:rFonts w:asciiTheme="minorEastAsia" w:hAnsiTheme="minorEastAsia" w:eastAsiaTheme="minorEastAsia"/>
          <w:sz w:val="24"/>
        </w:rPr>
        <w:t>Pa</w:t>
      </w:r>
      <w:r>
        <w:rPr>
          <w:rFonts w:hint="eastAsia"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xml:space="preserve">.6 </w:t>
      </w:r>
      <w:r>
        <w:rPr>
          <w:rFonts w:hint="eastAsia" w:asciiTheme="minorEastAsia" w:hAnsiTheme="minorEastAsia" w:eastAsiaTheme="minorEastAsia"/>
          <w:sz w:val="24"/>
        </w:rPr>
        <w:t>过渡季、夏季典型风速和风向条件下，场地内人活动区不出现涡旋或无风区；</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xml:space="preserve">.7 </w:t>
      </w:r>
      <w:r>
        <w:rPr>
          <w:rFonts w:hint="eastAsia" w:asciiTheme="minorEastAsia" w:hAnsiTheme="minorEastAsia" w:eastAsiaTheme="minorEastAsia"/>
          <w:sz w:val="24"/>
        </w:rPr>
        <w:t>空气污染</w:t>
      </w:r>
      <w:r>
        <w:rPr>
          <w:rFonts w:asciiTheme="minorEastAsia" w:hAnsiTheme="minorEastAsia" w:eastAsiaTheme="minorEastAsia"/>
          <w:sz w:val="24"/>
        </w:rPr>
        <w:t>源未设置在</w:t>
      </w:r>
      <w:r>
        <w:rPr>
          <w:rFonts w:hint="eastAsia" w:asciiTheme="minorEastAsia" w:hAnsiTheme="minorEastAsia" w:eastAsiaTheme="minorEastAsia"/>
          <w:sz w:val="24"/>
        </w:rPr>
        <w:t>涡旋</w:t>
      </w:r>
      <w:r>
        <w:rPr>
          <w:rFonts w:asciiTheme="minorEastAsia" w:hAnsiTheme="minorEastAsia" w:eastAsiaTheme="minorEastAsia"/>
          <w:sz w:val="24"/>
        </w:rPr>
        <w:t>及无风区</w:t>
      </w:r>
      <w:r>
        <w:rPr>
          <w:rFonts w:hint="eastAsia"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w:t>
      </w:r>
      <w:r>
        <w:rPr>
          <w:rFonts w:asciiTheme="minorEastAsia" w:hAnsiTheme="minorEastAsia" w:eastAsiaTheme="minorEastAsia"/>
          <w:sz w:val="24"/>
        </w:rPr>
        <w:t xml:space="preserve">.8 </w:t>
      </w:r>
      <w:r>
        <w:rPr>
          <w:rFonts w:hint="eastAsia" w:asciiTheme="minorEastAsia" w:hAnsiTheme="minorEastAsia" w:eastAsiaTheme="minorEastAsia"/>
          <w:sz w:val="24"/>
        </w:rPr>
        <w:t>50％以上可开启外窗室内外表面的风压差大于0.5Pa；</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1417"/>
        <w:gridCol w:w="1276"/>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restart"/>
          </w:tcPr>
          <w:p>
            <w:pPr>
              <w:pStyle w:val="84"/>
              <w:spacing w:line="360" w:lineRule="auto"/>
              <w:rPr>
                <w:sz w:val="24"/>
              </w:rPr>
            </w:pPr>
            <w:r>
              <w:rPr>
                <w:rFonts w:hint="eastAsia"/>
                <w:sz w:val="24"/>
              </w:rPr>
              <w:t>条文来源</w:t>
            </w:r>
          </w:p>
        </w:tc>
        <w:tc>
          <w:tcPr>
            <w:tcW w:w="1276" w:type="dxa"/>
            <w:vMerge w:val="restart"/>
          </w:tcPr>
          <w:p>
            <w:pPr>
              <w:pStyle w:val="84"/>
              <w:spacing w:line="360" w:lineRule="auto"/>
              <w:rPr>
                <w:sz w:val="24"/>
              </w:rPr>
            </w:pPr>
            <w:r>
              <w:rPr>
                <w:rFonts w:hint="eastAsia"/>
                <w:sz w:val="24"/>
              </w:rPr>
              <w:t>GB/T 50378-201</w:t>
            </w:r>
            <w:r>
              <w:rPr>
                <w:sz w:val="24"/>
              </w:rPr>
              <w:t>9</w:t>
            </w:r>
          </w:p>
        </w:tc>
        <w:tc>
          <w:tcPr>
            <w:tcW w:w="1417" w:type="dxa"/>
            <w:vMerge w:val="restart"/>
          </w:tcPr>
          <w:p>
            <w:pPr>
              <w:pStyle w:val="84"/>
              <w:spacing w:line="360" w:lineRule="auto"/>
              <w:rPr>
                <w:sz w:val="24"/>
              </w:rPr>
            </w:pPr>
            <w:r>
              <w:rPr>
                <w:sz w:val="24"/>
              </w:rPr>
              <w:t>8.2.8</w:t>
            </w:r>
            <w:r>
              <w:rPr>
                <w:rFonts w:hint="eastAsia"/>
                <w:sz w:val="24"/>
              </w:rPr>
              <w:t>条</w:t>
            </w:r>
          </w:p>
        </w:tc>
        <w:tc>
          <w:tcPr>
            <w:tcW w:w="1276" w:type="dxa"/>
            <w:vMerge w:val="restart"/>
          </w:tcPr>
          <w:p>
            <w:pPr>
              <w:pStyle w:val="84"/>
              <w:spacing w:line="400" w:lineRule="exact"/>
              <w:rPr>
                <w:sz w:val="24"/>
              </w:rPr>
            </w:pPr>
            <w:r>
              <w:rPr>
                <w:rFonts w:hint="eastAsia"/>
                <w:sz w:val="24"/>
              </w:rPr>
              <w:t>在冬季典型风速和风向条件下</w:t>
            </w:r>
          </w:p>
        </w:tc>
        <w:tc>
          <w:tcPr>
            <w:tcW w:w="4678" w:type="dxa"/>
          </w:tcPr>
          <w:p>
            <w:pPr>
              <w:pStyle w:val="84"/>
              <w:spacing w:line="400" w:lineRule="exact"/>
              <w:rPr>
                <w:sz w:val="24"/>
              </w:rPr>
            </w:pPr>
            <w:r>
              <w:rPr>
                <w:rFonts w:hint="eastAsia"/>
                <w:sz w:val="24"/>
              </w:rPr>
              <w:t>建筑物周围人行区距地高1．5m处风速小于5m/s，户外休息区、儿童娱乐区风速小于2m/s，且室外风速放大系数小于2，3分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pStyle w:val="84"/>
              <w:spacing w:line="360" w:lineRule="auto"/>
              <w:rPr>
                <w:sz w:val="24"/>
              </w:rPr>
            </w:pPr>
          </w:p>
        </w:tc>
        <w:tc>
          <w:tcPr>
            <w:tcW w:w="1276" w:type="dxa"/>
            <w:vMerge w:val="continue"/>
          </w:tcPr>
          <w:p>
            <w:pPr>
              <w:pStyle w:val="84"/>
              <w:spacing w:line="360" w:lineRule="auto"/>
              <w:rPr>
                <w:sz w:val="24"/>
              </w:rPr>
            </w:pPr>
          </w:p>
        </w:tc>
        <w:tc>
          <w:tcPr>
            <w:tcW w:w="1417" w:type="dxa"/>
            <w:vMerge w:val="continue"/>
          </w:tcPr>
          <w:p>
            <w:pPr>
              <w:pStyle w:val="84"/>
              <w:spacing w:line="360" w:lineRule="auto"/>
              <w:rPr>
                <w:sz w:val="24"/>
              </w:rPr>
            </w:pPr>
          </w:p>
        </w:tc>
        <w:tc>
          <w:tcPr>
            <w:tcW w:w="1276" w:type="dxa"/>
            <w:vMerge w:val="continue"/>
          </w:tcPr>
          <w:p>
            <w:pPr>
              <w:pStyle w:val="84"/>
              <w:spacing w:line="400" w:lineRule="exact"/>
              <w:rPr>
                <w:sz w:val="24"/>
              </w:rPr>
            </w:pPr>
          </w:p>
        </w:tc>
        <w:tc>
          <w:tcPr>
            <w:tcW w:w="4678" w:type="dxa"/>
          </w:tcPr>
          <w:p>
            <w:pPr>
              <w:pStyle w:val="84"/>
              <w:spacing w:line="400" w:lineRule="exact"/>
              <w:rPr>
                <w:sz w:val="24"/>
              </w:rPr>
            </w:pPr>
            <w:r>
              <w:rPr>
                <w:rFonts w:hint="eastAsia"/>
                <w:sz w:val="24"/>
              </w:rPr>
              <w:t>除迎风第一排建筑外，建筑迎风面与背风面表面风压差不大于5Pa，2分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pStyle w:val="84"/>
              <w:spacing w:line="360" w:lineRule="auto"/>
              <w:rPr>
                <w:sz w:val="24"/>
              </w:rPr>
            </w:pPr>
          </w:p>
        </w:tc>
        <w:tc>
          <w:tcPr>
            <w:tcW w:w="1276" w:type="dxa"/>
            <w:vMerge w:val="continue"/>
          </w:tcPr>
          <w:p>
            <w:pPr>
              <w:pStyle w:val="84"/>
              <w:spacing w:line="360" w:lineRule="auto"/>
              <w:rPr>
                <w:sz w:val="24"/>
              </w:rPr>
            </w:pPr>
          </w:p>
        </w:tc>
        <w:tc>
          <w:tcPr>
            <w:tcW w:w="1417" w:type="dxa"/>
            <w:vMerge w:val="continue"/>
          </w:tcPr>
          <w:p>
            <w:pPr>
              <w:pStyle w:val="84"/>
              <w:spacing w:line="360" w:lineRule="auto"/>
              <w:rPr>
                <w:sz w:val="24"/>
              </w:rPr>
            </w:pPr>
          </w:p>
        </w:tc>
        <w:tc>
          <w:tcPr>
            <w:tcW w:w="1276" w:type="dxa"/>
            <w:vMerge w:val="restart"/>
          </w:tcPr>
          <w:p>
            <w:pPr>
              <w:pStyle w:val="84"/>
              <w:spacing w:line="400" w:lineRule="exact"/>
              <w:rPr>
                <w:sz w:val="24"/>
              </w:rPr>
            </w:pPr>
            <w:r>
              <w:rPr>
                <w:rFonts w:hint="eastAsia"/>
                <w:sz w:val="24"/>
              </w:rPr>
              <w:t>过渡季、夏季典型风速和风向条件下</w:t>
            </w:r>
          </w:p>
        </w:tc>
        <w:tc>
          <w:tcPr>
            <w:tcW w:w="4678" w:type="dxa"/>
          </w:tcPr>
          <w:p>
            <w:pPr>
              <w:pStyle w:val="84"/>
              <w:spacing w:line="400" w:lineRule="exact"/>
              <w:rPr>
                <w:sz w:val="24"/>
              </w:rPr>
            </w:pPr>
            <w:r>
              <w:rPr>
                <w:rFonts w:hint="eastAsia"/>
                <w:sz w:val="24"/>
              </w:rPr>
              <w:t>场地内人活动区不出现涡旋或无风区，3分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pStyle w:val="84"/>
              <w:spacing w:line="360" w:lineRule="auto"/>
              <w:rPr>
                <w:sz w:val="24"/>
              </w:rPr>
            </w:pPr>
          </w:p>
        </w:tc>
        <w:tc>
          <w:tcPr>
            <w:tcW w:w="1276" w:type="dxa"/>
            <w:vMerge w:val="continue"/>
          </w:tcPr>
          <w:p>
            <w:pPr>
              <w:pStyle w:val="84"/>
              <w:spacing w:line="360" w:lineRule="auto"/>
              <w:rPr>
                <w:sz w:val="24"/>
              </w:rPr>
            </w:pPr>
          </w:p>
        </w:tc>
        <w:tc>
          <w:tcPr>
            <w:tcW w:w="1417" w:type="dxa"/>
            <w:vMerge w:val="continue"/>
          </w:tcPr>
          <w:p>
            <w:pPr>
              <w:pStyle w:val="84"/>
              <w:spacing w:line="360" w:lineRule="auto"/>
              <w:rPr>
                <w:sz w:val="24"/>
              </w:rPr>
            </w:pPr>
          </w:p>
        </w:tc>
        <w:tc>
          <w:tcPr>
            <w:tcW w:w="1276" w:type="dxa"/>
            <w:vMerge w:val="continue"/>
          </w:tcPr>
          <w:p>
            <w:pPr>
              <w:pStyle w:val="84"/>
              <w:spacing w:line="400" w:lineRule="exact"/>
              <w:rPr>
                <w:sz w:val="24"/>
              </w:rPr>
            </w:pPr>
          </w:p>
        </w:tc>
        <w:tc>
          <w:tcPr>
            <w:tcW w:w="4678" w:type="dxa"/>
          </w:tcPr>
          <w:p>
            <w:pPr>
              <w:pStyle w:val="84"/>
              <w:spacing w:line="400" w:lineRule="exact"/>
              <w:rPr>
                <w:sz w:val="24"/>
              </w:rPr>
            </w:pPr>
            <w:r>
              <w:rPr>
                <w:rFonts w:hint="eastAsia"/>
                <w:sz w:val="24"/>
              </w:rPr>
              <w:t>50％以上可开启外窗室内外表面的风压差大于0．5Pa，2分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pStyle w:val="84"/>
              <w:spacing w:line="360" w:lineRule="auto"/>
              <w:rPr>
                <w:sz w:val="24"/>
              </w:rPr>
            </w:pPr>
          </w:p>
        </w:tc>
        <w:tc>
          <w:tcPr>
            <w:tcW w:w="1276" w:type="dxa"/>
            <w:vMerge w:val="continue"/>
          </w:tcPr>
          <w:p>
            <w:pPr>
              <w:pStyle w:val="84"/>
              <w:spacing w:line="360" w:lineRule="auto"/>
              <w:rPr>
                <w:sz w:val="24"/>
              </w:rPr>
            </w:pPr>
          </w:p>
        </w:tc>
        <w:tc>
          <w:tcPr>
            <w:tcW w:w="1417" w:type="dxa"/>
          </w:tcPr>
          <w:p>
            <w:pPr>
              <w:pStyle w:val="84"/>
              <w:spacing w:line="360" w:lineRule="auto"/>
              <w:rPr>
                <w:sz w:val="24"/>
              </w:rPr>
            </w:pPr>
            <w:r>
              <w:rPr>
                <w:sz w:val="24"/>
              </w:rPr>
              <w:t>8.2.4</w:t>
            </w:r>
            <w:r>
              <w:rPr>
                <w:rFonts w:hint="eastAsia"/>
                <w:sz w:val="24"/>
              </w:rPr>
              <w:t>条-</w:t>
            </w:r>
            <w:r>
              <w:rPr>
                <w:sz w:val="24"/>
              </w:rPr>
              <w:t>1</w:t>
            </w:r>
          </w:p>
        </w:tc>
        <w:tc>
          <w:tcPr>
            <w:tcW w:w="5954" w:type="dxa"/>
            <w:gridSpan w:val="2"/>
          </w:tcPr>
          <w:p>
            <w:pPr>
              <w:pStyle w:val="84"/>
              <w:spacing w:line="360" w:lineRule="auto"/>
              <w:rPr>
                <w:sz w:val="24"/>
              </w:rPr>
            </w:pPr>
            <w:r>
              <w:rPr>
                <w:sz w:val="24"/>
              </w:rPr>
              <w:t>5</w:t>
            </w:r>
            <w:r>
              <w:rPr>
                <w:rFonts w:hint="eastAsia"/>
                <w:sz w:val="24"/>
              </w:rPr>
              <w:t xml:space="preserve">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817" w:type="dxa"/>
            <w:vMerge w:val="continue"/>
          </w:tcPr>
          <w:p>
            <w:pPr>
              <w:pStyle w:val="84"/>
              <w:spacing w:line="360" w:lineRule="auto"/>
              <w:rPr>
                <w:sz w:val="24"/>
              </w:rPr>
            </w:pPr>
          </w:p>
        </w:tc>
        <w:tc>
          <w:tcPr>
            <w:tcW w:w="1276" w:type="dxa"/>
            <w:vMerge w:val="restart"/>
          </w:tcPr>
          <w:p>
            <w:pPr>
              <w:pStyle w:val="84"/>
              <w:spacing w:line="360" w:lineRule="auto"/>
              <w:rPr>
                <w:sz w:val="24"/>
              </w:rPr>
            </w:pPr>
            <w:r>
              <w:rPr>
                <w:rFonts w:hint="eastAsia"/>
                <w:sz w:val="24"/>
              </w:rPr>
              <w:t>DB33/1092-20</w:t>
            </w:r>
            <w:r>
              <w:rPr>
                <w:sz w:val="24"/>
              </w:rPr>
              <w:t>21</w:t>
            </w:r>
          </w:p>
        </w:tc>
        <w:tc>
          <w:tcPr>
            <w:tcW w:w="1417" w:type="dxa"/>
          </w:tcPr>
          <w:p>
            <w:pPr>
              <w:pStyle w:val="84"/>
              <w:spacing w:line="360" w:lineRule="auto"/>
              <w:rPr>
                <w:sz w:val="24"/>
              </w:rPr>
            </w:pPr>
            <w:r>
              <w:rPr>
                <w:sz w:val="24"/>
              </w:rPr>
              <w:t>4.</w:t>
            </w:r>
            <w:r>
              <w:rPr>
                <w:rFonts w:hint="eastAsia"/>
                <w:sz w:val="24"/>
              </w:rPr>
              <w:t>2.</w:t>
            </w:r>
            <w:r>
              <w:rPr>
                <w:sz w:val="24"/>
              </w:rPr>
              <w:t>7</w:t>
            </w:r>
            <w:r>
              <w:rPr>
                <w:rFonts w:hint="eastAsia"/>
                <w:sz w:val="24"/>
              </w:rPr>
              <w:t>条</w:t>
            </w:r>
          </w:p>
        </w:tc>
        <w:tc>
          <w:tcPr>
            <w:tcW w:w="5954" w:type="dxa"/>
            <w:gridSpan w:val="2"/>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817" w:type="dxa"/>
            <w:vMerge w:val="continue"/>
          </w:tcPr>
          <w:p>
            <w:pPr>
              <w:pStyle w:val="84"/>
              <w:spacing w:line="360" w:lineRule="auto"/>
              <w:rPr>
                <w:sz w:val="24"/>
              </w:rPr>
            </w:pPr>
          </w:p>
        </w:tc>
        <w:tc>
          <w:tcPr>
            <w:tcW w:w="1276" w:type="dxa"/>
            <w:vMerge w:val="continue"/>
          </w:tcPr>
          <w:p>
            <w:pPr>
              <w:pStyle w:val="84"/>
              <w:spacing w:line="360" w:lineRule="auto"/>
              <w:rPr>
                <w:sz w:val="24"/>
              </w:rPr>
            </w:pPr>
          </w:p>
        </w:tc>
        <w:tc>
          <w:tcPr>
            <w:tcW w:w="1417" w:type="dxa"/>
          </w:tcPr>
          <w:p>
            <w:pPr>
              <w:pStyle w:val="84"/>
              <w:spacing w:line="360" w:lineRule="auto"/>
              <w:rPr>
                <w:sz w:val="24"/>
              </w:rPr>
            </w:pPr>
            <w:r>
              <w:rPr>
                <w:rFonts w:hint="eastAsia"/>
                <w:sz w:val="24"/>
              </w:rPr>
              <w:t>4</w:t>
            </w:r>
            <w:r>
              <w:rPr>
                <w:sz w:val="24"/>
              </w:rPr>
              <w:t>.2.15</w:t>
            </w:r>
            <w:r>
              <w:rPr>
                <w:rFonts w:hint="eastAsia"/>
                <w:sz w:val="24"/>
              </w:rPr>
              <w:t>条</w:t>
            </w:r>
          </w:p>
        </w:tc>
        <w:tc>
          <w:tcPr>
            <w:tcW w:w="5954" w:type="dxa"/>
            <w:gridSpan w:val="2"/>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pStyle w:val="84"/>
              <w:spacing w:line="360" w:lineRule="auto"/>
              <w:rPr>
                <w:sz w:val="24"/>
              </w:rPr>
            </w:pPr>
            <w:r>
              <w:rPr>
                <w:rFonts w:hint="eastAsia"/>
                <w:sz w:val="24"/>
              </w:rPr>
              <w:t>依据材料</w:t>
            </w:r>
          </w:p>
        </w:tc>
        <w:tc>
          <w:tcPr>
            <w:tcW w:w="8647" w:type="dxa"/>
            <w:gridSpan w:val="4"/>
          </w:tcPr>
          <w:p>
            <w:pPr>
              <w:pStyle w:val="84"/>
              <w:spacing w:line="360" w:lineRule="auto"/>
              <w:ind w:firstLine="480" w:firstLineChars="200"/>
              <w:jc w:val="left"/>
              <w:rPr>
                <w:sz w:val="24"/>
              </w:rPr>
            </w:pPr>
            <w:r>
              <w:rPr>
                <w:rFonts w:hint="eastAsia"/>
                <w:sz w:val="24"/>
              </w:rPr>
              <w:t>设计人员应根据项目实际进行填写：</w:t>
            </w:r>
          </w:p>
          <w:p>
            <w:pPr>
              <w:pStyle w:val="84"/>
              <w:spacing w:line="360" w:lineRule="auto"/>
              <w:ind w:firstLine="480" w:firstLineChars="200"/>
              <w:jc w:val="left"/>
              <w:rPr>
                <w:sz w:val="24"/>
              </w:rPr>
            </w:pPr>
            <w:r>
              <w:rPr>
                <w:rFonts w:hint="eastAsia"/>
                <w:sz w:val="24"/>
              </w:rPr>
              <w:t>1).如果项目只有一排建筑时，可默认为（是）。</w:t>
            </w:r>
          </w:p>
          <w:p>
            <w:pPr>
              <w:pStyle w:val="84"/>
              <w:spacing w:line="360" w:lineRule="auto"/>
              <w:ind w:firstLine="480" w:firstLineChars="200"/>
              <w:jc w:val="left"/>
              <w:rPr>
                <w:sz w:val="24"/>
              </w:rPr>
            </w:pPr>
            <w:r>
              <w:rPr>
                <w:rFonts w:hint="eastAsia"/>
                <w:sz w:val="24"/>
              </w:rPr>
              <w:t>2).如果项目为多排建筑时，设计人员依据相关设计文件、节能评估报告中环境分析中的--风环境模拟计算报告，填写此项内容。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817" w:type="dxa"/>
          </w:tcPr>
          <w:p>
            <w:pPr>
              <w:pStyle w:val="84"/>
              <w:spacing w:line="360" w:lineRule="auto"/>
              <w:rPr>
                <w:sz w:val="24"/>
              </w:rPr>
            </w:pPr>
            <w:r>
              <w:rPr>
                <w:rFonts w:hint="eastAsia"/>
                <w:sz w:val="24"/>
              </w:rPr>
              <w:t>备注</w:t>
            </w:r>
          </w:p>
        </w:tc>
        <w:tc>
          <w:tcPr>
            <w:tcW w:w="8647" w:type="dxa"/>
            <w:gridSpan w:val="4"/>
          </w:tcPr>
          <w:p>
            <w:pPr>
              <w:pStyle w:val="84"/>
              <w:spacing w:line="360" w:lineRule="auto"/>
              <w:ind w:firstLine="480" w:firstLineChars="200"/>
              <w:jc w:val="left"/>
              <w:rPr>
                <w:sz w:val="24"/>
              </w:rPr>
            </w:pPr>
            <w:r>
              <w:rPr>
                <w:rFonts w:hint="eastAsia"/>
                <w:sz w:val="24"/>
              </w:rPr>
              <w:t>值得注意的是，对于半地下室外空间，此条也需要填写。</w:t>
            </w:r>
          </w:p>
          <w:p>
            <w:pPr>
              <w:pStyle w:val="84"/>
              <w:spacing w:line="360" w:lineRule="auto"/>
              <w:ind w:firstLine="480" w:firstLineChars="200"/>
              <w:jc w:val="left"/>
              <w:rPr>
                <w:sz w:val="24"/>
              </w:rPr>
            </w:pPr>
            <w:r>
              <w:rPr>
                <w:rFonts w:hint="eastAsia"/>
                <w:sz w:val="24"/>
              </w:rPr>
              <w:t>冬季建筑物周围人行区距地</w:t>
            </w:r>
            <w:r>
              <w:rPr>
                <w:sz w:val="24"/>
              </w:rPr>
              <w:t xml:space="preserve">l. 5m </w:t>
            </w:r>
            <w:r>
              <w:rPr>
                <w:rFonts w:hint="eastAsia"/>
                <w:sz w:val="24"/>
              </w:rPr>
              <w:t>高处风速</w:t>
            </w:r>
            <w:r>
              <w:rPr>
                <w:sz w:val="24"/>
              </w:rPr>
              <w:t>V&lt;5m</w:t>
            </w:r>
            <w:r>
              <w:rPr>
                <w:rFonts w:hint="eastAsia"/>
                <w:sz w:val="24"/>
              </w:rPr>
              <w:t>/s是不影响人们正常室外活动的基本要求。建筑的迎风面与背风面风压差不超过</w:t>
            </w:r>
            <w:r>
              <w:rPr>
                <w:sz w:val="24"/>
              </w:rPr>
              <w:t xml:space="preserve">5Pa </w:t>
            </w:r>
            <w:r>
              <w:rPr>
                <w:rFonts w:hint="eastAsia"/>
                <w:sz w:val="24"/>
              </w:rPr>
              <w:t>，可以减少冷风向室内渗透。</w:t>
            </w:r>
          </w:p>
          <w:p>
            <w:pPr>
              <w:pStyle w:val="84"/>
              <w:spacing w:line="360" w:lineRule="auto"/>
              <w:ind w:firstLine="480" w:firstLineChars="200"/>
              <w:jc w:val="left"/>
              <w:rPr>
                <w:sz w:val="24"/>
              </w:rPr>
            </w:pPr>
            <w:r>
              <w:rPr>
                <w:rFonts w:hint="eastAsia"/>
                <w:sz w:val="24"/>
              </w:rPr>
              <w:t>夏季、过渡季通风不畅在某些区域形成无风区和涡旋区，将影响室外散热和污染物消散。外窗室内外表面的风压差达到</w:t>
            </w:r>
            <w:r>
              <w:rPr>
                <w:sz w:val="24"/>
              </w:rPr>
              <w:t xml:space="preserve">0. 5Pa </w:t>
            </w:r>
            <w:r>
              <w:rPr>
                <w:rFonts w:hint="eastAsia"/>
                <w:sz w:val="24"/>
              </w:rPr>
              <w:t>有利于建筑的自然通风。</w:t>
            </w:r>
          </w:p>
          <w:p>
            <w:pPr>
              <w:pStyle w:val="84"/>
              <w:spacing w:line="360" w:lineRule="auto"/>
              <w:jc w:val="left"/>
              <w:rPr>
                <w:sz w:val="24"/>
              </w:rPr>
            </w:pPr>
            <w:r>
              <w:rPr>
                <w:rFonts w:hint="eastAsia"/>
                <w:sz w:val="24"/>
              </w:rPr>
              <w:t>表面风压差主要是指平均风压差。</w:t>
            </w:r>
          </w:p>
        </w:tc>
      </w:tr>
    </w:tbl>
    <w:p>
      <w:pPr>
        <w:spacing w:line="360" w:lineRule="auto"/>
        <w:rPr>
          <w:rFonts w:asciiTheme="minorEastAsia" w:hAnsiTheme="minorEastAsia" w:eastAsiaTheme="minorEastAsia"/>
          <w:sz w:val="24"/>
        </w:rPr>
      </w:pPr>
    </w:p>
    <w:p>
      <w:pPr>
        <w:pStyle w:val="271"/>
        <w:numPr>
          <w:ilvl w:val="0"/>
          <w:numId w:val="60"/>
        </w:numPr>
        <w:spacing w:line="360" w:lineRule="auto"/>
        <w:ind w:firstLineChars="0"/>
        <w:rPr>
          <w:rFonts w:asciiTheme="minorEastAsia" w:hAnsiTheme="minorEastAsia" w:eastAsiaTheme="minorEastAsia"/>
          <w:b/>
          <w:sz w:val="24"/>
        </w:rPr>
      </w:pPr>
      <w:r>
        <w:rPr>
          <w:rFonts w:hint="eastAsia" w:asciiTheme="minorEastAsia" w:hAnsiTheme="minorEastAsia" w:eastAsiaTheme="minorEastAsia"/>
          <w:b/>
          <w:sz w:val="24"/>
        </w:rPr>
        <w:t xml:space="preserve"> 场地热环境：</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.1</w:t>
      </w:r>
      <w:r>
        <w:rPr>
          <w:rFonts w:hint="eastAsia" w:asciiTheme="minorEastAsia" w:hAnsiTheme="minorEastAsia" w:eastAsiaTheme="minorEastAsia"/>
          <w:sz w:val="24"/>
        </w:rPr>
        <w:t>降低热岛强度：</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 xml:space="preserve">.1.1 </w:t>
      </w:r>
      <w:r>
        <w:rPr>
          <w:rFonts w:hint="eastAsia" w:asciiTheme="minorEastAsia" w:hAnsiTheme="minorEastAsia" w:eastAsiaTheme="minorEastAsia"/>
          <w:sz w:val="24"/>
        </w:rPr>
        <w:t>场地中处于建筑阴影区外的步道、游憩场、庭院、广场等室外活动场地设有乔木、花架等遮阴措施的面积比例；</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 xml:space="preserve">.1.2 </w:t>
      </w:r>
      <w:r>
        <w:rPr>
          <w:rFonts w:hint="eastAsia" w:asciiTheme="minorEastAsia" w:hAnsiTheme="minorEastAsia" w:eastAsiaTheme="minorEastAsia"/>
          <w:sz w:val="24"/>
        </w:rPr>
        <w:t>屋顶的绿化面积、太阳能板水平投影面积、屋面设备占用面积以及太阳能辐射反射系数不小于0.4的屋面面积合计达到75％；</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.1.3</w:t>
      </w:r>
      <w:r>
        <w:rPr>
          <w:rFonts w:hint="eastAsia" w:asciiTheme="minorEastAsia" w:hAnsiTheme="minorEastAsia" w:eastAsiaTheme="minorEastAsia"/>
          <w:sz w:val="24"/>
        </w:rPr>
        <w:t xml:space="preserve"> 场地中处于建筑阴影区外的机动车道，路面太阳辐射反射系数不应小于0.4；设有遮阴面积较大的行道树的路段长度超过70％；</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.1.4</w:t>
      </w:r>
      <w:r>
        <w:rPr>
          <w:rFonts w:hint="eastAsia" w:asciiTheme="minorEastAsia" w:hAnsiTheme="minorEastAsia" w:eastAsiaTheme="minorEastAsia"/>
          <w:sz w:val="24"/>
        </w:rPr>
        <w:t>空调室外机未占用公共人行道；建筑物内部的通道、出口等公用空间未安装空调室外机；空调器室外机与室外通道地面的距离大于2.5米</w:t>
      </w:r>
      <w:r>
        <w:rPr>
          <w:rFonts w:hint="eastAsia" w:asciiTheme="minorEastAsia" w:hAnsiTheme="minorEastAsia" w:eastAsiaTheme="minorEastAsia"/>
          <w:sz w:val="24"/>
          <w:lang w:eastAsia="zh-Hans"/>
        </w:rPr>
        <w:t>；</w:t>
      </w:r>
      <w:r>
        <w:rPr>
          <w:rFonts w:asciiTheme="minorEastAsia" w:hAnsiTheme="minorEastAsia" w:eastAsiaTheme="minorEastAsia"/>
          <w:sz w:val="24"/>
        </w:rPr>
        <w:t xml:space="preserve"> </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.1.</w:t>
      </w:r>
      <w:r>
        <w:rPr>
          <w:rFonts w:hint="eastAsia" w:asciiTheme="minorEastAsia" w:hAnsiTheme="minorEastAsia" w:eastAsiaTheme="minorEastAsia"/>
          <w:sz w:val="24"/>
        </w:rPr>
        <w:t>5根据相关规定进行场地热环境模拟预测，分析夏季典型日的热岛强度和室外热舒适性，优化规划设计方案；</w:t>
      </w:r>
    </w:p>
    <w:p>
      <w:pPr>
        <w:spacing w:line="360" w:lineRule="auto"/>
        <w:ind w:firstLine="420"/>
        <w:rPr>
          <w:rFonts w:asciiTheme="minorEastAsia" w:hAnsiTheme="minorEastAsia" w:eastAsiaTheme="minorEastAsia"/>
          <w:sz w:val="24"/>
        </w:rPr>
      </w:pP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026"/>
        <w:gridCol w:w="1665"/>
        <w:gridCol w:w="4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restart"/>
          </w:tcPr>
          <w:p>
            <w:pPr>
              <w:pStyle w:val="84"/>
              <w:spacing w:line="360" w:lineRule="auto"/>
              <w:rPr>
                <w:sz w:val="24"/>
              </w:rPr>
            </w:pPr>
            <w:r>
              <w:rPr>
                <w:rFonts w:hint="eastAsia"/>
                <w:sz w:val="24"/>
              </w:rPr>
              <w:t>条文来源</w:t>
            </w:r>
          </w:p>
        </w:tc>
        <w:tc>
          <w:tcPr>
            <w:tcW w:w="2026" w:type="dxa"/>
            <w:vMerge w:val="restart"/>
          </w:tcPr>
          <w:p>
            <w:pPr>
              <w:pStyle w:val="84"/>
              <w:spacing w:line="360" w:lineRule="auto"/>
              <w:rPr>
                <w:sz w:val="24"/>
              </w:rPr>
            </w:pPr>
            <w:r>
              <w:rPr>
                <w:rFonts w:hint="eastAsia"/>
                <w:sz w:val="24"/>
              </w:rPr>
              <w:t>GB/T 50378-201</w:t>
            </w:r>
            <w:r>
              <w:rPr>
                <w:sz w:val="24"/>
              </w:rPr>
              <w:t>9</w:t>
            </w:r>
          </w:p>
        </w:tc>
        <w:tc>
          <w:tcPr>
            <w:tcW w:w="1665" w:type="dxa"/>
            <w:vMerge w:val="restart"/>
          </w:tcPr>
          <w:p>
            <w:pPr>
              <w:pStyle w:val="84"/>
              <w:spacing w:line="360" w:lineRule="auto"/>
              <w:rPr>
                <w:sz w:val="24"/>
              </w:rPr>
            </w:pPr>
            <w:r>
              <w:rPr>
                <w:sz w:val="24"/>
              </w:rPr>
              <w:t>8.</w:t>
            </w:r>
            <w:r>
              <w:rPr>
                <w:rFonts w:hint="eastAsia"/>
                <w:sz w:val="24"/>
              </w:rPr>
              <w:t>2.</w:t>
            </w:r>
            <w:r>
              <w:rPr>
                <w:sz w:val="24"/>
              </w:rPr>
              <w:t>9</w:t>
            </w:r>
            <w:r>
              <w:rPr>
                <w:rFonts w:hint="eastAsia"/>
                <w:sz w:val="24"/>
              </w:rPr>
              <w:t>条</w:t>
            </w:r>
          </w:p>
        </w:tc>
        <w:tc>
          <w:tcPr>
            <w:tcW w:w="4430" w:type="dxa"/>
          </w:tcPr>
          <w:p>
            <w:pPr>
              <w:pStyle w:val="84"/>
              <w:spacing w:line="360" w:lineRule="auto"/>
              <w:rPr>
                <w:sz w:val="24"/>
              </w:rPr>
            </w:pPr>
            <w:r>
              <w:rPr>
                <w:rFonts w:hint="eastAsia"/>
                <w:sz w:val="24"/>
              </w:rPr>
              <w:t>场地中处于建筑阴影区外的步道、游憩场、庭院、广场等室外活动场地设有乔木、花架等遮阴措施的面积比例达到10％，2分；达到20％，3分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1665" w:type="dxa"/>
            <w:vMerge w:val="continue"/>
          </w:tcPr>
          <w:p>
            <w:pPr>
              <w:pStyle w:val="84"/>
              <w:spacing w:line="360" w:lineRule="auto"/>
              <w:rPr>
                <w:sz w:val="24"/>
              </w:rPr>
            </w:pPr>
          </w:p>
        </w:tc>
        <w:tc>
          <w:tcPr>
            <w:tcW w:w="4430" w:type="dxa"/>
          </w:tcPr>
          <w:p>
            <w:pPr>
              <w:pStyle w:val="84"/>
              <w:spacing w:line="360" w:lineRule="auto"/>
              <w:rPr>
                <w:sz w:val="24"/>
              </w:rPr>
            </w:pPr>
            <w:r>
              <w:rPr>
                <w:rFonts w:hint="eastAsia"/>
                <w:sz w:val="24"/>
              </w:rPr>
              <w:t>场地中处于建筑阴影区外的机动车道，路面太阳辐射反射系数不小于0．4或设有遮阴面积较大的行道树的路段长度超过70％，3分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1665" w:type="dxa"/>
            <w:vMerge w:val="continue"/>
          </w:tcPr>
          <w:p>
            <w:pPr>
              <w:pStyle w:val="84"/>
              <w:spacing w:line="360" w:lineRule="auto"/>
              <w:rPr>
                <w:sz w:val="24"/>
              </w:rPr>
            </w:pPr>
          </w:p>
        </w:tc>
        <w:tc>
          <w:tcPr>
            <w:tcW w:w="4430" w:type="dxa"/>
          </w:tcPr>
          <w:p>
            <w:pPr>
              <w:pStyle w:val="84"/>
              <w:spacing w:line="360" w:lineRule="auto"/>
              <w:rPr>
                <w:sz w:val="24"/>
              </w:rPr>
            </w:pPr>
            <w:r>
              <w:rPr>
                <w:rFonts w:hint="eastAsia"/>
                <w:sz w:val="24"/>
              </w:rPr>
              <w:t>屋顶的绿化面积、太阳能板水平投影面积以及太阳辐射反射系数≥0．4的屋面面积合计达到75％，4分。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tcPr>
          <w:p>
            <w:pPr>
              <w:pStyle w:val="84"/>
              <w:spacing w:line="360" w:lineRule="auto"/>
              <w:rPr>
                <w:sz w:val="24"/>
              </w:rPr>
            </w:pPr>
            <w:r>
              <w:rPr>
                <w:rFonts w:hint="eastAsia"/>
                <w:sz w:val="24"/>
              </w:rPr>
              <w:t>DB33/1092-20</w:t>
            </w:r>
            <w:r>
              <w:rPr>
                <w:sz w:val="24"/>
              </w:rPr>
              <w:t>21</w:t>
            </w:r>
          </w:p>
        </w:tc>
        <w:tc>
          <w:tcPr>
            <w:tcW w:w="1665" w:type="dxa"/>
          </w:tcPr>
          <w:p>
            <w:pPr>
              <w:pStyle w:val="84"/>
              <w:spacing w:line="360" w:lineRule="auto"/>
              <w:rPr>
                <w:sz w:val="24"/>
              </w:rPr>
            </w:pPr>
            <w:r>
              <w:rPr>
                <w:sz w:val="24"/>
              </w:rPr>
              <w:t>4.</w:t>
            </w:r>
            <w:r>
              <w:rPr>
                <w:rFonts w:hint="eastAsia"/>
                <w:sz w:val="24"/>
              </w:rPr>
              <w:t>2.</w:t>
            </w:r>
            <w:r>
              <w:rPr>
                <w:sz w:val="24"/>
              </w:rPr>
              <w:t>9</w:t>
            </w:r>
            <w:r>
              <w:rPr>
                <w:rFonts w:hint="eastAsia"/>
                <w:sz w:val="24"/>
              </w:rPr>
              <w:t>条</w:t>
            </w:r>
          </w:p>
        </w:tc>
        <w:tc>
          <w:tcPr>
            <w:tcW w:w="4430"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依据材料</w:t>
            </w:r>
          </w:p>
        </w:tc>
        <w:tc>
          <w:tcPr>
            <w:tcW w:w="8121" w:type="dxa"/>
            <w:gridSpan w:val="3"/>
          </w:tcPr>
          <w:p>
            <w:pPr>
              <w:pStyle w:val="84"/>
              <w:spacing w:line="360" w:lineRule="auto"/>
              <w:ind w:firstLine="480" w:firstLineChars="200"/>
              <w:jc w:val="left"/>
              <w:rPr>
                <w:sz w:val="24"/>
              </w:rPr>
            </w:pPr>
            <w:r>
              <w:rPr>
                <w:rFonts w:hint="eastAsia"/>
                <w:sz w:val="24"/>
              </w:rPr>
              <w:t>设计人员依据项目实施的室外景观总平面图、乔木种植平面图、构筑物设计详图（需构筑物投影面积值）、户外活动场地遮阴面积比例计算书；屋面做法详图及道路铺装详图；屋面、道路表面建材的太阳辐射反射系数统计表等，根据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备注</w:t>
            </w:r>
          </w:p>
        </w:tc>
        <w:tc>
          <w:tcPr>
            <w:tcW w:w="8121" w:type="dxa"/>
            <w:gridSpan w:val="3"/>
          </w:tcPr>
          <w:p>
            <w:pPr>
              <w:pStyle w:val="84"/>
              <w:spacing w:line="360" w:lineRule="auto"/>
              <w:ind w:firstLine="480" w:firstLineChars="200"/>
              <w:jc w:val="left"/>
              <w:rPr>
                <w:sz w:val="24"/>
              </w:rPr>
            </w:pPr>
            <w:r>
              <w:rPr>
                <w:rFonts w:hint="eastAsia"/>
                <w:sz w:val="24"/>
              </w:rPr>
              <w:t>如景观图未与土建施工图同时出图时，应在土建图中写明相应措施为景观设计的前置要求，并在总平面图及设计说明中表达。</w:t>
            </w:r>
          </w:p>
          <w:p>
            <w:pPr>
              <w:pStyle w:val="84"/>
              <w:spacing w:line="360" w:lineRule="auto"/>
              <w:ind w:firstLine="480" w:firstLineChars="200"/>
              <w:jc w:val="left"/>
              <w:rPr>
                <w:sz w:val="24"/>
              </w:rPr>
            </w:pPr>
            <w:r>
              <w:rPr>
                <w:rFonts w:hint="eastAsia"/>
                <w:sz w:val="24"/>
              </w:rPr>
              <w:t>填表时当前面条都满足时，就无需再选</w:t>
            </w:r>
            <w:r>
              <w:rPr>
                <w:sz w:val="24"/>
              </w:rPr>
              <w:t>10.1</w:t>
            </w:r>
            <w:r>
              <w:rPr>
                <w:rFonts w:hint="eastAsia"/>
                <w:sz w:val="24"/>
              </w:rPr>
              <w:t>项中的措施；如若为不满足，则在需在</w:t>
            </w:r>
            <w:r>
              <w:rPr>
                <w:sz w:val="24"/>
              </w:rPr>
              <w:t>10.1</w:t>
            </w:r>
            <w:r>
              <w:rPr>
                <w:rFonts w:hint="eastAsia"/>
                <w:sz w:val="24"/>
              </w:rPr>
              <w:t>项中选择采取的对应措施。</w:t>
            </w:r>
          </w:p>
          <w:p>
            <w:pPr>
              <w:pStyle w:val="84"/>
              <w:spacing w:line="360" w:lineRule="auto"/>
              <w:ind w:firstLine="480" w:firstLineChars="200"/>
              <w:jc w:val="left"/>
              <w:rPr>
                <w:sz w:val="24"/>
              </w:rPr>
            </w:pPr>
            <w:r>
              <w:rPr>
                <w:rFonts w:hint="eastAsia"/>
                <w:sz w:val="24"/>
              </w:rPr>
              <w:t>户外活动场地包括：步道、庭院、广场、游慧、场和停车场。乔木遮阴面积按照成年乔木的树冠正投影面积计算；构筑物遮阴面积按照构筑物正投影面积计算。</w:t>
            </w:r>
          </w:p>
        </w:tc>
      </w:tr>
    </w:tbl>
    <w:p>
      <w:pPr>
        <w:spacing w:line="360" w:lineRule="auto"/>
        <w:ind w:firstLine="420"/>
        <w:rPr>
          <w:rFonts w:asciiTheme="minorEastAsia" w:hAnsiTheme="minorEastAsia" w:eastAsiaTheme="minorEastAsia"/>
          <w:sz w:val="24"/>
        </w:rPr>
      </w:pPr>
    </w:p>
    <w:p>
      <w:pPr>
        <w:pStyle w:val="271"/>
        <w:numPr>
          <w:ilvl w:val="0"/>
          <w:numId w:val="60"/>
        </w:numPr>
        <w:spacing w:line="360" w:lineRule="auto"/>
        <w:ind w:firstLineChars="0"/>
        <w:rPr>
          <w:rFonts w:asciiTheme="minorEastAsia" w:hAnsiTheme="minorEastAsia" w:eastAsiaTheme="minorEastAsia"/>
          <w:b/>
          <w:sz w:val="24"/>
        </w:rPr>
      </w:pPr>
      <w:r>
        <w:rPr>
          <w:rFonts w:hint="eastAsia" w:asciiTheme="minorEastAsia" w:hAnsiTheme="minorEastAsia" w:eastAsiaTheme="minorEastAsia"/>
          <w:b/>
          <w:sz w:val="24"/>
        </w:rPr>
        <w:t>场地光环境：</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11.1</w:t>
      </w:r>
      <w:r>
        <w:rPr>
          <w:rFonts w:hint="eastAsia" w:asciiTheme="minorEastAsia" w:hAnsiTheme="minorEastAsia" w:eastAsiaTheme="minorEastAsia"/>
          <w:sz w:val="24"/>
        </w:rPr>
        <w:t>合理进行场地和道路照明设计，室外照明光污染应符合现行国家标准《室外照明干扰光限制规范》GB/T 35626、现行行业标准《城市夜景照明设计规范》JGJ/T 163和现行地方标准《环境照明工程设计规范》DB</w:t>
      </w:r>
      <w:r>
        <w:rPr>
          <w:rFonts w:asciiTheme="minorEastAsia" w:hAnsiTheme="minorEastAsia" w:eastAsiaTheme="minorEastAsia"/>
          <w:sz w:val="24"/>
        </w:rPr>
        <w:t xml:space="preserve"> </w:t>
      </w:r>
      <w:r>
        <w:rPr>
          <w:rFonts w:hint="eastAsia" w:asciiTheme="minorEastAsia" w:hAnsiTheme="minorEastAsia" w:eastAsiaTheme="minorEastAsia"/>
          <w:sz w:val="24"/>
        </w:rPr>
        <w:t>33/T 1055的相关规定。</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664" w:type="dxa"/>
          </w:tcPr>
          <w:p>
            <w:pPr>
              <w:pStyle w:val="84"/>
              <w:spacing w:line="360" w:lineRule="auto"/>
              <w:rPr>
                <w:sz w:val="24"/>
              </w:rPr>
            </w:pPr>
            <w:r>
              <w:rPr>
                <w:rFonts w:hint="eastAsia"/>
                <w:sz w:val="24"/>
              </w:rPr>
              <w:t>8</w:t>
            </w:r>
            <w:r>
              <w:rPr>
                <w:sz w:val="24"/>
              </w:rPr>
              <w:t>.2.7</w:t>
            </w:r>
            <w:r>
              <w:rPr>
                <w:rFonts w:hint="eastAsia"/>
                <w:sz w:val="24"/>
              </w:rPr>
              <w:t>条-</w:t>
            </w:r>
            <w:r>
              <w:rPr>
                <w:sz w:val="24"/>
              </w:rPr>
              <w:t>2</w:t>
            </w:r>
          </w:p>
        </w:tc>
        <w:tc>
          <w:tcPr>
            <w:tcW w:w="4431" w:type="dxa"/>
          </w:tcPr>
          <w:p>
            <w:pPr>
              <w:pStyle w:val="84"/>
              <w:spacing w:line="360" w:lineRule="auto"/>
              <w:rPr>
                <w:sz w:val="24"/>
              </w:rPr>
            </w:pPr>
            <w:r>
              <w:rPr>
                <w:rFonts w:hint="eastAsia"/>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tcPr>
          <w:p>
            <w:pPr>
              <w:pStyle w:val="84"/>
              <w:spacing w:line="360" w:lineRule="auto"/>
              <w:rPr>
                <w:sz w:val="24"/>
              </w:rPr>
            </w:pPr>
            <w:r>
              <w:rPr>
                <w:rFonts w:hint="eastAsia"/>
                <w:sz w:val="24"/>
              </w:rPr>
              <w:t>DB33/1092-20</w:t>
            </w:r>
            <w:r>
              <w:rPr>
                <w:sz w:val="24"/>
              </w:rPr>
              <w:t>21</w:t>
            </w:r>
          </w:p>
        </w:tc>
        <w:tc>
          <w:tcPr>
            <w:tcW w:w="1664" w:type="dxa"/>
          </w:tcPr>
          <w:p>
            <w:pPr>
              <w:pStyle w:val="84"/>
              <w:spacing w:line="360" w:lineRule="auto"/>
              <w:rPr>
                <w:sz w:val="24"/>
              </w:rPr>
            </w:pPr>
            <w:r>
              <w:rPr>
                <w:rFonts w:hint="eastAsia"/>
                <w:sz w:val="24"/>
              </w:rPr>
              <w:t>4.2.</w:t>
            </w:r>
            <w:r>
              <w:rPr>
                <w:sz w:val="24"/>
              </w:rPr>
              <w:t>6</w:t>
            </w:r>
            <w:r>
              <w:rPr>
                <w:rFonts w:hint="eastAsia"/>
                <w:sz w:val="24"/>
              </w:rPr>
              <w:t>条-</w:t>
            </w:r>
            <w:r>
              <w:rPr>
                <w:sz w:val="24"/>
              </w:rPr>
              <w:t>1</w:t>
            </w:r>
          </w:p>
        </w:tc>
        <w:tc>
          <w:tcPr>
            <w:tcW w:w="4431"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jc w:val="left"/>
              <w:rPr>
                <w:sz w:val="24"/>
              </w:rPr>
            </w:pPr>
            <w:r>
              <w:rPr>
                <w:rFonts w:hint="eastAsia"/>
                <w:sz w:val="24"/>
              </w:rPr>
              <w:t xml:space="preserve">   </w:t>
            </w:r>
            <w:r>
              <w:rPr>
                <w:sz w:val="24"/>
              </w:rPr>
              <w:t xml:space="preserve"> </w:t>
            </w:r>
            <w:r>
              <w:rPr>
                <w:rFonts w:hint="eastAsia"/>
                <w:sz w:val="24"/>
              </w:rPr>
              <w:t>设计人员应根据相关设计文件、光污染分析报告，以及按照项目实际填写此项内容。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jc w:val="left"/>
              <w:rPr>
                <w:sz w:val="24"/>
              </w:rPr>
            </w:pPr>
            <w:r>
              <w:rPr>
                <w:rFonts w:hint="eastAsia"/>
                <w:sz w:val="24"/>
              </w:rPr>
              <w:t xml:space="preserve">    </w:t>
            </w:r>
            <w:r>
              <w:rPr>
                <w:sz w:val="24"/>
              </w:rPr>
              <w:t>室外夜景照明、广告照明等产生的眩光会让人感到不舒服，还会使人降低对灯光信号等重要信息的辨识力，带来安全隐患。宿舍、教学楼等不宜设置泛光照明。 应根据室外环境的照明要求进行室外照明的规划和设计。建筑物 立面、广告牌、街景、园林绿地、喷泉水景、雕塑小品等景观照明的 规划，应根据功能、所在位置、环境条件等确定景观照明的亮度水平； 重点建筑照明的亮度水平及其色彩与园林绿地、喷泉水景、雕塑小品 等的照明亮度及其它们之间的过渡空间亮度水平应协调。建筑物立面泛光照明、场地和道路照明设计应分析所选用的灯具的光强分布曲线，确定灯具的瞄准角（投射角、仰角）、挡光板设置、设置位置等，控制灯具直接射向空中的光线（溢出光）数量。另外，还应考核建筑物立面照明、场地和道路照明对周围居住建筑窗户上产生的垂直照度。</w:t>
            </w:r>
          </w:p>
        </w:tc>
      </w:tr>
    </w:tbl>
    <w:p>
      <w:pPr>
        <w:pStyle w:val="78"/>
        <w:tabs>
          <w:tab w:val="left" w:pos="360"/>
        </w:tabs>
        <w:spacing w:before="124" w:beforeLines="40" w:after="124" w:afterLines="40" w:line="360" w:lineRule="auto"/>
        <w:ind w:firstLine="0" w:firstLineChars="0"/>
        <w:rPr>
          <w:sz w:val="24"/>
        </w:rPr>
      </w:pPr>
      <w:r>
        <w:rPr>
          <w:rFonts w:hint="eastAsia" w:asciiTheme="minorEastAsia" w:hAnsiTheme="minorEastAsia" w:eastAsiaTheme="minorEastAsia"/>
          <w:b/>
          <w:sz w:val="24"/>
        </w:rPr>
        <w:t>11. 其他需要说明的内容：</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填表时，当前面表格条目内容已涵盖项目中的绿色技术措施，就无需再填写；如有未在表格内容项中表达的，则可在此项中填写其他绿色设计措施。</w:t>
      </w:r>
    </w:p>
    <w:p>
      <w:pPr>
        <w:pStyle w:val="271"/>
        <w:spacing w:line="360" w:lineRule="auto"/>
        <w:ind w:left="360" w:firstLine="0" w:firstLineChars="0"/>
        <w:rPr>
          <w:rFonts w:asciiTheme="minorEastAsia" w:hAnsiTheme="minorEastAsia" w:eastAsiaTheme="minorEastAsia"/>
          <w:sz w:val="24"/>
        </w:rPr>
      </w:pPr>
    </w:p>
    <w:p>
      <w:pPr>
        <w:pStyle w:val="267"/>
        <w:numPr>
          <w:ilvl w:val="0"/>
          <w:numId w:val="61"/>
        </w:numPr>
      </w:pPr>
      <w:r>
        <w:t>建筑设计技术措施</w:t>
      </w:r>
    </w:p>
    <w:p>
      <w:pPr>
        <w:pStyle w:val="267"/>
        <w:jc w:val="both"/>
        <w:rPr>
          <w:lang w:eastAsia="zh-Hans"/>
        </w:rPr>
      </w:pPr>
      <w:r>
        <w:rPr>
          <w:rFonts w:hint="eastAsia"/>
          <w:lang w:eastAsia="zh-Hans"/>
        </w:rPr>
        <w:t>控制项内容：</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建筑设计结合场地自然条件和建筑功能需求进行节能设计，建筑节能设计满足</w:t>
      </w:r>
      <w:r>
        <w:rPr>
          <w:rFonts w:asciiTheme="minorEastAsia" w:hAnsiTheme="minorEastAsia" w:eastAsiaTheme="minorEastAsia"/>
          <w:sz w:val="24"/>
        </w:rPr>
        <w:t>现行国家和</w:t>
      </w:r>
      <w:r>
        <w:rPr>
          <w:rFonts w:hint="eastAsia" w:asciiTheme="minorEastAsia" w:hAnsiTheme="minorEastAsia" w:eastAsiaTheme="minorEastAsia"/>
          <w:sz w:val="24"/>
        </w:rPr>
        <w:t>浙江省</w:t>
      </w:r>
      <w:r>
        <w:rPr>
          <w:rFonts w:asciiTheme="minorEastAsia" w:hAnsiTheme="minorEastAsia" w:eastAsiaTheme="minorEastAsia"/>
          <w:sz w:val="24"/>
        </w:rPr>
        <w:t>建筑节能设计标准的要求</w:t>
      </w:r>
      <w:r>
        <w:rPr>
          <w:rFonts w:hint="eastAsia" w:asciiTheme="minorEastAsia" w:hAnsiTheme="minorEastAsia" w:eastAsiaTheme="minorEastAsia"/>
          <w:sz w:val="24"/>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984"/>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447" w:type="dxa"/>
          </w:tcPr>
          <w:p>
            <w:pPr>
              <w:pStyle w:val="84"/>
              <w:spacing w:line="360" w:lineRule="auto"/>
              <w:rPr>
                <w:sz w:val="24"/>
              </w:rPr>
            </w:pPr>
            <w:r>
              <w:rPr>
                <w:rFonts w:hint="eastAsia"/>
                <w:sz w:val="24"/>
              </w:rPr>
              <w:t>GB/T 50378-201</w:t>
            </w:r>
            <w:r>
              <w:rPr>
                <w:sz w:val="24"/>
              </w:rPr>
              <w:t>9</w:t>
            </w:r>
          </w:p>
        </w:tc>
        <w:tc>
          <w:tcPr>
            <w:tcW w:w="1984" w:type="dxa"/>
          </w:tcPr>
          <w:p>
            <w:pPr>
              <w:pStyle w:val="84"/>
              <w:spacing w:line="360" w:lineRule="auto"/>
              <w:rPr>
                <w:sz w:val="24"/>
              </w:rPr>
            </w:pPr>
            <w:r>
              <w:rPr>
                <w:sz w:val="24"/>
              </w:rPr>
              <w:t>7.1.1</w:t>
            </w:r>
            <w:r>
              <w:rPr>
                <w:rFonts w:hint="eastAsia"/>
                <w:sz w:val="24"/>
              </w:rPr>
              <w:t xml:space="preserve">条 </w:t>
            </w:r>
          </w:p>
        </w:tc>
        <w:tc>
          <w:tcPr>
            <w:tcW w:w="3686"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984" w:type="dxa"/>
          </w:tcPr>
          <w:p>
            <w:pPr>
              <w:pStyle w:val="84"/>
              <w:spacing w:line="360" w:lineRule="auto"/>
              <w:rPr>
                <w:sz w:val="24"/>
                <w:lang w:eastAsia="zh-Hans"/>
              </w:rPr>
            </w:pPr>
            <w:r>
              <w:rPr>
                <w:sz w:val="24"/>
              </w:rPr>
              <w:t>5.1.3</w:t>
            </w:r>
            <w:r>
              <w:rPr>
                <w:rFonts w:hint="eastAsia"/>
                <w:sz w:val="24"/>
              </w:rPr>
              <w:t>条</w:t>
            </w:r>
          </w:p>
        </w:tc>
        <w:tc>
          <w:tcPr>
            <w:tcW w:w="3686"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lang w:eastAsia="zh-Hans"/>
              </w:rPr>
            </w:pPr>
            <w:r>
              <w:rPr>
                <w:rFonts w:hint="eastAsia"/>
                <w:sz w:val="24"/>
              </w:rPr>
              <w:t>设计人员应依据项目的相关设计文件（总图、建筑鸟瞰图、单体效果图、人群视点透视图、平立剖图纸、设计说明等）、节能计算书、建筑日照模拟计算报告、优化设计报告</w:t>
            </w:r>
            <w:r>
              <w:rPr>
                <w:rFonts w:hint="eastAsia"/>
                <w:sz w:val="24"/>
                <w:lang w:eastAsia="zh-Hans"/>
              </w:rPr>
              <w:t>等，</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建筑设计时应强化“空间节能优先”原则的重点要求。优化体形、空间平面布局，包括合理控制建筑空调供暖的规模、区域和时间，可以实现对建筑的自然通风和天然采光的优先利用，降低供暖空调照明负荷，降低建筑能耗。</w:t>
            </w:r>
          </w:p>
          <w:p>
            <w:pPr>
              <w:pStyle w:val="84"/>
              <w:spacing w:line="360" w:lineRule="auto"/>
              <w:ind w:firstLine="480" w:firstLineChars="200"/>
              <w:jc w:val="left"/>
              <w:rPr>
                <w:sz w:val="24"/>
                <w:lang w:eastAsia="zh-Hans"/>
              </w:rPr>
            </w:pPr>
            <w:r>
              <w:rPr>
                <w:rFonts w:hint="eastAsia"/>
                <w:sz w:val="24"/>
                <w:lang w:eastAsia="zh-Hans"/>
              </w:rPr>
              <w:t>因地制宜是绿色建筑设计首先要考虑的因素，不仅仅需要考虑当地气候条件，其建筑的形体、尺度还需要综合场地周边的传统文化、地方特色统筹协调，建筑物的平面布局应结合场地地形、环境等自然条件制约，并权衡各因素之间的相互关系，通过多方面分析、优化建筑的规划设计。绿色建筑设计还应在综合考虑基地容积率、限高、绿化率、交通等功能因素基础上，统筹考虑冬夏季节节能需求，优化设计体形、朝向和窗墙比。</w:t>
            </w:r>
          </w:p>
          <w:p>
            <w:pPr>
              <w:pStyle w:val="84"/>
              <w:spacing w:line="360" w:lineRule="auto"/>
              <w:ind w:firstLine="480" w:firstLineChars="200"/>
              <w:jc w:val="left"/>
              <w:rPr>
                <w:sz w:val="24"/>
                <w:lang w:eastAsia="zh-Hans"/>
              </w:rPr>
            </w:pPr>
            <w:r>
              <w:rPr>
                <w:rFonts w:hint="eastAsia"/>
                <w:sz w:val="24"/>
                <w:lang w:eastAsia="zh-Hans"/>
              </w:rPr>
              <w:t>本条涉及的建筑节能标准，包括国家现行标准《公共建筑节能设计标准》GB 50189 、《严寒和寒冷地区居住建筑节能设计标准》JGJ 26、《夏热冬冷地区居住建筑节能设计标准》JGJ 134、《夏热冬暖地区居住建筑节能设计标准》JGJ 75等。</w:t>
            </w:r>
          </w:p>
        </w:tc>
      </w:tr>
    </w:tbl>
    <w:p>
      <w:pPr>
        <w:pStyle w:val="90"/>
        <w:spacing w:line="360" w:lineRule="auto"/>
        <w:ind w:left="420"/>
        <w:rPr>
          <w:rFonts w:asciiTheme="minorEastAsia" w:hAnsiTheme="minorEastAsia" w:eastAsiaTheme="minorEastAsia"/>
          <w:sz w:val="24"/>
          <w:szCs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屋顶和外墙隔热性能满足现行国家标准《民用建筑热工设计规范》</w:t>
      </w:r>
      <w:r>
        <w:rPr>
          <w:rFonts w:asciiTheme="minorEastAsia" w:hAnsiTheme="minorEastAsia" w:eastAsiaTheme="minorEastAsia"/>
          <w:sz w:val="24"/>
        </w:rPr>
        <w:t xml:space="preserve">GB 50176 </w:t>
      </w:r>
      <w:r>
        <w:rPr>
          <w:rFonts w:hint="eastAsia" w:asciiTheme="minorEastAsia" w:hAnsiTheme="minorEastAsia" w:eastAsiaTheme="minorEastAsia"/>
          <w:sz w:val="24"/>
        </w:rPr>
        <w:t>的要求。</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589"/>
        <w:gridCol w:w="1984"/>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589" w:type="dxa"/>
          </w:tcPr>
          <w:p>
            <w:pPr>
              <w:pStyle w:val="84"/>
              <w:spacing w:line="360" w:lineRule="auto"/>
              <w:rPr>
                <w:sz w:val="24"/>
              </w:rPr>
            </w:pPr>
            <w:r>
              <w:rPr>
                <w:rFonts w:hint="eastAsia"/>
                <w:sz w:val="24"/>
              </w:rPr>
              <w:t>GB/T 50378-201</w:t>
            </w:r>
            <w:r>
              <w:rPr>
                <w:sz w:val="24"/>
              </w:rPr>
              <w:t>9</w:t>
            </w:r>
          </w:p>
        </w:tc>
        <w:tc>
          <w:tcPr>
            <w:tcW w:w="1984" w:type="dxa"/>
          </w:tcPr>
          <w:p>
            <w:pPr>
              <w:pStyle w:val="84"/>
              <w:spacing w:line="360" w:lineRule="auto"/>
              <w:rPr>
                <w:sz w:val="24"/>
              </w:rPr>
            </w:pPr>
            <w:r>
              <w:rPr>
                <w:sz w:val="24"/>
              </w:rPr>
              <w:t>5.1.7</w:t>
            </w:r>
            <w:r>
              <w:rPr>
                <w:rFonts w:hint="eastAsia"/>
                <w:sz w:val="24"/>
              </w:rPr>
              <w:t xml:space="preserve">条 </w:t>
            </w:r>
          </w:p>
        </w:tc>
        <w:tc>
          <w:tcPr>
            <w:tcW w:w="3544"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589"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984" w:type="dxa"/>
          </w:tcPr>
          <w:p>
            <w:pPr>
              <w:pStyle w:val="84"/>
              <w:spacing w:line="360" w:lineRule="auto"/>
              <w:rPr>
                <w:sz w:val="24"/>
                <w:lang w:eastAsia="zh-Hans"/>
              </w:rPr>
            </w:pPr>
            <w:r>
              <w:rPr>
                <w:sz w:val="24"/>
              </w:rPr>
              <w:t>5.1.4</w:t>
            </w:r>
            <w:r>
              <w:rPr>
                <w:rFonts w:hint="eastAsia"/>
                <w:sz w:val="24"/>
              </w:rPr>
              <w:t>条</w:t>
            </w:r>
          </w:p>
        </w:tc>
        <w:tc>
          <w:tcPr>
            <w:tcW w:w="3544"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lang w:eastAsia="zh-Hans"/>
              </w:rPr>
            </w:pPr>
            <w:r>
              <w:rPr>
                <w:rFonts w:hint="eastAsia"/>
                <w:sz w:val="24"/>
              </w:rPr>
              <w:t>设计人员应依据项目的相关设计</w:t>
            </w:r>
            <w:r>
              <w:rPr>
                <w:rFonts w:hint="eastAsia"/>
                <w:sz w:val="24"/>
                <w:lang w:eastAsia="zh-Hans"/>
              </w:rPr>
              <w:t>图纸</w:t>
            </w:r>
            <w:r>
              <w:rPr>
                <w:rFonts w:hint="eastAsia"/>
                <w:sz w:val="24"/>
              </w:rPr>
              <w:t>、</w:t>
            </w:r>
            <w:r>
              <w:rPr>
                <w:rFonts w:hint="eastAsia"/>
                <w:sz w:val="24"/>
                <w:lang w:eastAsia="zh-Hans"/>
              </w:rPr>
              <w:t>节能报告、</w:t>
            </w:r>
            <w:r>
              <w:rPr>
                <w:rFonts w:hint="eastAsia"/>
                <w:sz w:val="24"/>
              </w:rPr>
              <w:t>隔热性能验算报告、</w:t>
            </w:r>
            <w:r>
              <w:rPr>
                <w:rFonts w:hint="eastAsia"/>
                <w:sz w:val="24"/>
                <w:lang w:eastAsia="zh-Hans"/>
              </w:rPr>
              <w:t>复核</w:t>
            </w:r>
            <w:r>
              <w:rPr>
                <w:rFonts w:hint="eastAsia"/>
                <w:sz w:val="24"/>
              </w:rPr>
              <w:t>建筑构造与计算报告</w:t>
            </w:r>
            <w:r>
              <w:rPr>
                <w:rFonts w:hint="eastAsia"/>
                <w:sz w:val="24"/>
                <w:lang w:eastAsia="zh-Hans"/>
              </w:rPr>
              <w:t>的</w:t>
            </w:r>
            <w:r>
              <w:rPr>
                <w:rFonts w:hint="eastAsia"/>
                <w:sz w:val="24"/>
              </w:rPr>
              <w:t>一致性</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民用建筑的热工设计与地区气候相适应，保证室内基本的热环境要求。</w:t>
            </w:r>
          </w:p>
          <w:p>
            <w:pPr>
              <w:pStyle w:val="84"/>
              <w:spacing w:line="360" w:lineRule="auto"/>
              <w:ind w:firstLine="480" w:firstLineChars="200"/>
              <w:jc w:val="left"/>
              <w:rPr>
                <w:sz w:val="24"/>
                <w:lang w:eastAsia="zh-Hans"/>
              </w:rPr>
            </w:pPr>
            <w:r>
              <w:rPr>
                <w:rFonts w:hint="eastAsia"/>
                <w:sz w:val="24"/>
                <w:lang w:eastAsia="zh-Hans"/>
              </w:rPr>
              <w:t>屋顶和外墙的隔热性能，对于建筑在夏季时室内热舒适度的改善，以及空调负荷的降低，具有重要意义。屋顶和外墙的热工性能不仅要满足国家现行建筑节能标准的要求，也要满足现行国家标准《民用建筑热工设计规范》 GB 50176 的要求，并进行隔热性能验算。</w:t>
            </w:r>
          </w:p>
        </w:tc>
      </w:tr>
    </w:tbl>
    <w:p>
      <w:pPr>
        <w:pStyle w:val="90"/>
        <w:spacing w:line="360" w:lineRule="auto"/>
        <w:rPr>
          <w:rFonts w:asciiTheme="minorEastAsia" w:hAnsiTheme="minorEastAsia" w:eastAsiaTheme="minorEastAsia"/>
          <w:sz w:val="24"/>
          <w:szCs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建筑造型要素简约，无大量装饰性构件。</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730"/>
        <w:gridCol w:w="1985"/>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730" w:type="dxa"/>
          </w:tcPr>
          <w:p>
            <w:pPr>
              <w:pStyle w:val="84"/>
              <w:spacing w:line="360" w:lineRule="auto"/>
              <w:rPr>
                <w:sz w:val="24"/>
              </w:rPr>
            </w:pPr>
            <w:r>
              <w:rPr>
                <w:rFonts w:hint="eastAsia"/>
                <w:sz w:val="24"/>
              </w:rPr>
              <w:t>GB/T 50378-201</w:t>
            </w:r>
            <w:r>
              <w:rPr>
                <w:sz w:val="24"/>
              </w:rPr>
              <w:t>9</w:t>
            </w:r>
          </w:p>
        </w:tc>
        <w:tc>
          <w:tcPr>
            <w:tcW w:w="1985" w:type="dxa"/>
          </w:tcPr>
          <w:p>
            <w:pPr>
              <w:pStyle w:val="84"/>
              <w:spacing w:line="360" w:lineRule="auto"/>
              <w:rPr>
                <w:sz w:val="24"/>
              </w:rPr>
            </w:pPr>
            <w:r>
              <w:rPr>
                <w:sz w:val="24"/>
              </w:rPr>
              <w:t>7.1.9</w:t>
            </w:r>
            <w:r>
              <w:rPr>
                <w:rFonts w:hint="eastAsia"/>
                <w:sz w:val="24"/>
              </w:rPr>
              <w:t xml:space="preserve">条 </w:t>
            </w:r>
          </w:p>
        </w:tc>
        <w:tc>
          <w:tcPr>
            <w:tcW w:w="3402"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730"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985" w:type="dxa"/>
          </w:tcPr>
          <w:p>
            <w:pPr>
              <w:pStyle w:val="84"/>
              <w:spacing w:line="360" w:lineRule="auto"/>
              <w:rPr>
                <w:sz w:val="24"/>
                <w:lang w:eastAsia="zh-Hans"/>
              </w:rPr>
            </w:pPr>
            <w:r>
              <w:rPr>
                <w:sz w:val="24"/>
              </w:rPr>
              <w:t>5.1.5</w:t>
            </w:r>
            <w:r>
              <w:rPr>
                <w:rFonts w:hint="eastAsia"/>
                <w:sz w:val="24"/>
              </w:rPr>
              <w:t>条</w:t>
            </w:r>
          </w:p>
        </w:tc>
        <w:tc>
          <w:tcPr>
            <w:tcW w:w="3402"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lang w:eastAsia="zh-Hans"/>
              </w:rPr>
              <w:t>设计人员应根据项目的实际情况，填写此项内容。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设置大量的没有功能的纯装饰性构件，不符合绿色建筑节约资源的要求。鼓励使用装饰和功能一体化构件，在满足建筑功能的前提之下，体现美学效果、节约资源。同时，设置屋顶装饰性构件时应特别注意鞭梢效应等抗震问题。对于不具备遮阳、导光、导风、载物、辅助绿化等作用的飘板、格栅、构架和塔、球、曲面等装饰性构件，应对其造价进行控制。为更好地贯彻新时期建筑方针“适用、经济、绿色、美观”，兼顾公共建筑尤其是商业及文娱建筑的特殊性，本次对其装饰性构件造价比定为不应大于1%。</w:t>
            </w:r>
          </w:p>
        </w:tc>
      </w:tr>
    </w:tbl>
    <w:p>
      <w:pPr>
        <w:pStyle w:val="90"/>
        <w:spacing w:line="360" w:lineRule="auto"/>
        <w:ind w:left="420"/>
        <w:rPr>
          <w:rFonts w:asciiTheme="minorEastAsia" w:hAnsiTheme="minorEastAsia" w:eastAsiaTheme="minorEastAsia"/>
          <w:sz w:val="24"/>
          <w:szCs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主要功能房间的室内噪声级和围护结构的隔声性能应满足现行国家标准《民用建筑隔声设计规范》GB</w:t>
      </w:r>
      <w:r>
        <w:rPr>
          <w:rFonts w:asciiTheme="minorEastAsia" w:hAnsiTheme="minorEastAsia" w:eastAsiaTheme="minorEastAsia"/>
          <w:sz w:val="24"/>
        </w:rPr>
        <w:t xml:space="preserve"> </w:t>
      </w:r>
      <w:r>
        <w:rPr>
          <w:rFonts w:hint="eastAsia" w:asciiTheme="minorEastAsia" w:hAnsiTheme="minorEastAsia" w:eastAsiaTheme="minorEastAsia"/>
          <w:sz w:val="24"/>
        </w:rPr>
        <w:t>50118中的低限要求。</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2126"/>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305" w:type="dxa"/>
          </w:tcPr>
          <w:p>
            <w:pPr>
              <w:pStyle w:val="84"/>
              <w:spacing w:line="360" w:lineRule="auto"/>
              <w:rPr>
                <w:sz w:val="24"/>
              </w:rPr>
            </w:pPr>
            <w:r>
              <w:rPr>
                <w:rFonts w:hint="eastAsia"/>
                <w:sz w:val="24"/>
              </w:rPr>
              <w:t>GB/T 50378-201</w:t>
            </w:r>
            <w:r>
              <w:rPr>
                <w:sz w:val="24"/>
              </w:rPr>
              <w:t>9</w:t>
            </w:r>
          </w:p>
        </w:tc>
        <w:tc>
          <w:tcPr>
            <w:tcW w:w="2126" w:type="dxa"/>
          </w:tcPr>
          <w:p>
            <w:pPr>
              <w:pStyle w:val="84"/>
              <w:spacing w:line="360" w:lineRule="auto"/>
              <w:rPr>
                <w:sz w:val="24"/>
              </w:rPr>
            </w:pPr>
            <w:r>
              <w:rPr>
                <w:sz w:val="24"/>
              </w:rPr>
              <w:t>5.1.4</w:t>
            </w:r>
            <w:r>
              <w:rPr>
                <w:rFonts w:hint="eastAsia"/>
                <w:sz w:val="24"/>
              </w:rPr>
              <w:t xml:space="preserve">条 </w:t>
            </w:r>
          </w:p>
        </w:tc>
        <w:tc>
          <w:tcPr>
            <w:tcW w:w="3686"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305"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2126" w:type="dxa"/>
          </w:tcPr>
          <w:p>
            <w:pPr>
              <w:pStyle w:val="84"/>
              <w:spacing w:line="360" w:lineRule="auto"/>
              <w:rPr>
                <w:sz w:val="24"/>
                <w:lang w:eastAsia="zh-Hans"/>
              </w:rPr>
            </w:pPr>
            <w:r>
              <w:rPr>
                <w:sz w:val="24"/>
              </w:rPr>
              <w:t>5.1.10</w:t>
            </w:r>
            <w:r>
              <w:rPr>
                <w:rFonts w:hint="eastAsia"/>
                <w:sz w:val="24"/>
              </w:rPr>
              <w:t>条</w:t>
            </w:r>
          </w:p>
        </w:tc>
        <w:tc>
          <w:tcPr>
            <w:tcW w:w="3686"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设计人员应根据项目的</w:t>
            </w:r>
            <w:r>
              <w:rPr>
                <w:rFonts w:hint="eastAsia"/>
                <w:sz w:val="24"/>
              </w:rPr>
              <w:t>相关设计文件、环评报告、噪声分析报告、构件隔声性能的实验室检验报告</w:t>
            </w:r>
            <w:r>
              <w:rPr>
                <w:rFonts w:hint="eastAsia"/>
                <w:sz w:val="24"/>
                <w:lang w:eastAsia="zh-Hans"/>
              </w:rPr>
              <w:t>等，</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影响建筑室内噪声级大小的噪声源主要包括两类：一类是室内自身声源，如室内的通风空调设备、日用电器等；另一类是来自室外的噪声源，包括建筑内部其他空间的噪声源（如电梯噪声、空调机组噪声等）和建筑外部的噪声源（如周边交通噪声、社会生活噪声、工业噪声等）。对于建筑外部噪声糠的控制，应首先在规划选址阶段就做综合考量，建筑设计时应进行合理的平面布局，避免或降低主要功能房间受到室外交通、活动区域等的干扰。否则，应通过提高围护结构隔声性能等方式改善。对建筑物内部的噪声源，应通过选用低噪声设备、设置有效隔声、隔振、吸声、消声等综合措施来控制。若该标准中没有明确室内噪声级的低限要求，即对应该标准规定的室内噪声级的最低要求。</w:t>
            </w:r>
          </w:p>
        </w:tc>
      </w:tr>
    </w:tbl>
    <w:p>
      <w:pPr>
        <w:pStyle w:val="90"/>
        <w:spacing w:line="360" w:lineRule="auto"/>
        <w:ind w:left="420"/>
        <w:rPr>
          <w:rFonts w:asciiTheme="minorEastAsia" w:hAnsiTheme="minorEastAsia" w:eastAsiaTheme="minorEastAsia"/>
          <w:sz w:val="24"/>
          <w:szCs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建筑室内设置便于识别和使用的标示系统，特别部位有安全防护的警示和引导标示系统。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984"/>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447" w:type="dxa"/>
            <w:vMerge w:val="restart"/>
          </w:tcPr>
          <w:p>
            <w:pPr>
              <w:pStyle w:val="84"/>
              <w:spacing w:line="360" w:lineRule="auto"/>
              <w:rPr>
                <w:sz w:val="24"/>
              </w:rPr>
            </w:pPr>
            <w:r>
              <w:rPr>
                <w:rFonts w:hint="eastAsia"/>
                <w:sz w:val="24"/>
              </w:rPr>
              <w:t>GB/T 50378-201</w:t>
            </w:r>
            <w:r>
              <w:rPr>
                <w:sz w:val="24"/>
              </w:rPr>
              <w:t>9</w:t>
            </w:r>
          </w:p>
        </w:tc>
        <w:tc>
          <w:tcPr>
            <w:tcW w:w="1984" w:type="dxa"/>
          </w:tcPr>
          <w:p>
            <w:pPr>
              <w:pStyle w:val="84"/>
              <w:spacing w:line="360" w:lineRule="auto"/>
              <w:rPr>
                <w:sz w:val="24"/>
              </w:rPr>
            </w:pPr>
            <w:r>
              <w:rPr>
                <w:sz w:val="24"/>
              </w:rPr>
              <w:t>4.1.8</w:t>
            </w:r>
            <w:r>
              <w:rPr>
                <w:rFonts w:hint="eastAsia"/>
                <w:sz w:val="24"/>
              </w:rPr>
              <w:t xml:space="preserve">条 </w:t>
            </w:r>
          </w:p>
        </w:tc>
        <w:tc>
          <w:tcPr>
            <w:tcW w:w="3686" w:type="dxa"/>
            <w:vMerge w:val="restart"/>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1984" w:type="dxa"/>
          </w:tcPr>
          <w:p>
            <w:pPr>
              <w:pStyle w:val="84"/>
              <w:spacing w:line="360" w:lineRule="auto"/>
              <w:rPr>
                <w:sz w:val="24"/>
              </w:rPr>
            </w:pPr>
            <w:r>
              <w:rPr>
                <w:sz w:val="24"/>
              </w:rPr>
              <w:t>8.1.5</w:t>
            </w:r>
            <w:r>
              <w:rPr>
                <w:rFonts w:hint="eastAsia"/>
                <w:sz w:val="24"/>
              </w:rPr>
              <w:t xml:space="preserve">条 </w:t>
            </w:r>
          </w:p>
        </w:tc>
        <w:tc>
          <w:tcPr>
            <w:tcW w:w="3686"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984" w:type="dxa"/>
          </w:tcPr>
          <w:p>
            <w:pPr>
              <w:pStyle w:val="84"/>
              <w:spacing w:line="360" w:lineRule="auto"/>
              <w:rPr>
                <w:sz w:val="24"/>
                <w:lang w:eastAsia="zh-Hans"/>
              </w:rPr>
            </w:pPr>
            <w:r>
              <w:rPr>
                <w:sz w:val="24"/>
              </w:rPr>
              <w:t>5.1.8</w:t>
            </w:r>
            <w:r>
              <w:rPr>
                <w:rFonts w:hint="eastAsia"/>
                <w:sz w:val="24"/>
              </w:rPr>
              <w:t>条</w:t>
            </w:r>
          </w:p>
        </w:tc>
        <w:tc>
          <w:tcPr>
            <w:tcW w:w="3686"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设计人员应根据</w:t>
            </w:r>
            <w:r>
              <w:rPr>
                <w:rFonts w:hint="eastAsia"/>
                <w:sz w:val="24"/>
              </w:rPr>
              <w:t>标识系统设计与设置说明文件</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根据国家标准《安全标志及其使用导则》GB 2894</w:t>
            </w:r>
            <w:r>
              <w:rPr>
                <w:sz w:val="24"/>
                <w:lang w:eastAsia="zh-Hans"/>
              </w:rPr>
              <w:t>-</w:t>
            </w:r>
            <w:r>
              <w:rPr>
                <w:rFonts w:hint="eastAsia"/>
                <w:sz w:val="24"/>
                <w:lang w:eastAsia="zh-Hans"/>
              </w:rPr>
              <w:t>2008 ，安全标志分为禁止标志、警告标志、指令标志和提示标志四类。本条所述是指具有警示和引导功能的安全标志，应在场地及建筑公共场所和其他有必要提醒人们注意安全的场所显著位置上设置。</w:t>
            </w:r>
          </w:p>
          <w:p>
            <w:pPr>
              <w:pStyle w:val="84"/>
              <w:spacing w:line="360" w:lineRule="auto"/>
              <w:ind w:firstLine="480" w:firstLineChars="200"/>
              <w:jc w:val="left"/>
              <w:rPr>
                <w:sz w:val="24"/>
                <w:lang w:eastAsia="zh-Hans"/>
              </w:rPr>
            </w:pPr>
            <w:r>
              <w:rPr>
                <w:rFonts w:hint="eastAsia"/>
                <w:sz w:val="24"/>
                <w:lang w:eastAsia="zh-Hans"/>
              </w:rPr>
              <w:t>设置显著、醒目的安全警示标志，能够起到提醒建筑使用者注意安全的作用。警示标志一般设置于人员流动大的场所，青少年和儿童经常活动的场所，容易碰撞、夹伤、温滑及危险的部位和场所等。比如禁止攀爬、禁止倚靠、禁止伸出窗外、禁止抛物、注意安全、当心碰头、当心夹手、当心车辆、当心坠落、当心滑倒、当心落水等。</w:t>
            </w:r>
          </w:p>
          <w:p>
            <w:pPr>
              <w:pStyle w:val="84"/>
              <w:spacing w:line="360" w:lineRule="auto"/>
              <w:ind w:firstLine="480" w:firstLineChars="200"/>
              <w:jc w:val="left"/>
              <w:rPr>
                <w:sz w:val="24"/>
                <w:lang w:eastAsia="zh-Hans"/>
              </w:rPr>
            </w:pPr>
            <w:r>
              <w:rPr>
                <w:rFonts w:hint="eastAsia"/>
                <w:sz w:val="24"/>
                <w:lang w:eastAsia="zh-Hans"/>
              </w:rPr>
              <w:t>设置安全引导指示标志，包括紧急出口标志、避险处标志、应急避难场所标志、急救点标志、报警点标志等，以及其他促进建筑安全使用的引导标志等。比如紧急出口标志，一般设置于便于安全疏散的紧急出口处，结合方向箭头设置于通向紧急出口的通道、楼梯口等处。</w:t>
            </w:r>
          </w:p>
          <w:p>
            <w:pPr>
              <w:pStyle w:val="84"/>
              <w:spacing w:line="360" w:lineRule="auto"/>
              <w:ind w:firstLine="480" w:firstLineChars="200"/>
              <w:jc w:val="left"/>
              <w:rPr>
                <w:sz w:val="24"/>
                <w:lang w:eastAsia="zh-Hans"/>
              </w:rPr>
            </w:pPr>
            <w:r>
              <w:rPr>
                <w:rFonts w:hint="eastAsia"/>
                <w:sz w:val="24"/>
                <w:lang w:eastAsia="zh-Hans"/>
              </w:rPr>
              <w:t>设置便于识别和使用的标识系统，包括导向标识和定位标识等，能够为建筑使用者带来便捷的使用体验。标识一般有人车分流标识、公共交通接驳引导标识、易于老年人识别的标识、满足儿童使用需求与身高匹配的标识、无障碍标识、楼座及配套设施定位标识、健身慢行道导向标识、健身楼梯间导向标识、公共卫生间导向标识，以及其他促进建筑便捷使用的导向标识等。公共建筑的标识系统应当执行现行国家标准《公共建筑标识系统技术规范》 GB/T 51223 ，住宅建筑可以参照执行。</w:t>
            </w:r>
          </w:p>
          <w:p>
            <w:pPr>
              <w:pStyle w:val="84"/>
              <w:spacing w:line="360" w:lineRule="auto"/>
              <w:ind w:firstLine="480" w:firstLineChars="200"/>
              <w:jc w:val="left"/>
              <w:rPr>
                <w:sz w:val="24"/>
                <w:lang w:eastAsia="zh-Hans"/>
              </w:rPr>
            </w:pPr>
            <w:r>
              <w:rPr>
                <w:rFonts w:hint="eastAsia"/>
                <w:sz w:val="24"/>
                <w:lang w:eastAsia="zh-Hans"/>
              </w:rPr>
              <w:t>在标识系统设计和设置时，应考虑建筑使用者的识别习惯，通过色彩、形式、字体、符号等整体进行设计，形成统一性和可辨识度。并考虑老年人、残障人士、儿童等不同人群对于标识的识别和感知的方式，例如，老年人由于视觉能力下降，需要采用较大的文字、较易识别的色彩系统等，儿童由于身高较低、识字量不够等，需要采用高度适合、色彩与图形化结合等方式的识别系统等。因此，提出根据不同使用人群特点设置适宜的标识引导系统，体现出对不同人群的关爱。</w:t>
            </w:r>
          </w:p>
          <w:p>
            <w:pPr>
              <w:pStyle w:val="84"/>
              <w:spacing w:line="360" w:lineRule="auto"/>
              <w:ind w:firstLine="480" w:firstLineChars="200"/>
              <w:jc w:val="left"/>
              <w:rPr>
                <w:sz w:val="24"/>
                <w:lang w:eastAsia="zh-Hans"/>
              </w:rPr>
            </w:pPr>
            <w:r>
              <w:rPr>
                <w:rFonts w:hint="eastAsia"/>
                <w:sz w:val="24"/>
                <w:lang w:eastAsia="zh-Hans"/>
              </w:rPr>
              <w:t>同时，为便于标识识别，应在场地内显著位置上设置标识，标识应反映一定区域范围内的建筑与设施分布情况，并提示当前位置等。建筑及场地的标识应沿通行路径布置，构成完整和连续的引导系统。</w:t>
            </w:r>
          </w:p>
        </w:tc>
      </w:tr>
    </w:tbl>
    <w:p>
      <w:pPr>
        <w:pStyle w:val="90"/>
        <w:spacing w:line="360" w:lineRule="auto"/>
        <w:ind w:left="420"/>
        <w:rPr>
          <w:rFonts w:asciiTheme="minorEastAsia" w:hAnsiTheme="minorEastAsia" w:eastAsiaTheme="minorEastAsia"/>
          <w:sz w:val="24"/>
          <w:szCs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走廊、疏散通道等通行空间满足紧急疏散、应急救护等要求，且保持畅通。</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2126"/>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447" w:type="dxa"/>
          </w:tcPr>
          <w:p>
            <w:pPr>
              <w:pStyle w:val="84"/>
              <w:spacing w:line="360" w:lineRule="auto"/>
              <w:rPr>
                <w:sz w:val="24"/>
              </w:rPr>
            </w:pPr>
            <w:r>
              <w:rPr>
                <w:rFonts w:hint="eastAsia"/>
                <w:sz w:val="24"/>
              </w:rPr>
              <w:t>GB/T 50378-201</w:t>
            </w:r>
            <w:r>
              <w:rPr>
                <w:sz w:val="24"/>
              </w:rPr>
              <w:t>9</w:t>
            </w:r>
          </w:p>
        </w:tc>
        <w:tc>
          <w:tcPr>
            <w:tcW w:w="2126" w:type="dxa"/>
          </w:tcPr>
          <w:p>
            <w:pPr>
              <w:pStyle w:val="84"/>
              <w:spacing w:line="360" w:lineRule="auto"/>
              <w:rPr>
                <w:sz w:val="24"/>
              </w:rPr>
            </w:pPr>
            <w:r>
              <w:rPr>
                <w:sz w:val="24"/>
              </w:rPr>
              <w:t>4.1.7</w:t>
            </w:r>
            <w:r>
              <w:rPr>
                <w:rFonts w:hint="eastAsia"/>
                <w:sz w:val="24"/>
              </w:rPr>
              <w:t xml:space="preserve">条 </w:t>
            </w:r>
          </w:p>
        </w:tc>
        <w:tc>
          <w:tcPr>
            <w:tcW w:w="3544"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2126" w:type="dxa"/>
          </w:tcPr>
          <w:p>
            <w:pPr>
              <w:pStyle w:val="84"/>
              <w:spacing w:line="360" w:lineRule="auto"/>
              <w:rPr>
                <w:sz w:val="24"/>
                <w:lang w:eastAsia="zh-Hans"/>
              </w:rPr>
            </w:pPr>
            <w:r>
              <w:rPr>
                <w:sz w:val="24"/>
              </w:rPr>
              <w:t>5.1.9</w:t>
            </w:r>
            <w:r>
              <w:rPr>
                <w:rFonts w:hint="eastAsia"/>
                <w:sz w:val="24"/>
              </w:rPr>
              <w:t>条</w:t>
            </w:r>
          </w:p>
        </w:tc>
        <w:tc>
          <w:tcPr>
            <w:tcW w:w="3544"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lang w:eastAsia="zh-Hans"/>
              </w:rPr>
              <w:t>设计人员应根据相关设计</w:t>
            </w:r>
            <w:r>
              <w:rPr>
                <w:rFonts w:hint="eastAsia"/>
                <w:sz w:val="24"/>
              </w:rPr>
              <w:t>文件</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在发生突发事件时，疏散和救护顺畅非常重要，必须在场地和建筑设计中考虑到对策和措施。建筑应根据其高度、规模、使用功能和耐火等级等因素合理设置安全疏散和避难设施。安全出口和疏散门的位置、数量、宽度及疏散楼梯间的形式，应满足人员安全疏散的要求。走廊、疏散通道等应满足现行国家标准《建筑设计防火规范》 GB 50016 、《防灾避难场所设计规范》 GB 51143 等对安全疏散和避难、应急交通的相关要求。本条重在强调保持通行空间路线畅通、视线清晰，不应有阳台花池、机电箱等凸向走廊、疏散通道的设计，防止对人员活动、步行交通、消防疏散埋下安全隐患。</w:t>
            </w:r>
          </w:p>
        </w:tc>
      </w:tr>
    </w:tbl>
    <w:p>
      <w:pPr>
        <w:pStyle w:val="90"/>
        <w:spacing w:line="360" w:lineRule="auto"/>
        <w:ind w:left="420"/>
        <w:rPr>
          <w:rFonts w:asciiTheme="minorEastAsia" w:hAnsiTheme="minorEastAsia" w:eastAsiaTheme="minorEastAsia"/>
          <w:sz w:val="24"/>
          <w:szCs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控制建筑工程中建筑材料和装修材料产生的室内环境污染，严禁使用苯、工业苯、石油苯、重质苯及混苯作为稀释剂和溶剂；室内空气中的氨、甲醛、苯、甲苯、二甲苯、总挥发性有机物、氡等污染物浓度满足现行国家标准《民用建筑工程室内环境污染控制标准》GB</w:t>
      </w:r>
      <w:r>
        <w:rPr>
          <w:rFonts w:asciiTheme="minorEastAsia" w:hAnsiTheme="minorEastAsia" w:eastAsiaTheme="minorEastAsia"/>
          <w:sz w:val="24"/>
        </w:rPr>
        <w:t xml:space="preserve"> </w:t>
      </w:r>
      <w:r>
        <w:rPr>
          <w:rFonts w:hint="eastAsia" w:asciiTheme="minorEastAsia" w:hAnsiTheme="minorEastAsia" w:eastAsiaTheme="minorEastAsia"/>
          <w:sz w:val="24"/>
        </w:rPr>
        <w:t>50325和是《室内空气质量标准》GB/T</w:t>
      </w:r>
      <w:r>
        <w:rPr>
          <w:rFonts w:asciiTheme="minorEastAsia" w:hAnsiTheme="minorEastAsia" w:eastAsiaTheme="minorEastAsia"/>
          <w:sz w:val="24"/>
        </w:rPr>
        <w:t xml:space="preserve"> </w:t>
      </w:r>
      <w:r>
        <w:rPr>
          <w:rFonts w:hint="eastAsia" w:asciiTheme="minorEastAsia" w:hAnsiTheme="minorEastAsia" w:eastAsiaTheme="minorEastAsia"/>
          <w:sz w:val="24"/>
        </w:rPr>
        <w:t>18883的有关规定。建筑室内和建筑主要出入口的醒目位置设置禁烟标志。</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2268"/>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305" w:type="dxa"/>
          </w:tcPr>
          <w:p>
            <w:pPr>
              <w:pStyle w:val="84"/>
              <w:spacing w:line="360" w:lineRule="auto"/>
              <w:rPr>
                <w:sz w:val="24"/>
              </w:rPr>
            </w:pPr>
            <w:r>
              <w:rPr>
                <w:rFonts w:hint="eastAsia"/>
                <w:sz w:val="24"/>
              </w:rPr>
              <w:t>GB/T 50378-201</w:t>
            </w:r>
            <w:r>
              <w:rPr>
                <w:sz w:val="24"/>
              </w:rPr>
              <w:t>9</w:t>
            </w:r>
          </w:p>
        </w:tc>
        <w:tc>
          <w:tcPr>
            <w:tcW w:w="2268" w:type="dxa"/>
          </w:tcPr>
          <w:p>
            <w:pPr>
              <w:pStyle w:val="84"/>
              <w:spacing w:line="360" w:lineRule="auto"/>
              <w:rPr>
                <w:sz w:val="24"/>
              </w:rPr>
            </w:pPr>
            <w:r>
              <w:rPr>
                <w:sz w:val="24"/>
              </w:rPr>
              <w:t>5.1.1</w:t>
            </w:r>
            <w:r>
              <w:rPr>
                <w:rFonts w:hint="eastAsia"/>
                <w:sz w:val="24"/>
              </w:rPr>
              <w:t xml:space="preserve">条 </w:t>
            </w:r>
          </w:p>
        </w:tc>
        <w:tc>
          <w:tcPr>
            <w:tcW w:w="3544"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305"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2268" w:type="dxa"/>
          </w:tcPr>
          <w:p>
            <w:pPr>
              <w:pStyle w:val="84"/>
              <w:spacing w:line="360" w:lineRule="auto"/>
              <w:rPr>
                <w:sz w:val="24"/>
                <w:lang w:eastAsia="zh-Hans"/>
              </w:rPr>
            </w:pPr>
            <w:r>
              <w:rPr>
                <w:sz w:val="24"/>
              </w:rPr>
              <w:t>5.1.11</w:t>
            </w:r>
            <w:r>
              <w:rPr>
                <w:rFonts w:hint="eastAsia"/>
                <w:sz w:val="24"/>
              </w:rPr>
              <w:t>条</w:t>
            </w:r>
          </w:p>
        </w:tc>
        <w:tc>
          <w:tcPr>
            <w:tcW w:w="3544"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ind w:firstLine="480" w:firstLineChars="200"/>
              <w:jc w:val="left"/>
              <w:rPr>
                <w:sz w:val="24"/>
              </w:rPr>
            </w:pPr>
            <w:r>
              <w:rPr>
                <w:rFonts w:hint="eastAsia"/>
                <w:sz w:val="24"/>
                <w:lang w:eastAsia="zh-Hans"/>
              </w:rPr>
              <w:t>设计人员应根据相关设计</w:t>
            </w:r>
            <w:r>
              <w:rPr>
                <w:rFonts w:hint="eastAsia"/>
                <w:sz w:val="24"/>
              </w:rPr>
              <w:t>文件</w:t>
            </w:r>
            <w:r>
              <w:rPr>
                <w:rFonts w:hint="eastAsia"/>
                <w:sz w:val="24"/>
                <w:lang w:eastAsia="zh-Hans"/>
              </w:rPr>
              <w:t>、</w:t>
            </w:r>
            <w:r>
              <w:rPr>
                <w:rFonts w:hint="eastAsia"/>
                <w:sz w:val="24"/>
              </w:rPr>
              <w:t>相关说明文件（装修材料种类、用量，禁止吸烟措施）、预评估分析报告</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lang w:eastAsia="zh-Hans"/>
              </w:rPr>
            </w:pPr>
            <w:r>
              <w:rPr>
                <w:rFonts w:hint="eastAsia"/>
                <w:sz w:val="24"/>
                <w:lang w:eastAsia="zh-Hans"/>
              </w:rPr>
              <w:t>建筑室内空气中的氨、甲醒、苯、总挥发性有机物、氧等污染物以及吸烟（包括二手烟）对人体的危害已得到普遍认识，通过建筑内污染物浓度控制及禁烟控制，是实现绿色建筑的基本要求。</w:t>
            </w:r>
          </w:p>
          <w:p>
            <w:pPr>
              <w:pStyle w:val="84"/>
              <w:spacing w:line="360" w:lineRule="auto"/>
              <w:ind w:firstLine="480" w:firstLineChars="200"/>
              <w:jc w:val="left"/>
              <w:rPr>
                <w:sz w:val="24"/>
                <w:lang w:eastAsia="zh-Hans"/>
              </w:rPr>
            </w:pPr>
            <w:r>
              <w:rPr>
                <w:rFonts w:hint="eastAsia"/>
                <w:sz w:val="24"/>
                <w:lang w:eastAsia="zh-Hans"/>
              </w:rPr>
              <w:t>在项目实施过程中，即使所使用的装修材料、家具制品均满足各自污染物限量控制标准，但装修后多种类或大量材料制品的叠加使用，仍可能造成室内空气污染物浓度超标，控制空气中各类污染物的浓度指标是保障建筑使用者健康的基本前提。项目在设计时即应采取措施，对室内空气污染物浓度进行预评估，预测工程建成后室内空气污染物的浓度情况，指导建筑材料的选用和优化。</w:t>
            </w:r>
          </w:p>
          <w:p>
            <w:pPr>
              <w:pStyle w:val="84"/>
              <w:spacing w:line="360" w:lineRule="auto"/>
              <w:ind w:firstLine="480" w:firstLineChars="200"/>
              <w:jc w:val="left"/>
              <w:rPr>
                <w:sz w:val="24"/>
                <w:lang w:eastAsia="zh-Hans"/>
              </w:rPr>
            </w:pPr>
            <w:r>
              <w:rPr>
                <w:rFonts w:hint="eastAsia"/>
                <w:sz w:val="24"/>
                <w:lang w:eastAsia="zh-Hans"/>
              </w:rPr>
              <w:t>吸烟及二手烟对人健康同样会造成较大的危害，目前国内一些城市已经发布了控制吸烟条例，如《北京市控制吸烟条例》、《上海市公共场所控制吸烟条例》、《广州市控制吸烟条例》、《天津市控制吸烟条例》、《杭州市公共场所控制吸烟条例》、《青岛市控制吸烟条例》等等。因此，本条规定建筑室内和建筑主出人口处禁止吸烟，并设置禁烟标志。本条所述的建筑室内，主要指的是公共建筑室内和住宅建筑内的公共区域。</w:t>
            </w:r>
          </w:p>
        </w:tc>
      </w:tr>
    </w:tbl>
    <w:p>
      <w:pPr>
        <w:pStyle w:val="267"/>
        <w:jc w:val="both"/>
        <w:rPr>
          <w:lang w:eastAsia="zh-Hans"/>
        </w:rPr>
      </w:pPr>
    </w:p>
    <w:p>
      <w:pPr>
        <w:pStyle w:val="267"/>
        <w:jc w:val="both"/>
        <w:rPr>
          <w:lang w:eastAsia="zh-Hans"/>
        </w:rPr>
      </w:pPr>
      <w:r>
        <w:rPr>
          <w:rFonts w:hint="eastAsia"/>
          <w:lang w:eastAsia="zh-Hans"/>
        </w:rPr>
        <w:t>一般项内容：</w:t>
      </w:r>
    </w:p>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 xml:space="preserve"> </w:t>
      </w:r>
      <w:r>
        <w:rPr>
          <w:rFonts w:hint="eastAsia" w:asciiTheme="minorEastAsia" w:hAnsiTheme="minorEastAsia" w:eastAsiaTheme="minorEastAsia"/>
          <w:b/>
          <w:sz w:val="24"/>
        </w:rPr>
        <w:t>建筑使用功能与</w:t>
      </w:r>
      <w:r>
        <w:rPr>
          <w:rFonts w:asciiTheme="minorEastAsia" w:hAnsiTheme="minorEastAsia" w:eastAsiaTheme="minorEastAsia"/>
          <w:b/>
          <w:sz w:val="24"/>
        </w:rPr>
        <w:t>空间</w:t>
      </w:r>
      <w:r>
        <w:rPr>
          <w:rFonts w:hint="eastAsia" w:asciiTheme="minorEastAsia" w:hAnsiTheme="minorEastAsia" w:eastAsiaTheme="minorEastAsia"/>
          <w:b/>
          <w:sz w:val="24"/>
        </w:rPr>
        <w:t>布局:</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1.1</w:t>
      </w:r>
      <w:r>
        <w:rPr>
          <w:rFonts w:hint="eastAsia" w:asciiTheme="minorEastAsia" w:hAnsiTheme="minorEastAsia" w:eastAsiaTheme="minorEastAsia"/>
          <w:sz w:val="24"/>
        </w:rPr>
        <w:tab/>
      </w:r>
      <w:r>
        <w:rPr>
          <w:rFonts w:hint="eastAsia" w:asciiTheme="minorEastAsia" w:hAnsiTheme="minorEastAsia" w:eastAsiaTheme="minorEastAsia"/>
          <w:sz w:val="24"/>
        </w:rPr>
        <w:t xml:space="preserve">建筑空间布局合理，充分考虑建筑使用功能、使用人数和使用方式等变化的预期需求，选择适宜的空间尺度： </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1.2</w:t>
      </w:r>
      <w:r>
        <w:rPr>
          <w:rFonts w:hint="eastAsia" w:asciiTheme="minorEastAsia" w:hAnsiTheme="minorEastAsia" w:eastAsiaTheme="minorEastAsia"/>
          <w:sz w:val="24"/>
        </w:rPr>
        <w:tab/>
      </w:r>
      <w:r>
        <w:rPr>
          <w:rFonts w:hint="eastAsia" w:asciiTheme="minorEastAsia" w:hAnsiTheme="minorEastAsia" w:eastAsiaTheme="minorEastAsia"/>
          <w:sz w:val="24"/>
        </w:rPr>
        <w:t xml:space="preserve">在建筑入口附近设置过渡空间； </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1.3</w:t>
      </w:r>
      <w:r>
        <w:rPr>
          <w:rFonts w:hint="eastAsia" w:asciiTheme="minorEastAsia" w:hAnsiTheme="minorEastAsia" w:eastAsiaTheme="minorEastAsia"/>
          <w:sz w:val="24"/>
        </w:rPr>
        <w:tab/>
      </w:r>
      <w:r>
        <w:rPr>
          <w:rFonts w:hint="eastAsia" w:asciiTheme="minorEastAsia" w:hAnsiTheme="minorEastAsia" w:eastAsiaTheme="minorEastAsia"/>
          <w:sz w:val="24"/>
        </w:rPr>
        <w:t>建筑的主出入口、门厅附近（距离主出入口15m以内）设置便于日常使用的楼梯，楼梯间具有天然采光和良好的视野；</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1.4</w:t>
      </w:r>
      <w:r>
        <w:rPr>
          <w:rFonts w:hint="eastAsia" w:asciiTheme="minorEastAsia" w:hAnsiTheme="minorEastAsia" w:eastAsiaTheme="minorEastAsia"/>
          <w:sz w:val="24"/>
        </w:rPr>
        <w:tab/>
      </w:r>
      <w:r>
        <w:rPr>
          <w:rFonts w:hint="eastAsia" w:asciiTheme="minorEastAsia" w:hAnsiTheme="minorEastAsia" w:eastAsiaTheme="minorEastAsia"/>
          <w:sz w:val="24"/>
        </w:rPr>
        <w:t>室内健身空间面积不少于地上建筑面积的0.3％且不少于60m²；</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1.5</w:t>
      </w:r>
      <w:r>
        <w:rPr>
          <w:rFonts w:hint="eastAsia" w:asciiTheme="minorEastAsia" w:hAnsiTheme="minorEastAsia" w:eastAsiaTheme="minorEastAsia"/>
          <w:sz w:val="24"/>
        </w:rPr>
        <w:tab/>
      </w:r>
      <w:r>
        <w:rPr>
          <w:rFonts w:hint="eastAsia" w:asciiTheme="minorEastAsia" w:hAnsiTheme="minorEastAsia" w:eastAsiaTheme="minorEastAsia"/>
          <w:sz w:val="24"/>
        </w:rPr>
        <w:t>配套设置公共淋浴、更衣设施。□是；□未涉及。</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1.6</w:t>
      </w:r>
      <w:r>
        <w:rPr>
          <w:rFonts w:hint="eastAsia" w:asciiTheme="minorEastAsia" w:hAnsiTheme="minorEastAsia" w:eastAsiaTheme="minorEastAsia"/>
          <w:sz w:val="24"/>
        </w:rPr>
        <w:tab/>
      </w:r>
      <w:r>
        <w:rPr>
          <w:rFonts w:hint="eastAsia" w:asciiTheme="minorEastAsia" w:hAnsiTheme="minorEastAsia" w:eastAsiaTheme="minorEastAsia"/>
          <w:sz w:val="24"/>
        </w:rPr>
        <w:t xml:space="preserve">建筑空间采用大开间区域可变功能的设计； </w:t>
      </w:r>
    </w:p>
    <w:p>
      <w:pPr>
        <w:pStyle w:val="17"/>
        <w:spacing w:line="360" w:lineRule="auto"/>
        <w:ind w:firstLine="420"/>
        <w:rPr>
          <w:rFonts w:asciiTheme="minorEastAsia" w:hAnsiTheme="minorEastAsia" w:eastAsiaTheme="minorEastAsia"/>
          <w:b/>
          <w:sz w:val="24"/>
        </w:rPr>
      </w:pPr>
      <w:r>
        <w:rPr>
          <w:rFonts w:hint="eastAsia" w:asciiTheme="minorEastAsia" w:hAnsiTheme="minorEastAsia" w:eastAsiaTheme="minorEastAsia"/>
          <w:sz w:val="24"/>
        </w:rPr>
        <w:t>1.7</w:t>
      </w:r>
      <w:r>
        <w:rPr>
          <w:rFonts w:hint="eastAsia" w:asciiTheme="minorEastAsia" w:hAnsiTheme="minorEastAsia" w:eastAsiaTheme="minorEastAsia"/>
          <w:sz w:val="24"/>
        </w:rPr>
        <w:tab/>
      </w:r>
      <w:r>
        <w:rPr>
          <w:rFonts w:hint="eastAsia" w:asciiTheme="minorEastAsia" w:hAnsiTheme="minorEastAsia" w:eastAsiaTheme="minorEastAsia"/>
          <w:sz w:val="24"/>
        </w:rPr>
        <w:t>有噪声、振动、电磁辐射和空气污染的房间远离有安静要求、人员长期居住或工作的房间及场所；</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5"/>
        <w:gridCol w:w="4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restart"/>
          </w:tcPr>
          <w:p>
            <w:pPr>
              <w:pStyle w:val="84"/>
              <w:spacing w:line="360" w:lineRule="auto"/>
              <w:rPr>
                <w:sz w:val="24"/>
              </w:rPr>
            </w:pPr>
            <w:r>
              <w:rPr>
                <w:rFonts w:hint="eastAsia"/>
                <w:sz w:val="24"/>
              </w:rPr>
              <w:t>条文来源</w:t>
            </w:r>
          </w:p>
        </w:tc>
        <w:tc>
          <w:tcPr>
            <w:tcW w:w="2022" w:type="dxa"/>
            <w:vMerge w:val="restart"/>
          </w:tcPr>
          <w:p>
            <w:pPr>
              <w:pStyle w:val="84"/>
              <w:spacing w:line="360" w:lineRule="auto"/>
              <w:rPr>
                <w:sz w:val="24"/>
              </w:rPr>
            </w:pPr>
            <w:r>
              <w:rPr>
                <w:rFonts w:hint="eastAsia"/>
                <w:sz w:val="24"/>
              </w:rPr>
              <w:t>GB/T 50378-201</w:t>
            </w:r>
            <w:r>
              <w:rPr>
                <w:sz w:val="24"/>
              </w:rPr>
              <w:t>9</w:t>
            </w:r>
          </w:p>
        </w:tc>
        <w:tc>
          <w:tcPr>
            <w:tcW w:w="1665" w:type="dxa"/>
          </w:tcPr>
          <w:p>
            <w:pPr>
              <w:pStyle w:val="84"/>
              <w:spacing w:line="360" w:lineRule="auto"/>
              <w:rPr>
                <w:sz w:val="24"/>
              </w:rPr>
            </w:pPr>
            <w:r>
              <w:rPr>
                <w:sz w:val="24"/>
              </w:rPr>
              <w:t>4.2.6</w:t>
            </w:r>
            <w:r>
              <w:rPr>
                <w:rFonts w:hint="eastAsia"/>
                <w:sz w:val="24"/>
              </w:rPr>
              <w:t>条-</w:t>
            </w:r>
            <w:r>
              <w:rPr>
                <w:sz w:val="24"/>
              </w:rPr>
              <w:t>1</w:t>
            </w:r>
          </w:p>
        </w:tc>
        <w:tc>
          <w:tcPr>
            <w:tcW w:w="4430" w:type="dxa"/>
          </w:tcPr>
          <w:p>
            <w:pPr>
              <w:pStyle w:val="84"/>
              <w:spacing w:line="360" w:lineRule="auto"/>
              <w:rPr>
                <w:sz w:val="24"/>
              </w:rPr>
            </w:pPr>
            <w:r>
              <w:rPr>
                <w:rFonts w:hint="eastAsia"/>
                <w:sz w:val="24"/>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5" w:type="dxa"/>
          </w:tcPr>
          <w:p>
            <w:pPr>
              <w:pStyle w:val="84"/>
              <w:spacing w:line="360" w:lineRule="auto"/>
              <w:rPr>
                <w:sz w:val="24"/>
              </w:rPr>
            </w:pPr>
            <w:r>
              <w:rPr>
                <w:rFonts w:hint="eastAsia"/>
                <w:sz w:val="24"/>
              </w:rPr>
              <w:t>7</w:t>
            </w:r>
            <w:r>
              <w:rPr>
                <w:sz w:val="24"/>
              </w:rPr>
              <w:t>.1.1</w:t>
            </w:r>
            <w:r>
              <w:rPr>
                <w:rFonts w:hint="eastAsia"/>
                <w:sz w:val="24"/>
              </w:rPr>
              <w:t>条</w:t>
            </w:r>
          </w:p>
        </w:tc>
        <w:tc>
          <w:tcPr>
            <w:tcW w:w="4430"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5" w:type="dxa"/>
          </w:tcPr>
          <w:p>
            <w:pPr>
              <w:pStyle w:val="84"/>
              <w:spacing w:line="360" w:lineRule="auto"/>
              <w:rPr>
                <w:sz w:val="24"/>
              </w:rPr>
            </w:pPr>
            <w:r>
              <w:rPr>
                <w:sz w:val="24"/>
              </w:rPr>
              <w:t>6.2.5</w:t>
            </w:r>
            <w:r>
              <w:rPr>
                <w:rFonts w:hint="eastAsia"/>
                <w:sz w:val="24"/>
              </w:rPr>
              <w:t>条</w:t>
            </w:r>
          </w:p>
        </w:tc>
        <w:tc>
          <w:tcPr>
            <w:tcW w:w="4430" w:type="dxa"/>
          </w:tcPr>
          <w:p>
            <w:pPr>
              <w:pStyle w:val="84"/>
              <w:spacing w:line="360" w:lineRule="auto"/>
              <w:rPr>
                <w:sz w:val="24"/>
              </w:rPr>
            </w:pPr>
            <w:r>
              <w:rPr>
                <w:rFonts w:hint="eastAsia"/>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restart"/>
          </w:tcPr>
          <w:p>
            <w:pPr>
              <w:pStyle w:val="84"/>
              <w:spacing w:line="360" w:lineRule="auto"/>
              <w:rPr>
                <w:sz w:val="24"/>
              </w:rPr>
            </w:pPr>
            <w:r>
              <w:rPr>
                <w:rFonts w:hint="eastAsia"/>
                <w:sz w:val="24"/>
              </w:rPr>
              <w:t>DB33/1092-20</w:t>
            </w:r>
            <w:r>
              <w:rPr>
                <w:sz w:val="24"/>
              </w:rPr>
              <w:t>21</w:t>
            </w:r>
          </w:p>
        </w:tc>
        <w:tc>
          <w:tcPr>
            <w:tcW w:w="1665" w:type="dxa"/>
          </w:tcPr>
          <w:p>
            <w:pPr>
              <w:pStyle w:val="84"/>
              <w:spacing w:line="360" w:lineRule="auto"/>
              <w:rPr>
                <w:sz w:val="24"/>
              </w:rPr>
            </w:pPr>
            <w:r>
              <w:rPr>
                <w:rFonts w:hint="eastAsia"/>
                <w:sz w:val="24"/>
              </w:rPr>
              <w:t>5</w:t>
            </w:r>
            <w:r>
              <w:rPr>
                <w:sz w:val="24"/>
              </w:rPr>
              <w:t>.2.1-2</w:t>
            </w:r>
            <w:r>
              <w:rPr>
                <w:rFonts w:hint="eastAsia"/>
                <w:sz w:val="24"/>
              </w:rPr>
              <w:t>条</w:t>
            </w:r>
          </w:p>
        </w:tc>
        <w:tc>
          <w:tcPr>
            <w:tcW w:w="4430"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5" w:type="dxa"/>
          </w:tcPr>
          <w:p>
            <w:pPr>
              <w:pStyle w:val="84"/>
              <w:spacing w:line="360" w:lineRule="auto"/>
              <w:rPr>
                <w:sz w:val="24"/>
              </w:rPr>
            </w:pPr>
            <w:r>
              <w:rPr>
                <w:rFonts w:hint="eastAsia"/>
                <w:sz w:val="24"/>
              </w:rPr>
              <w:t>5</w:t>
            </w:r>
            <w:r>
              <w:rPr>
                <w:sz w:val="24"/>
              </w:rPr>
              <w:t>.2.2</w:t>
            </w:r>
            <w:r>
              <w:rPr>
                <w:rFonts w:hint="eastAsia"/>
                <w:sz w:val="24"/>
              </w:rPr>
              <w:t>条</w:t>
            </w:r>
          </w:p>
        </w:tc>
        <w:tc>
          <w:tcPr>
            <w:tcW w:w="4430"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5" w:type="dxa"/>
          </w:tcPr>
          <w:p>
            <w:pPr>
              <w:pStyle w:val="84"/>
              <w:spacing w:line="360" w:lineRule="auto"/>
              <w:rPr>
                <w:sz w:val="24"/>
              </w:rPr>
            </w:pPr>
            <w:r>
              <w:rPr>
                <w:rFonts w:hint="eastAsia"/>
                <w:sz w:val="24"/>
              </w:rPr>
              <w:t>5</w:t>
            </w:r>
            <w:r>
              <w:rPr>
                <w:sz w:val="24"/>
              </w:rPr>
              <w:t>.2.4</w:t>
            </w:r>
            <w:r>
              <w:rPr>
                <w:rFonts w:hint="eastAsia"/>
                <w:sz w:val="24"/>
              </w:rPr>
              <w:t>条</w:t>
            </w:r>
          </w:p>
        </w:tc>
        <w:tc>
          <w:tcPr>
            <w:tcW w:w="4430"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5" w:type="dxa"/>
          </w:tcPr>
          <w:p>
            <w:pPr>
              <w:pStyle w:val="84"/>
              <w:spacing w:line="360" w:lineRule="auto"/>
              <w:rPr>
                <w:sz w:val="24"/>
              </w:rPr>
            </w:pPr>
            <w:r>
              <w:rPr>
                <w:rFonts w:hint="eastAsia"/>
                <w:sz w:val="24"/>
              </w:rPr>
              <w:t>5</w:t>
            </w:r>
            <w:r>
              <w:rPr>
                <w:sz w:val="24"/>
              </w:rPr>
              <w:t>.3.1</w:t>
            </w:r>
            <w:r>
              <w:rPr>
                <w:rFonts w:hint="eastAsia"/>
                <w:sz w:val="24"/>
              </w:rPr>
              <w:t>条</w:t>
            </w:r>
          </w:p>
        </w:tc>
        <w:tc>
          <w:tcPr>
            <w:tcW w:w="4430"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jc w:val="left"/>
              <w:rPr>
                <w:sz w:val="24"/>
              </w:rPr>
            </w:pPr>
            <w:r>
              <w:rPr>
                <w:rFonts w:hint="eastAsia"/>
                <w:sz w:val="24"/>
              </w:rPr>
              <w:t xml:space="preserve">    设计人员填写本条内容时应根据建筑施工图的各层平面图等相关设计文件、建筑适变性提升措施的设计说明，按照项目实际，填写此项内容。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jc w:val="left"/>
              <w:rPr>
                <w:sz w:val="24"/>
              </w:rPr>
            </w:pPr>
            <w:r>
              <w:rPr>
                <w:rFonts w:hint="eastAsia"/>
                <w:sz w:val="24"/>
              </w:rPr>
              <w:t xml:space="preserve">    绿色建筑设计应以提高空间利用率为原则，提倡建筑空间与设施的共享。建筑中休息空间、交往空间、会议设施、健身设施等的共享，可以有效地提高空间的利用效率，节约用地、节约建设成本及对资源的消耗，并应通过精心设计，避免过多的大厅、中庭、走廊等交通辅助空间；避免不必要的高大空间和实际使用功能的空间。避免因设计不当形成一些很难使用或使用效率低的空间。</w:t>
            </w:r>
          </w:p>
          <w:p>
            <w:pPr>
              <w:pStyle w:val="84"/>
              <w:spacing w:line="360" w:lineRule="auto"/>
              <w:jc w:val="left"/>
              <w:rPr>
                <w:sz w:val="24"/>
              </w:rPr>
            </w:pPr>
            <w:r>
              <w:rPr>
                <w:rFonts w:hint="eastAsia"/>
                <w:sz w:val="24"/>
              </w:rPr>
              <w:t xml:space="preserve">    为适应预期的功能变化，设计时应选择适宜的开间和层高，并应尽可能采用轻质内隔墙。公共建筑宜考虑、使用功能、使用人数和使用方式的未来变化，满足预期的需求。室内环境需求相同或相近空间集中布置的原则有利于节材节地节能，是绿色建筑设计的核心概念。需求相同或相近的空间集中布置，有利于统筹布置设备管线，减少能源损耗，减少管道材料的使用。根据房间声环境要求的不同，对各类房间进行布局和划分，可以达到区域噪声控制的良好效果。</w:t>
            </w:r>
          </w:p>
          <w:p>
            <w:pPr>
              <w:pStyle w:val="84"/>
              <w:spacing w:line="360" w:lineRule="auto"/>
              <w:jc w:val="left"/>
              <w:rPr>
                <w:sz w:val="24"/>
              </w:rPr>
            </w:pPr>
            <w:r>
              <w:rPr>
                <w:rFonts w:hint="eastAsia"/>
                <w:sz w:val="24"/>
              </w:rPr>
              <w:t xml:space="preserve">    在保证室内工作环境不受影响的前提下，在办公、商场等公共建筑室内空间尽量多地采用可重复使用的灵活隔墙，或采用元隔墙只有矮隔断的大开间敞开式空间，可减少室内空间重新布置时对建筑构件的破坏，节约材料，同时为使用期间构配件的替换和将来建筑拆除后构配件的再利用创造条件。</w:t>
            </w:r>
          </w:p>
          <w:p>
            <w:pPr>
              <w:pStyle w:val="84"/>
              <w:spacing w:line="360" w:lineRule="auto"/>
              <w:jc w:val="left"/>
              <w:rPr>
                <w:sz w:val="24"/>
              </w:rPr>
            </w:pPr>
            <w:r>
              <w:rPr>
                <w:rFonts w:hint="eastAsia"/>
                <w:sz w:val="24"/>
              </w:rPr>
              <w:t xml:space="preserve">    除走廊、楼梯、电梯井、卫生间、设备机房、公共管井以外的地上室内空间均应视为“可变换功能的室内空间”，有特殊隔声、防护及特殊工艺需求的空间不计人。此外，作为商业、办公用途的地下空间也应视为“可变换功能的室内空间”，其他用途的地下空间可不计人。</w:t>
            </w:r>
          </w:p>
          <w:p>
            <w:pPr>
              <w:pStyle w:val="84"/>
              <w:spacing w:line="360" w:lineRule="auto"/>
              <w:jc w:val="left"/>
              <w:rPr>
                <w:sz w:val="24"/>
              </w:rPr>
            </w:pPr>
            <w:r>
              <w:rPr>
                <w:rFonts w:hint="eastAsia"/>
                <w:sz w:val="24"/>
              </w:rPr>
              <w:t xml:space="preserve">    “可重复使用的隔断（墙）”在拆除过程中应基本不影响与之相接的其他隔墙，拆卸后可进行再次利用，如大开间敞开式空间内的玻璃隔断（墙）、预制隔断（墙）、特殊节点设计的可分段拆除的轻钢龙骨水泥板或石膏板隔断（墙）和木隔断（墙）等。是否具有可拆卸节点，也是认定某隔断（墙）是否属于 “可重复使用的隔断（墙）”的一个关键点，例如用砂浆砌筑的砌体隔墙不算可重复使用的隔墙。本条中“可重复使用隔断（墙）”为：实际采用的可重复使用隔断（墙）围合的建筑面积与建筑中可变换功能的室内空间面积的比值。</w:t>
            </w:r>
          </w:p>
        </w:tc>
      </w:tr>
    </w:tbl>
    <w:p>
      <w:pPr>
        <w:spacing w:line="360" w:lineRule="auto"/>
        <w:ind w:firstLine="420"/>
        <w:rPr>
          <w:rFonts w:asciiTheme="minorEastAsia" w:hAnsiTheme="minorEastAsia" w:eastAsiaTheme="minorEastAsia"/>
          <w:sz w:val="24"/>
        </w:rPr>
      </w:pPr>
    </w:p>
    <w:p>
      <w:pPr>
        <w:pStyle w:val="17"/>
        <w:spacing w:line="360" w:lineRule="auto"/>
        <w:ind w:firstLine="422"/>
        <w:rPr>
          <w:rFonts w:asciiTheme="minorEastAsia" w:hAnsiTheme="minorEastAsia" w:eastAsiaTheme="minorEastAsia"/>
          <w:b/>
          <w:sz w:val="24"/>
        </w:rPr>
      </w:pPr>
      <w:r>
        <w:rPr>
          <w:rFonts w:asciiTheme="minorEastAsia" w:hAnsiTheme="minorEastAsia" w:eastAsiaTheme="minorEastAsia"/>
          <w:b/>
          <w:sz w:val="24"/>
        </w:rPr>
        <w:t>2</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建筑节能: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2.1 </w:t>
      </w:r>
      <w:r>
        <w:rPr>
          <w:rFonts w:hint="eastAsia" w:asciiTheme="minorEastAsia" w:hAnsiTheme="minorEastAsia" w:eastAsiaTheme="minorEastAsia"/>
          <w:sz w:val="24"/>
        </w:rPr>
        <w:t>建筑朝向与体形系数：</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2.1.1 </w:t>
      </w:r>
      <w:r>
        <w:rPr>
          <w:rFonts w:hint="eastAsia" w:asciiTheme="minorEastAsia" w:hAnsiTheme="minorEastAsia" w:eastAsiaTheme="minorEastAsia"/>
          <w:sz w:val="24"/>
        </w:rPr>
        <w:t>主体</w:t>
      </w:r>
      <w:r>
        <w:rPr>
          <w:rFonts w:asciiTheme="minorEastAsia" w:hAnsiTheme="minorEastAsia" w:eastAsiaTheme="minorEastAsia"/>
          <w:sz w:val="24"/>
        </w:rPr>
        <w:t>建筑朝向</w:t>
      </w:r>
      <w:r>
        <w:rPr>
          <w:rFonts w:hint="eastAsia"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2.1.2 </w:t>
      </w:r>
      <w:r>
        <w:rPr>
          <w:rFonts w:hint="eastAsia" w:asciiTheme="minorEastAsia" w:hAnsiTheme="minorEastAsia" w:eastAsiaTheme="minorEastAsia"/>
          <w:sz w:val="24"/>
        </w:rPr>
        <w:t>不利朝向采取的补偿措施；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2.1.3</w:t>
      </w:r>
      <w:r>
        <w:rPr>
          <w:rFonts w:hint="eastAsia" w:asciiTheme="minorEastAsia" w:hAnsiTheme="minorEastAsia" w:eastAsiaTheme="minorEastAsia"/>
          <w:sz w:val="24"/>
        </w:rPr>
        <w:t>建筑</w:t>
      </w:r>
      <w:r>
        <w:rPr>
          <w:rFonts w:asciiTheme="minorEastAsia" w:hAnsiTheme="minorEastAsia" w:eastAsiaTheme="minorEastAsia"/>
          <w:sz w:val="24"/>
        </w:rPr>
        <w:t>体形</w:t>
      </w:r>
      <w:r>
        <w:rPr>
          <w:rFonts w:hint="eastAsia" w:asciiTheme="minorEastAsia" w:hAnsiTheme="minorEastAsia" w:eastAsiaTheme="minorEastAsia"/>
          <w:sz w:val="24"/>
        </w:rPr>
        <w:t>系数；</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2020"/>
        <w:gridCol w:w="1661"/>
        <w:gridCol w:w="4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9" w:type="dxa"/>
            <w:vMerge w:val="restart"/>
          </w:tcPr>
          <w:p>
            <w:pPr>
              <w:pStyle w:val="84"/>
              <w:spacing w:line="360" w:lineRule="auto"/>
              <w:rPr>
                <w:sz w:val="24"/>
              </w:rPr>
            </w:pPr>
            <w:r>
              <w:rPr>
                <w:rFonts w:hint="eastAsia"/>
                <w:sz w:val="24"/>
              </w:rPr>
              <w:t>条文来源</w:t>
            </w:r>
          </w:p>
        </w:tc>
        <w:tc>
          <w:tcPr>
            <w:tcW w:w="2020" w:type="dxa"/>
            <w:vMerge w:val="restart"/>
          </w:tcPr>
          <w:p>
            <w:pPr>
              <w:pStyle w:val="84"/>
              <w:spacing w:line="360" w:lineRule="auto"/>
              <w:rPr>
                <w:sz w:val="24"/>
              </w:rPr>
            </w:pPr>
            <w:r>
              <w:rPr>
                <w:rFonts w:hint="eastAsia"/>
                <w:sz w:val="24"/>
              </w:rPr>
              <w:t>DB33/1092-20</w:t>
            </w:r>
            <w:r>
              <w:rPr>
                <w:sz w:val="24"/>
              </w:rPr>
              <w:t>21</w:t>
            </w:r>
          </w:p>
        </w:tc>
        <w:tc>
          <w:tcPr>
            <w:tcW w:w="1661" w:type="dxa"/>
          </w:tcPr>
          <w:p>
            <w:pPr>
              <w:pStyle w:val="84"/>
              <w:spacing w:line="360" w:lineRule="auto"/>
              <w:rPr>
                <w:sz w:val="24"/>
              </w:rPr>
            </w:pPr>
            <w:r>
              <w:rPr>
                <w:rFonts w:hint="eastAsia"/>
                <w:sz w:val="24"/>
              </w:rPr>
              <w:t>5.</w:t>
            </w:r>
            <w:r>
              <w:rPr>
                <w:sz w:val="24"/>
              </w:rPr>
              <w:t>1.3</w:t>
            </w:r>
            <w:r>
              <w:rPr>
                <w:rFonts w:hint="eastAsia"/>
                <w:sz w:val="24"/>
              </w:rPr>
              <w:t>条-</w:t>
            </w:r>
            <w:r>
              <w:rPr>
                <w:sz w:val="24"/>
              </w:rPr>
              <w:t>1</w:t>
            </w:r>
          </w:p>
        </w:tc>
        <w:tc>
          <w:tcPr>
            <w:tcW w:w="4292"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9" w:type="dxa"/>
            <w:vMerge w:val="continue"/>
          </w:tcPr>
          <w:p>
            <w:pPr>
              <w:pStyle w:val="84"/>
              <w:spacing w:line="360" w:lineRule="auto"/>
              <w:rPr>
                <w:sz w:val="24"/>
              </w:rPr>
            </w:pPr>
          </w:p>
        </w:tc>
        <w:tc>
          <w:tcPr>
            <w:tcW w:w="2020" w:type="dxa"/>
            <w:vMerge w:val="continue"/>
          </w:tcPr>
          <w:p>
            <w:pPr>
              <w:pStyle w:val="84"/>
              <w:spacing w:line="360" w:lineRule="auto"/>
              <w:rPr>
                <w:sz w:val="24"/>
              </w:rPr>
            </w:pPr>
          </w:p>
        </w:tc>
        <w:tc>
          <w:tcPr>
            <w:tcW w:w="1661" w:type="dxa"/>
          </w:tcPr>
          <w:p>
            <w:pPr>
              <w:pStyle w:val="84"/>
              <w:spacing w:line="360" w:lineRule="auto"/>
              <w:rPr>
                <w:sz w:val="24"/>
              </w:rPr>
            </w:pPr>
            <w:r>
              <w:rPr>
                <w:sz w:val="24"/>
              </w:rPr>
              <w:t>5.2.8</w:t>
            </w:r>
            <w:r>
              <w:rPr>
                <w:rFonts w:hint="eastAsia"/>
                <w:sz w:val="24"/>
              </w:rPr>
              <w:t>条</w:t>
            </w:r>
          </w:p>
        </w:tc>
        <w:tc>
          <w:tcPr>
            <w:tcW w:w="4292"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9" w:type="dxa"/>
            <w:vMerge w:val="continue"/>
          </w:tcPr>
          <w:p>
            <w:pPr>
              <w:pStyle w:val="84"/>
              <w:spacing w:line="360" w:lineRule="auto"/>
              <w:rPr>
                <w:sz w:val="24"/>
              </w:rPr>
            </w:pPr>
          </w:p>
        </w:tc>
        <w:tc>
          <w:tcPr>
            <w:tcW w:w="2020" w:type="dxa"/>
            <w:vMerge w:val="continue"/>
          </w:tcPr>
          <w:p>
            <w:pPr>
              <w:pStyle w:val="84"/>
              <w:spacing w:line="360" w:lineRule="auto"/>
              <w:rPr>
                <w:sz w:val="24"/>
              </w:rPr>
            </w:pPr>
          </w:p>
        </w:tc>
        <w:tc>
          <w:tcPr>
            <w:tcW w:w="1661" w:type="dxa"/>
          </w:tcPr>
          <w:p>
            <w:pPr>
              <w:pStyle w:val="84"/>
              <w:spacing w:line="360" w:lineRule="auto"/>
              <w:rPr>
                <w:sz w:val="24"/>
              </w:rPr>
            </w:pPr>
            <w:r>
              <w:rPr>
                <w:rFonts w:hint="eastAsia"/>
                <w:sz w:val="24"/>
              </w:rPr>
              <w:t>5</w:t>
            </w:r>
            <w:r>
              <w:rPr>
                <w:sz w:val="24"/>
              </w:rPr>
              <w:t>.4.1</w:t>
            </w:r>
            <w:r>
              <w:rPr>
                <w:rFonts w:hint="eastAsia"/>
                <w:sz w:val="24"/>
              </w:rPr>
              <w:t>条</w:t>
            </w:r>
          </w:p>
        </w:tc>
        <w:tc>
          <w:tcPr>
            <w:tcW w:w="4292"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pStyle w:val="84"/>
              <w:spacing w:line="360" w:lineRule="auto"/>
              <w:rPr>
                <w:sz w:val="24"/>
              </w:rPr>
            </w:pPr>
            <w:r>
              <w:rPr>
                <w:rFonts w:hint="eastAsia"/>
                <w:sz w:val="24"/>
              </w:rPr>
              <w:t>依据材料</w:t>
            </w:r>
          </w:p>
        </w:tc>
        <w:tc>
          <w:tcPr>
            <w:tcW w:w="7973" w:type="dxa"/>
            <w:gridSpan w:val="3"/>
          </w:tcPr>
          <w:p>
            <w:pPr>
              <w:pStyle w:val="84"/>
              <w:spacing w:line="360" w:lineRule="auto"/>
              <w:jc w:val="left"/>
              <w:rPr>
                <w:sz w:val="24"/>
              </w:rPr>
            </w:pPr>
            <w:r>
              <w:rPr>
                <w:rFonts w:hint="eastAsia"/>
                <w:sz w:val="24"/>
              </w:rPr>
              <w:t xml:space="preserve">    时应根据场地地形图、建筑总平面图等设计文件，施工总图；节能计算报告书；建筑立面图及门窗做法说明，建筑体形、朝向、楼距、窗墙比等的优化报告（包括节能设计目标、设计思路、设计效果及有关模拟分析报告），依据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pStyle w:val="84"/>
              <w:spacing w:line="360" w:lineRule="auto"/>
              <w:rPr>
                <w:sz w:val="24"/>
              </w:rPr>
            </w:pPr>
            <w:r>
              <w:rPr>
                <w:rFonts w:hint="eastAsia"/>
                <w:sz w:val="24"/>
              </w:rPr>
              <w:t>备注</w:t>
            </w:r>
          </w:p>
        </w:tc>
        <w:tc>
          <w:tcPr>
            <w:tcW w:w="7973" w:type="dxa"/>
            <w:gridSpan w:val="3"/>
          </w:tcPr>
          <w:p>
            <w:pPr>
              <w:pStyle w:val="84"/>
              <w:spacing w:line="360" w:lineRule="auto"/>
              <w:ind w:firstLine="480" w:firstLineChars="200"/>
              <w:jc w:val="left"/>
              <w:rPr>
                <w:sz w:val="24"/>
              </w:rPr>
            </w:pPr>
            <w:r>
              <w:rPr>
                <w:rFonts w:hint="eastAsia"/>
                <w:sz w:val="24"/>
              </w:rPr>
              <w:t>建筑的体形、朝向、窗墙</w:t>
            </w:r>
            <w:r>
              <w:rPr>
                <w:sz w:val="24"/>
              </w:rPr>
              <w:t>比、楼距以及楼群的布置都</w:t>
            </w:r>
            <w:r>
              <w:rPr>
                <w:rFonts w:hint="eastAsia"/>
                <w:sz w:val="24"/>
              </w:rPr>
              <w:t>对</w:t>
            </w:r>
            <w:r>
              <w:rPr>
                <w:sz w:val="24"/>
              </w:rPr>
              <w:t>通</w:t>
            </w:r>
            <w:r>
              <w:rPr>
                <w:rFonts w:hint="eastAsia"/>
                <w:sz w:val="24"/>
              </w:rPr>
              <w:t>风、日照、采光以及遮阳有明显的影响，因而也间接影响建筑的供暖和空调能耗以及建筑室内环境的舒适性，应该给予足够的重视</w:t>
            </w:r>
            <w:r>
              <w:rPr>
                <w:sz w:val="24"/>
              </w:rPr>
              <w:t>。</w:t>
            </w:r>
          </w:p>
          <w:p>
            <w:pPr>
              <w:pStyle w:val="84"/>
              <w:spacing w:line="360" w:lineRule="auto"/>
              <w:ind w:firstLine="480" w:firstLineChars="200"/>
              <w:jc w:val="left"/>
              <w:rPr>
                <w:sz w:val="24"/>
              </w:rPr>
            </w:pPr>
            <w:r>
              <w:rPr>
                <w:rFonts w:hint="eastAsia"/>
                <w:sz w:val="24"/>
              </w:rPr>
              <w:t>如果建筑的体形简单</w:t>
            </w:r>
            <w:r>
              <w:rPr>
                <w:sz w:val="24"/>
              </w:rPr>
              <w:t>、朝向接近正南正北，楼</w:t>
            </w:r>
            <w:r>
              <w:rPr>
                <w:rFonts w:hint="eastAsia"/>
                <w:sz w:val="24"/>
              </w:rPr>
              <w:t>间</w:t>
            </w:r>
            <w:r>
              <w:rPr>
                <w:sz w:val="24"/>
              </w:rPr>
              <w:t>距、窗</w:t>
            </w:r>
            <w:r>
              <w:rPr>
                <w:rFonts w:hint="eastAsia"/>
                <w:sz w:val="24"/>
              </w:rPr>
              <w:t>墙</w:t>
            </w:r>
            <w:r>
              <w:rPr>
                <w:sz w:val="24"/>
              </w:rPr>
              <w:t>比</w:t>
            </w:r>
            <w:r>
              <w:rPr>
                <w:rFonts w:hint="eastAsia"/>
                <w:sz w:val="24"/>
              </w:rPr>
              <w:t>也满</w:t>
            </w:r>
            <w:r>
              <w:rPr>
                <w:sz w:val="24"/>
              </w:rPr>
              <w:t>足</w:t>
            </w:r>
            <w:r>
              <w:rPr>
                <w:rFonts w:hint="eastAsia"/>
                <w:sz w:val="24"/>
              </w:rPr>
              <w:t>标</w:t>
            </w:r>
            <w:r>
              <w:rPr>
                <w:sz w:val="24"/>
              </w:rPr>
              <w:t>准要求，可</w:t>
            </w:r>
            <w:r>
              <w:rPr>
                <w:rFonts w:hint="eastAsia"/>
                <w:sz w:val="24"/>
              </w:rPr>
              <w:t>视为设计</w:t>
            </w:r>
            <w:r>
              <w:rPr>
                <w:sz w:val="24"/>
              </w:rPr>
              <w:t>合理，</w:t>
            </w:r>
            <w:r>
              <w:rPr>
                <w:rFonts w:hint="eastAsia"/>
                <w:sz w:val="24"/>
              </w:rPr>
              <w:t>在</w:t>
            </w:r>
            <w:r>
              <w:rPr>
                <w:sz w:val="24"/>
              </w:rPr>
              <w:t>2</w:t>
            </w:r>
            <w:r>
              <w:rPr>
                <w:rFonts w:hint="eastAsia"/>
                <w:sz w:val="24"/>
              </w:rPr>
              <w:t>.1.1项可直接选择“是”。体形等复杂时</w:t>
            </w:r>
            <w:r>
              <w:rPr>
                <w:sz w:val="24"/>
              </w:rPr>
              <w:t>，</w:t>
            </w:r>
            <w:r>
              <w:rPr>
                <w:rFonts w:hint="eastAsia"/>
                <w:sz w:val="24"/>
              </w:rPr>
              <w:t>应对</w:t>
            </w:r>
            <w:r>
              <w:rPr>
                <w:sz w:val="24"/>
              </w:rPr>
              <w:t>体形、朝向、楼距、窗</w:t>
            </w:r>
            <w:r>
              <w:rPr>
                <w:rFonts w:hint="eastAsia"/>
                <w:sz w:val="24"/>
              </w:rPr>
              <w:t>墙</w:t>
            </w:r>
            <w:r>
              <w:rPr>
                <w:sz w:val="24"/>
              </w:rPr>
              <w:t>比等</w:t>
            </w:r>
            <w:r>
              <w:rPr>
                <w:rFonts w:hint="eastAsia"/>
                <w:sz w:val="24"/>
              </w:rPr>
              <w:t>进</w:t>
            </w:r>
            <w:r>
              <w:rPr>
                <w:sz w:val="24"/>
              </w:rPr>
              <w:t>行</w:t>
            </w:r>
            <w:r>
              <w:rPr>
                <w:rFonts w:hint="eastAsia"/>
                <w:sz w:val="24"/>
              </w:rPr>
              <w:t>综</w:t>
            </w:r>
            <w:r>
              <w:rPr>
                <w:sz w:val="24"/>
              </w:rPr>
              <w:t>合性</w:t>
            </w:r>
            <w:r>
              <w:rPr>
                <w:rFonts w:hint="eastAsia"/>
                <w:sz w:val="24"/>
              </w:rPr>
              <w:t>优</w:t>
            </w:r>
            <w:r>
              <w:rPr>
                <w:sz w:val="24"/>
              </w:rPr>
              <w:t>化</w:t>
            </w:r>
            <w:r>
              <w:rPr>
                <w:rFonts w:hint="eastAsia"/>
                <w:sz w:val="24"/>
              </w:rPr>
              <w:t>设计</w:t>
            </w:r>
            <w:r>
              <w:rPr>
                <w:sz w:val="24"/>
              </w:rPr>
              <w:t>。</w:t>
            </w:r>
          </w:p>
          <w:p>
            <w:pPr>
              <w:pStyle w:val="84"/>
              <w:spacing w:line="360" w:lineRule="auto"/>
              <w:ind w:firstLine="480" w:firstLineChars="200"/>
              <w:jc w:val="left"/>
              <w:rPr>
                <w:sz w:val="24"/>
              </w:rPr>
            </w:pPr>
            <w:r>
              <w:rPr>
                <w:rFonts w:hint="eastAsia"/>
                <w:sz w:val="24"/>
              </w:rPr>
              <w:t>建筑朝向的选择</w:t>
            </w:r>
            <w:r>
              <w:rPr>
                <w:sz w:val="24"/>
              </w:rPr>
              <w:t>，涉及当地气候条件、地理</w:t>
            </w:r>
            <w:r>
              <w:rPr>
                <w:rFonts w:hint="eastAsia"/>
                <w:sz w:val="24"/>
              </w:rPr>
              <w:t>环</w:t>
            </w:r>
            <w:r>
              <w:rPr>
                <w:sz w:val="24"/>
              </w:rPr>
              <w:t>境、建筑</w:t>
            </w:r>
            <w:r>
              <w:rPr>
                <w:rFonts w:hint="eastAsia"/>
                <w:sz w:val="24"/>
              </w:rPr>
              <w:t>用地情况等，必须全面考虑。选择的总原则是：在节约用地的前提下，既要避免夏季过多的日晒，又要兼顾冬季能争取较多的日照，并充分利用自然的通风。</w:t>
            </w:r>
          </w:p>
          <w:p>
            <w:pPr>
              <w:pStyle w:val="84"/>
              <w:spacing w:line="360" w:lineRule="auto"/>
              <w:ind w:firstLine="480" w:firstLineChars="200"/>
              <w:jc w:val="left"/>
              <w:rPr>
                <w:sz w:val="24"/>
              </w:rPr>
            </w:pPr>
            <w:r>
              <w:rPr>
                <w:rFonts w:hint="eastAsia"/>
                <w:sz w:val="24"/>
              </w:rPr>
              <w:t>建筑朝向（大多数条式建筑的主要朝向）与夏季主导季风方向宜控制在南偏东</w:t>
            </w:r>
            <w:r>
              <w:rPr>
                <w:sz w:val="24"/>
              </w:rPr>
              <w:t>30</w:t>
            </w:r>
            <w:r>
              <w:rPr>
                <w:rFonts w:hint="eastAsia"/>
                <w:sz w:val="24"/>
              </w:rPr>
              <w:t>°至南偏西</w:t>
            </w:r>
            <w:r>
              <w:rPr>
                <w:sz w:val="24"/>
              </w:rPr>
              <w:t>15</w:t>
            </w:r>
            <w:r>
              <w:rPr>
                <w:rFonts w:hint="eastAsia"/>
                <w:sz w:val="24"/>
              </w:rPr>
              <w:t>°之间。建筑朝向受各方面条件的制约，所有建筑有时不能处于最佳或适宜朝向。当建筑采取东西向和南北向拼接等不利朝向时，必须考虑两者接受日照的程度和相互遮挡的关系，对朝向不佳的建筑可增加以下的补偿措施：</w:t>
            </w:r>
          </w:p>
          <w:p>
            <w:pPr>
              <w:pStyle w:val="84"/>
              <w:spacing w:line="360" w:lineRule="auto"/>
              <w:ind w:firstLine="480" w:firstLineChars="200"/>
              <w:jc w:val="left"/>
              <w:rPr>
                <w:sz w:val="24"/>
              </w:rPr>
            </w:pPr>
            <w:r>
              <w:rPr>
                <w:sz w:val="24"/>
              </w:rPr>
              <w:t xml:space="preserve">1 </w:t>
            </w:r>
            <w:r>
              <w:rPr>
                <w:rFonts w:hint="eastAsia"/>
                <w:sz w:val="24"/>
              </w:rPr>
              <w:t>将次要房间放在西面或北面，减少北向房间的进深。</w:t>
            </w:r>
          </w:p>
          <w:p>
            <w:pPr>
              <w:pStyle w:val="84"/>
              <w:spacing w:line="360" w:lineRule="auto"/>
              <w:ind w:firstLine="480" w:firstLineChars="200"/>
              <w:jc w:val="left"/>
              <w:rPr>
                <w:sz w:val="24"/>
              </w:rPr>
            </w:pPr>
            <w:r>
              <w:rPr>
                <w:sz w:val="24"/>
              </w:rPr>
              <w:t xml:space="preserve">2 </w:t>
            </w:r>
            <w:r>
              <w:rPr>
                <w:rFonts w:hint="eastAsia"/>
                <w:sz w:val="24"/>
              </w:rPr>
              <w:t>在西边设置进深较大的阳台，不让太阳一晒到底，同时减小西窗面积，设遮阳设施，在西窗外种植枝大叶茂的落叶乔木。</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2.2 </w:t>
      </w:r>
      <w:r>
        <w:rPr>
          <w:rFonts w:hint="eastAsia" w:asciiTheme="minorEastAsia" w:hAnsiTheme="minorEastAsia" w:eastAsiaTheme="minorEastAsia"/>
          <w:sz w:val="24"/>
        </w:rPr>
        <w:t>围护结构及其性能：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1</w:t>
      </w:r>
      <w:r>
        <w:rPr>
          <w:rFonts w:asciiTheme="minorEastAsia" w:hAnsiTheme="minorEastAsia" w:eastAsiaTheme="minorEastAsia"/>
          <w:sz w:val="24"/>
        </w:rPr>
        <w:t xml:space="preserve"> </w:t>
      </w:r>
      <w:r>
        <w:rPr>
          <w:rFonts w:hint="eastAsia" w:asciiTheme="minorEastAsia" w:hAnsiTheme="minorEastAsia" w:eastAsiaTheme="minorEastAsia"/>
          <w:sz w:val="24"/>
        </w:rPr>
        <w:t>围护结构热工性能的提高比例，或建筑供暖空调负荷降低比例</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025"/>
        <w:gridCol w:w="1666"/>
        <w:gridCol w:w="4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4" w:type="dxa"/>
            <w:vMerge w:val="restart"/>
          </w:tcPr>
          <w:p>
            <w:pPr>
              <w:pStyle w:val="84"/>
              <w:spacing w:line="360" w:lineRule="auto"/>
              <w:rPr>
                <w:sz w:val="24"/>
              </w:rPr>
            </w:pPr>
            <w:r>
              <w:rPr>
                <w:rFonts w:hint="eastAsia"/>
                <w:sz w:val="24"/>
              </w:rPr>
              <w:t>条文来源</w:t>
            </w:r>
          </w:p>
        </w:tc>
        <w:tc>
          <w:tcPr>
            <w:tcW w:w="2025" w:type="dxa"/>
            <w:vMerge w:val="restart"/>
          </w:tcPr>
          <w:p>
            <w:pPr>
              <w:pStyle w:val="84"/>
              <w:spacing w:line="360" w:lineRule="auto"/>
              <w:rPr>
                <w:sz w:val="24"/>
              </w:rPr>
            </w:pPr>
            <w:r>
              <w:rPr>
                <w:rFonts w:hint="eastAsia"/>
                <w:sz w:val="24"/>
              </w:rPr>
              <w:t>GB/T 50378-201</w:t>
            </w:r>
            <w:r>
              <w:rPr>
                <w:sz w:val="24"/>
              </w:rPr>
              <w:t>9</w:t>
            </w:r>
          </w:p>
        </w:tc>
        <w:tc>
          <w:tcPr>
            <w:tcW w:w="1666" w:type="dxa"/>
          </w:tcPr>
          <w:p>
            <w:pPr>
              <w:pStyle w:val="84"/>
              <w:spacing w:line="360" w:lineRule="auto"/>
              <w:rPr>
                <w:sz w:val="24"/>
              </w:rPr>
            </w:pPr>
            <w:r>
              <w:rPr>
                <w:sz w:val="24"/>
              </w:rPr>
              <w:t>5.1.7</w:t>
            </w:r>
            <w:r>
              <w:rPr>
                <w:rFonts w:hint="eastAsia"/>
                <w:sz w:val="24"/>
              </w:rPr>
              <w:t>条</w:t>
            </w:r>
          </w:p>
        </w:tc>
        <w:tc>
          <w:tcPr>
            <w:tcW w:w="4287"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vMerge w:val="restart"/>
          </w:tcPr>
          <w:p>
            <w:pPr>
              <w:pStyle w:val="84"/>
              <w:spacing w:line="360" w:lineRule="auto"/>
              <w:rPr>
                <w:sz w:val="24"/>
              </w:rPr>
            </w:pPr>
            <w:r>
              <w:rPr>
                <w:sz w:val="24"/>
              </w:rPr>
              <w:t>5.2.4</w:t>
            </w:r>
            <w:r>
              <w:rPr>
                <w:rFonts w:hint="eastAsia"/>
                <w:sz w:val="24"/>
              </w:rPr>
              <w:t>条 -1</w:t>
            </w:r>
          </w:p>
        </w:tc>
        <w:tc>
          <w:tcPr>
            <w:tcW w:w="4287" w:type="dxa"/>
          </w:tcPr>
          <w:p>
            <w:pPr>
              <w:pStyle w:val="84"/>
              <w:spacing w:line="360" w:lineRule="auto"/>
              <w:rPr>
                <w:sz w:val="24"/>
              </w:rPr>
            </w:pPr>
            <w:r>
              <w:rPr>
                <w:rFonts w:hint="eastAsia"/>
                <w:sz w:val="24"/>
              </w:rPr>
              <w:t>围护结</w:t>
            </w:r>
            <w:r>
              <w:rPr>
                <w:sz w:val="24"/>
              </w:rPr>
              <w:t>构</w:t>
            </w:r>
            <w:r>
              <w:rPr>
                <w:rFonts w:hint="eastAsia"/>
                <w:sz w:val="24"/>
              </w:rPr>
              <w:t>热</w:t>
            </w:r>
            <w:r>
              <w:rPr>
                <w:sz w:val="24"/>
              </w:rPr>
              <w:t>工性能比国家</w:t>
            </w:r>
            <w:r>
              <w:rPr>
                <w:rFonts w:hint="eastAsia"/>
                <w:sz w:val="24"/>
              </w:rPr>
              <w:t>现</w:t>
            </w:r>
            <w:r>
              <w:rPr>
                <w:sz w:val="24"/>
              </w:rPr>
              <w:t>行相关建筑</w:t>
            </w:r>
            <w:r>
              <w:rPr>
                <w:rFonts w:hint="eastAsia"/>
                <w:sz w:val="24"/>
              </w:rPr>
              <w:t>节</w:t>
            </w:r>
            <w:r>
              <w:rPr>
                <w:sz w:val="24"/>
              </w:rPr>
              <w:t>能</w:t>
            </w:r>
            <w:r>
              <w:rPr>
                <w:rFonts w:hint="eastAsia"/>
                <w:sz w:val="24"/>
              </w:rPr>
              <w:t>设计标</w:t>
            </w:r>
            <w:r>
              <w:rPr>
                <w:sz w:val="24"/>
              </w:rPr>
              <w:t>准</w:t>
            </w:r>
            <w:r>
              <w:rPr>
                <w:rFonts w:hint="eastAsia"/>
                <w:sz w:val="24"/>
              </w:rPr>
              <w:t>规定的提高幅度达到</w:t>
            </w:r>
            <w:r>
              <w:rPr>
                <w:sz w:val="24"/>
              </w:rPr>
              <w:t>5%</w:t>
            </w:r>
            <w:r>
              <w:rPr>
                <w:rFonts w:hint="eastAsia"/>
                <w:sz w:val="24"/>
              </w:rPr>
              <w:t>，</w:t>
            </w:r>
            <w:r>
              <w:rPr>
                <w:sz w:val="24"/>
              </w:rPr>
              <w:t xml:space="preserve">5 </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vMerge w:val="continue"/>
          </w:tcPr>
          <w:p>
            <w:pPr>
              <w:pStyle w:val="84"/>
              <w:spacing w:line="360" w:lineRule="auto"/>
              <w:rPr>
                <w:sz w:val="24"/>
              </w:rPr>
            </w:pPr>
          </w:p>
        </w:tc>
        <w:tc>
          <w:tcPr>
            <w:tcW w:w="4287" w:type="dxa"/>
          </w:tcPr>
          <w:p>
            <w:pPr>
              <w:pStyle w:val="84"/>
              <w:spacing w:line="360" w:lineRule="auto"/>
              <w:rPr>
                <w:sz w:val="24"/>
              </w:rPr>
            </w:pPr>
            <w:r>
              <w:rPr>
                <w:rFonts w:hint="eastAsia"/>
                <w:sz w:val="24"/>
              </w:rPr>
              <w:t>达到</w:t>
            </w:r>
            <w:r>
              <w:rPr>
                <w:sz w:val="24"/>
              </w:rPr>
              <w:t>10%</w:t>
            </w:r>
            <w:r>
              <w:rPr>
                <w:rFonts w:hint="eastAsia"/>
                <w:sz w:val="24"/>
              </w:rPr>
              <w:t>，</w:t>
            </w:r>
            <w:r>
              <w:rPr>
                <w:sz w:val="24"/>
              </w:rPr>
              <w:t>10</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restart"/>
          </w:tcPr>
          <w:p>
            <w:pPr>
              <w:pStyle w:val="84"/>
              <w:spacing w:line="360" w:lineRule="auto"/>
              <w:rPr>
                <w:sz w:val="24"/>
              </w:rPr>
            </w:pPr>
            <w:r>
              <w:rPr>
                <w:rFonts w:hint="eastAsia"/>
                <w:sz w:val="24"/>
              </w:rPr>
              <w:t>DB33/1092-20</w:t>
            </w:r>
            <w:r>
              <w:rPr>
                <w:sz w:val="24"/>
              </w:rPr>
              <w:t>21</w:t>
            </w:r>
          </w:p>
        </w:tc>
        <w:tc>
          <w:tcPr>
            <w:tcW w:w="1666" w:type="dxa"/>
          </w:tcPr>
          <w:p>
            <w:pPr>
              <w:pStyle w:val="84"/>
              <w:spacing w:line="360" w:lineRule="auto"/>
              <w:rPr>
                <w:sz w:val="24"/>
              </w:rPr>
            </w:pPr>
            <w:r>
              <w:rPr>
                <w:rFonts w:hint="eastAsia"/>
                <w:sz w:val="24"/>
              </w:rPr>
              <w:t>5.1.</w:t>
            </w:r>
            <w:r>
              <w:rPr>
                <w:sz w:val="24"/>
              </w:rPr>
              <w:t>3</w:t>
            </w:r>
            <w:r>
              <w:rPr>
                <w:rFonts w:hint="eastAsia"/>
                <w:sz w:val="24"/>
              </w:rPr>
              <w:t>条-</w:t>
            </w:r>
            <w:r>
              <w:rPr>
                <w:sz w:val="24"/>
              </w:rPr>
              <w:t>2</w:t>
            </w:r>
          </w:p>
        </w:tc>
        <w:tc>
          <w:tcPr>
            <w:tcW w:w="4287"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tcPr>
          <w:p>
            <w:pPr>
              <w:pStyle w:val="84"/>
              <w:spacing w:line="360" w:lineRule="auto"/>
              <w:rPr>
                <w:sz w:val="24"/>
              </w:rPr>
            </w:pPr>
            <w:r>
              <w:rPr>
                <w:rFonts w:hint="eastAsia"/>
                <w:sz w:val="24"/>
              </w:rPr>
              <w:t>5.1.</w:t>
            </w:r>
            <w:r>
              <w:rPr>
                <w:sz w:val="24"/>
              </w:rPr>
              <w:t>4</w:t>
            </w:r>
            <w:r>
              <w:rPr>
                <w:rFonts w:hint="eastAsia"/>
                <w:sz w:val="24"/>
              </w:rPr>
              <w:t>条</w:t>
            </w:r>
          </w:p>
        </w:tc>
        <w:tc>
          <w:tcPr>
            <w:tcW w:w="4287"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tcPr>
          <w:p>
            <w:pPr>
              <w:pStyle w:val="84"/>
              <w:spacing w:line="360" w:lineRule="auto"/>
              <w:rPr>
                <w:sz w:val="24"/>
              </w:rPr>
            </w:pPr>
            <w:r>
              <w:rPr>
                <w:rFonts w:hint="eastAsia"/>
                <w:sz w:val="24"/>
              </w:rPr>
              <w:t>5.2.</w:t>
            </w:r>
            <w:r>
              <w:rPr>
                <w:sz w:val="24"/>
              </w:rPr>
              <w:t>9</w:t>
            </w:r>
            <w:r>
              <w:rPr>
                <w:rFonts w:hint="eastAsia"/>
                <w:sz w:val="24"/>
              </w:rPr>
              <w:t>条-</w:t>
            </w:r>
            <w:r>
              <w:rPr>
                <w:sz w:val="24"/>
              </w:rPr>
              <w:t>1</w:t>
            </w:r>
          </w:p>
        </w:tc>
        <w:tc>
          <w:tcPr>
            <w:tcW w:w="4287"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tcPr>
          <w:p>
            <w:pPr>
              <w:pStyle w:val="84"/>
              <w:spacing w:line="360" w:lineRule="auto"/>
              <w:rPr>
                <w:sz w:val="24"/>
              </w:rPr>
            </w:pPr>
            <w:r>
              <w:rPr>
                <w:rFonts w:hint="eastAsia"/>
                <w:sz w:val="24"/>
              </w:rPr>
              <w:t>5.3.2条-</w:t>
            </w:r>
            <w:r>
              <w:rPr>
                <w:sz w:val="24"/>
              </w:rPr>
              <w:t>1</w:t>
            </w:r>
          </w:p>
        </w:tc>
        <w:tc>
          <w:tcPr>
            <w:tcW w:w="4287"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tcPr>
          <w:p>
            <w:pPr>
              <w:pStyle w:val="84"/>
              <w:spacing w:line="360" w:lineRule="auto"/>
              <w:rPr>
                <w:sz w:val="24"/>
              </w:rPr>
            </w:pPr>
            <w:r>
              <w:rPr>
                <w:rFonts w:hint="eastAsia"/>
                <w:sz w:val="24"/>
              </w:rPr>
              <w:t>5</w:t>
            </w:r>
            <w:r>
              <w:rPr>
                <w:sz w:val="24"/>
              </w:rPr>
              <w:t>.3.4</w:t>
            </w:r>
            <w:r>
              <w:rPr>
                <w:rFonts w:hint="eastAsia"/>
                <w:sz w:val="24"/>
              </w:rPr>
              <w:t>条</w:t>
            </w:r>
          </w:p>
        </w:tc>
        <w:tc>
          <w:tcPr>
            <w:tcW w:w="4287"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tcPr>
          <w:p>
            <w:pPr>
              <w:pStyle w:val="84"/>
              <w:spacing w:line="360" w:lineRule="auto"/>
              <w:rPr>
                <w:sz w:val="24"/>
              </w:rPr>
            </w:pPr>
            <w:r>
              <w:rPr>
                <w:sz w:val="24"/>
              </w:rPr>
              <w:t>5.4.3</w:t>
            </w:r>
            <w:r>
              <w:rPr>
                <w:rFonts w:hint="eastAsia"/>
                <w:sz w:val="24"/>
              </w:rPr>
              <w:t>条-</w:t>
            </w:r>
            <w:r>
              <w:rPr>
                <w:sz w:val="24"/>
              </w:rPr>
              <w:t>1</w:t>
            </w:r>
          </w:p>
        </w:tc>
        <w:tc>
          <w:tcPr>
            <w:tcW w:w="4287"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6" w:type="dxa"/>
          </w:tcPr>
          <w:p>
            <w:pPr>
              <w:pStyle w:val="84"/>
              <w:spacing w:line="360" w:lineRule="auto"/>
              <w:rPr>
                <w:sz w:val="24"/>
              </w:rPr>
            </w:pPr>
            <w:r>
              <w:rPr>
                <w:rFonts w:hint="eastAsia"/>
                <w:sz w:val="24"/>
              </w:rPr>
              <w:t>5</w:t>
            </w:r>
            <w:r>
              <w:rPr>
                <w:sz w:val="24"/>
              </w:rPr>
              <w:t>.4.5</w:t>
            </w:r>
            <w:r>
              <w:rPr>
                <w:rFonts w:hint="eastAsia"/>
                <w:sz w:val="24"/>
              </w:rPr>
              <w:t>条</w:t>
            </w:r>
          </w:p>
        </w:tc>
        <w:tc>
          <w:tcPr>
            <w:tcW w:w="4287"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pStyle w:val="84"/>
              <w:spacing w:line="360" w:lineRule="auto"/>
              <w:rPr>
                <w:sz w:val="24"/>
              </w:rPr>
            </w:pPr>
            <w:r>
              <w:rPr>
                <w:rFonts w:hint="eastAsia"/>
                <w:sz w:val="24"/>
              </w:rPr>
              <w:t>依据材料</w:t>
            </w:r>
          </w:p>
        </w:tc>
        <w:tc>
          <w:tcPr>
            <w:tcW w:w="7978" w:type="dxa"/>
            <w:gridSpan w:val="3"/>
          </w:tcPr>
          <w:p>
            <w:pPr>
              <w:pStyle w:val="84"/>
              <w:spacing w:line="360" w:lineRule="auto"/>
              <w:ind w:firstLine="480" w:firstLineChars="200"/>
              <w:jc w:val="left"/>
              <w:rPr>
                <w:sz w:val="24"/>
              </w:rPr>
            </w:pPr>
            <w:r>
              <w:rPr>
                <w:rFonts w:hint="eastAsia"/>
                <w:sz w:val="24"/>
              </w:rPr>
              <w:t>根据建筑施工图及设计说明、维护结构施工图详图、围护结构热工性能参数表、当地建筑节能审查相关文件、对供暖空调全年计算负荷报告等文件上的数据，以及建筑节能计算书中的专项计算分析报告，按照项目实际填写此项内容。</w:t>
            </w:r>
          </w:p>
          <w:p>
            <w:pPr>
              <w:pStyle w:val="84"/>
              <w:spacing w:line="360" w:lineRule="auto"/>
              <w:ind w:firstLine="480" w:firstLineChars="200"/>
              <w:jc w:val="left"/>
              <w:rPr>
                <w:sz w:val="24"/>
              </w:rPr>
            </w:pPr>
            <w:r>
              <w:rPr>
                <w:rFonts w:hint="eastAsia"/>
                <w:sz w:val="24"/>
              </w:rPr>
              <w:t>另外值得注意的是，夏热冬冷地区多采用外墙外保温或外墙内外复合保温系统，如完全按照地方明确的节能构造图集进行设计，可直接认为是隔热验算通过的。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pStyle w:val="84"/>
              <w:spacing w:line="360" w:lineRule="auto"/>
              <w:rPr>
                <w:sz w:val="24"/>
              </w:rPr>
            </w:pPr>
            <w:r>
              <w:rPr>
                <w:rFonts w:hint="eastAsia"/>
                <w:sz w:val="24"/>
              </w:rPr>
              <w:t>备注</w:t>
            </w:r>
          </w:p>
        </w:tc>
        <w:tc>
          <w:tcPr>
            <w:tcW w:w="7978" w:type="dxa"/>
            <w:gridSpan w:val="3"/>
          </w:tcPr>
          <w:p>
            <w:pPr>
              <w:pStyle w:val="84"/>
              <w:spacing w:line="360" w:lineRule="auto"/>
              <w:ind w:firstLine="480" w:firstLineChars="200"/>
              <w:jc w:val="left"/>
              <w:rPr>
                <w:sz w:val="24"/>
              </w:rPr>
            </w:pPr>
            <w:r>
              <w:rPr>
                <w:rFonts w:hint="eastAsia"/>
                <w:sz w:val="24"/>
              </w:rPr>
              <w:t>如景观图未与土建施工图同时出图时，应在土建图中写明相应措施为景观设计的前置要求，并在总平面图及设计说明中表达。</w:t>
            </w:r>
          </w:p>
          <w:p>
            <w:pPr>
              <w:pStyle w:val="84"/>
              <w:spacing w:line="360" w:lineRule="auto"/>
              <w:ind w:firstLine="480" w:firstLineChars="200"/>
              <w:jc w:val="left"/>
              <w:rPr>
                <w:sz w:val="24"/>
              </w:rPr>
            </w:pPr>
            <w:r>
              <w:rPr>
                <w:rFonts w:hint="eastAsia"/>
                <w:sz w:val="24"/>
              </w:rPr>
              <w:t>围护结构的热工性能指标对建筑冬季供暖和夏季空调的负荷和能耗有很大的影响，国家和行业的建筑节能设计标准都对围护结构的热工性能提出明确的要求。本条对优于国家和行业节能设计标准规定的热工性能指标进行评分。</w:t>
            </w:r>
          </w:p>
          <w:p>
            <w:pPr>
              <w:pStyle w:val="84"/>
              <w:spacing w:line="360" w:lineRule="auto"/>
              <w:ind w:firstLine="480" w:firstLineChars="200"/>
              <w:jc w:val="left"/>
              <w:rPr>
                <w:sz w:val="24"/>
              </w:rPr>
            </w:pPr>
            <w:r>
              <w:rPr>
                <w:rFonts w:hint="eastAsia"/>
                <w:sz w:val="24"/>
              </w:rPr>
              <w:t>屋顶和东西外墙的隔热性能，对于建筑在夏季时室内热舒适度的改善，以及空调负荷的降低，具有重要意义。</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2</w:t>
      </w:r>
      <w:r>
        <w:rPr>
          <w:rFonts w:asciiTheme="minorEastAsia" w:hAnsiTheme="minorEastAsia" w:eastAsiaTheme="minorEastAsia"/>
          <w:sz w:val="24"/>
        </w:rPr>
        <w:t xml:space="preserve"> </w:t>
      </w:r>
      <w:r>
        <w:rPr>
          <w:rFonts w:hint="eastAsia" w:asciiTheme="minorEastAsia" w:hAnsiTheme="minorEastAsia" w:eastAsiaTheme="minorEastAsia"/>
          <w:sz w:val="24"/>
        </w:rPr>
        <w:t>整幢建筑总窗墙面积比不得大于0.70</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7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tcPr>
          <w:p>
            <w:pPr>
              <w:spacing w:line="360" w:lineRule="auto"/>
              <w:rPr>
                <w:rFonts w:hAnsi="宋体"/>
                <w:sz w:val="24"/>
              </w:rPr>
            </w:pPr>
            <w:r>
              <w:rPr>
                <w:rFonts w:hint="eastAsia" w:hAnsi="宋体"/>
                <w:sz w:val="24"/>
              </w:rPr>
              <w:t>条文来源</w:t>
            </w:r>
          </w:p>
        </w:tc>
        <w:tc>
          <w:tcPr>
            <w:tcW w:w="7938" w:type="dxa"/>
          </w:tcPr>
          <w:p>
            <w:pPr>
              <w:spacing w:line="360" w:lineRule="auto"/>
              <w:rPr>
                <w:rFonts w:hAnsi="宋体"/>
                <w:sz w:val="24"/>
              </w:rPr>
            </w:pPr>
            <w:r>
              <w:rPr>
                <w:rFonts w:hint="eastAsia" w:hAnsi="宋体"/>
                <w:sz w:val="24"/>
              </w:rPr>
              <w:t>DB33/1036-2021 第4.2.3-1条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938" w:type="dxa"/>
          </w:tcPr>
          <w:p>
            <w:pPr>
              <w:spacing w:line="360" w:lineRule="auto"/>
              <w:rPr>
                <w:rFonts w:hAnsi="宋体"/>
                <w:sz w:val="24"/>
              </w:rPr>
            </w:pPr>
            <w:r>
              <w:rPr>
                <w:rFonts w:hint="eastAsia" w:hAnsi="宋体"/>
                <w:sz w:val="24"/>
              </w:rPr>
              <w:t>设计人员应根据规范要求合理控制窗墙比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ind w:firstLine="420"/>
              <w:rPr>
                <w:rFonts w:hAnsi="宋体"/>
                <w:sz w:val="24"/>
              </w:rPr>
            </w:pPr>
            <w:r>
              <w:rPr>
                <w:rFonts w:hint="eastAsia" w:hAnsi="宋体"/>
                <w:sz w:val="24"/>
              </w:rPr>
              <w:t>备注</w:t>
            </w:r>
          </w:p>
        </w:tc>
        <w:tc>
          <w:tcPr>
            <w:tcW w:w="7938" w:type="dxa"/>
          </w:tcPr>
          <w:p>
            <w:pPr>
              <w:spacing w:line="360" w:lineRule="auto"/>
              <w:ind w:firstLine="420"/>
              <w:rPr>
                <w:rFonts w:hAnsi="宋体"/>
                <w:sz w:val="24"/>
              </w:rPr>
            </w:pP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3</w:t>
      </w:r>
      <w:r>
        <w:rPr>
          <w:rFonts w:asciiTheme="minorEastAsia" w:hAnsiTheme="minorEastAsia" w:eastAsiaTheme="minorEastAsia"/>
          <w:sz w:val="24"/>
        </w:rPr>
        <w:t xml:space="preserve"> </w:t>
      </w:r>
      <w:r>
        <w:rPr>
          <w:rFonts w:hint="eastAsia" w:asciiTheme="minorEastAsia" w:hAnsiTheme="minorEastAsia" w:eastAsiaTheme="minorEastAsia"/>
          <w:sz w:val="24"/>
        </w:rPr>
        <w:t>甲类</w:t>
      </w:r>
      <w:r>
        <w:rPr>
          <w:rFonts w:asciiTheme="minorEastAsia" w:hAnsiTheme="minorEastAsia" w:eastAsiaTheme="minorEastAsia"/>
          <w:sz w:val="24"/>
        </w:rPr>
        <w:t>公共建筑各</w:t>
      </w:r>
      <w:r>
        <w:rPr>
          <w:rFonts w:hint="eastAsia" w:asciiTheme="minorEastAsia" w:hAnsiTheme="minorEastAsia" w:eastAsiaTheme="minorEastAsia"/>
          <w:sz w:val="24"/>
        </w:rPr>
        <w:t>单</w:t>
      </w:r>
      <w:r>
        <w:rPr>
          <w:rFonts w:asciiTheme="minorEastAsia" w:hAnsiTheme="minorEastAsia" w:eastAsiaTheme="minorEastAsia"/>
          <w:sz w:val="24"/>
        </w:rPr>
        <w:t>一立面窗</w:t>
      </w:r>
      <w:r>
        <w:rPr>
          <w:rFonts w:hint="eastAsia" w:asciiTheme="minorEastAsia" w:hAnsiTheme="minorEastAsia" w:eastAsiaTheme="minorEastAsia"/>
          <w:sz w:val="24"/>
        </w:rPr>
        <w:t>墙</w:t>
      </w:r>
      <w:r>
        <w:rPr>
          <w:rFonts w:asciiTheme="minorEastAsia" w:hAnsiTheme="minorEastAsia" w:eastAsiaTheme="minorEastAsia"/>
          <w:sz w:val="24"/>
        </w:rPr>
        <w:t>面</w:t>
      </w:r>
      <w:r>
        <w:rPr>
          <w:rFonts w:hint="eastAsia" w:asciiTheme="minorEastAsia" w:hAnsiTheme="minorEastAsia" w:eastAsiaTheme="minorEastAsia"/>
          <w:sz w:val="24"/>
        </w:rPr>
        <w:t>积</w:t>
      </w:r>
      <w:r>
        <w:rPr>
          <w:rFonts w:asciiTheme="minorEastAsia" w:hAnsiTheme="minorEastAsia" w:eastAsiaTheme="minorEastAsia"/>
          <w:sz w:val="24"/>
        </w:rPr>
        <w:t>比（包括</w:t>
      </w:r>
      <w:r>
        <w:rPr>
          <w:rFonts w:hint="eastAsia" w:asciiTheme="minorEastAsia" w:hAnsiTheme="minorEastAsia" w:eastAsiaTheme="minorEastAsia"/>
          <w:sz w:val="24"/>
        </w:rPr>
        <w:t>透光幕墙</w:t>
      </w:r>
      <w:r>
        <w:rPr>
          <w:rFonts w:asciiTheme="minorEastAsia" w:hAnsiTheme="minorEastAsia" w:eastAsiaTheme="minorEastAsia"/>
          <w:sz w:val="24"/>
        </w:rPr>
        <w:t>）</w:t>
      </w:r>
      <w:r>
        <w:rPr>
          <w:rFonts w:hint="eastAsia" w:asciiTheme="minorEastAsia" w:hAnsiTheme="minorEastAsia" w:eastAsiaTheme="minorEastAsia"/>
          <w:sz w:val="24"/>
        </w:rPr>
        <w:t>均不大于</w:t>
      </w:r>
      <w:r>
        <w:rPr>
          <w:rFonts w:asciiTheme="minorEastAsia" w:hAnsiTheme="minorEastAsia" w:eastAsiaTheme="minorEastAsia"/>
          <w:sz w:val="24"/>
        </w:rPr>
        <w:t>0.70</w:t>
      </w:r>
      <w:r>
        <w:rPr>
          <w:rFonts w:hint="eastAsia" w:asciiTheme="minorEastAsia" w:hAnsiTheme="minorEastAsia" w:eastAsiaTheme="minorEastAsia"/>
          <w:sz w:val="24"/>
        </w:rPr>
        <w:t>；</w:t>
      </w:r>
    </w:p>
    <w:p>
      <w:pPr>
        <w:spacing w:line="360" w:lineRule="auto"/>
        <w:ind w:firstLine="420"/>
        <w:rPr>
          <w:rFonts w:asciiTheme="minorEastAsia" w:hAnsiTheme="minorEastAsia"/>
          <w:sz w:val="24"/>
        </w:rPr>
      </w:pPr>
      <w:r>
        <w:rPr>
          <w:rFonts w:hint="eastAsia" w:asciiTheme="minorEastAsia" w:hAnsiTheme="minorEastAsia" w:eastAsiaTheme="minorEastAsia"/>
          <w:sz w:val="24"/>
        </w:rPr>
        <w:t xml:space="preserve">2.2.4 </w:t>
      </w:r>
      <w:r>
        <w:rPr>
          <w:rFonts w:hint="eastAsia"/>
          <w:sz w:val="24"/>
        </w:rPr>
        <w:t>外窗（包括透光幕墙）玻璃选用；</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2.2.5 建筑外门窗安装牢固，其气密性、水密性和抗风压性能符合国家现行有关标准的规定。建筑外门窗的气密性分级符合现行国家标准《建筑幕墙、门窗通用技术条件》GB/T 31433、《建筑外窗气密、水密、抗风压性能检测方法》GB/T 7106中的相关规定；</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2.2.6外窗框与外墙之间缝隙采用高效保温材料填充，并用密封材料嵌缝；</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7</w:t>
      </w:r>
      <w:r>
        <w:rPr>
          <w:rFonts w:asciiTheme="minorEastAsia" w:hAnsiTheme="minorEastAsia" w:eastAsiaTheme="minorEastAsia"/>
          <w:sz w:val="24"/>
        </w:rPr>
        <w:t xml:space="preserve"> </w:t>
      </w:r>
      <w:r>
        <w:rPr>
          <w:rFonts w:hint="eastAsia" w:asciiTheme="minorEastAsia" w:hAnsiTheme="minorEastAsia" w:eastAsiaTheme="minorEastAsia"/>
          <w:sz w:val="24"/>
        </w:rPr>
        <w:t>金属窗框和明框幕墙型材采用隔断热桥措施，玻璃应采用中空玻璃；</w:t>
      </w:r>
    </w:p>
    <w:p>
      <w:pPr>
        <w:spacing w:line="360" w:lineRule="auto"/>
        <w:ind w:firstLine="420"/>
        <w:rPr>
          <w:rFonts w:asciiTheme="minorEastAsia" w:hAnsiTheme="minorEastAsia"/>
          <w:sz w:val="24"/>
        </w:rPr>
      </w:pPr>
      <w:r>
        <w:rPr>
          <w:rFonts w:hint="eastAsia" w:asciiTheme="minorEastAsia" w:hAnsiTheme="minorEastAsia" w:eastAsiaTheme="minorEastAsia"/>
          <w:sz w:val="24"/>
        </w:rPr>
        <w:t xml:space="preserve">2.2.8 </w:t>
      </w:r>
      <w:r>
        <w:rPr>
          <w:rFonts w:hint="eastAsia"/>
          <w:sz w:val="24"/>
        </w:rPr>
        <w:t>外窗选用取得“建筑门窗节能性能标识”认证的产品，且外窗使用地区与标识推荐的适宜地区一致；</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9</w:t>
      </w:r>
      <w:r>
        <w:rPr>
          <w:rFonts w:asciiTheme="minorEastAsia" w:hAnsiTheme="minorEastAsia" w:eastAsiaTheme="minorEastAsia"/>
          <w:sz w:val="24"/>
        </w:rPr>
        <w:t xml:space="preserve"> </w:t>
      </w:r>
      <w:r>
        <w:rPr>
          <w:rFonts w:hint="eastAsia" w:asciiTheme="minorEastAsia" w:hAnsiTheme="minorEastAsia" w:eastAsiaTheme="minorEastAsia"/>
          <w:sz w:val="24"/>
        </w:rPr>
        <w:t>除常规保温隔热设计措施外，本项目屋面和东西向外墙采取以下强化隔热设计措施；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10</w:t>
      </w:r>
      <w:r>
        <w:rPr>
          <w:rFonts w:asciiTheme="minorEastAsia" w:hAnsiTheme="minorEastAsia" w:eastAsiaTheme="minorEastAsia"/>
          <w:sz w:val="24"/>
        </w:rPr>
        <w:t xml:space="preserve"> </w:t>
      </w:r>
      <w:r>
        <w:rPr>
          <w:rFonts w:hint="eastAsia" w:asciiTheme="minorEastAsia" w:hAnsiTheme="minorEastAsia" w:eastAsiaTheme="minorEastAsia"/>
          <w:sz w:val="24"/>
        </w:rPr>
        <w:t>屋顶绿化面积、太阳能板水平投影面积以及采用太阳辐射反射系数不小于0.4的屋面面积；</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2.2.</w:t>
      </w:r>
      <w:r>
        <w:rPr>
          <w:rFonts w:hint="eastAsia" w:asciiTheme="minorEastAsia" w:hAnsiTheme="minorEastAsia" w:eastAsiaTheme="minorEastAsia"/>
          <w:sz w:val="24"/>
        </w:rPr>
        <w:t>11</w:t>
      </w:r>
      <w:r>
        <w:rPr>
          <w:rFonts w:asciiTheme="minorEastAsia" w:hAnsiTheme="minorEastAsia" w:eastAsiaTheme="minorEastAsia"/>
          <w:sz w:val="24"/>
        </w:rPr>
        <w:t xml:space="preserve"> </w:t>
      </w:r>
      <w:r>
        <w:rPr>
          <w:rFonts w:hint="eastAsia" w:asciiTheme="minorEastAsia" w:hAnsiTheme="minorEastAsia" w:eastAsiaTheme="minorEastAsia"/>
          <w:sz w:val="24"/>
        </w:rPr>
        <w:t>人员进出频繁的公共建筑主要出入口采用的措施；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734"/>
        <w:gridCol w:w="1907"/>
        <w:gridCol w:w="4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restart"/>
          </w:tcPr>
          <w:p>
            <w:pPr>
              <w:pStyle w:val="84"/>
              <w:spacing w:line="360" w:lineRule="auto"/>
              <w:rPr>
                <w:sz w:val="24"/>
              </w:rPr>
            </w:pPr>
            <w:r>
              <w:rPr>
                <w:rFonts w:hint="eastAsia"/>
                <w:sz w:val="24"/>
              </w:rPr>
              <w:t>条文来源</w:t>
            </w:r>
          </w:p>
        </w:tc>
        <w:tc>
          <w:tcPr>
            <w:tcW w:w="2734" w:type="dxa"/>
            <w:vMerge w:val="restart"/>
          </w:tcPr>
          <w:p>
            <w:pPr>
              <w:pStyle w:val="84"/>
              <w:spacing w:line="360" w:lineRule="auto"/>
              <w:rPr>
                <w:sz w:val="24"/>
              </w:rPr>
            </w:pPr>
            <w:r>
              <w:rPr>
                <w:rFonts w:hint="eastAsia"/>
                <w:sz w:val="24"/>
              </w:rPr>
              <w:t>GB/T 50378-201</w:t>
            </w:r>
            <w:r>
              <w:rPr>
                <w:sz w:val="24"/>
              </w:rPr>
              <w:t>9</w:t>
            </w:r>
          </w:p>
        </w:tc>
        <w:tc>
          <w:tcPr>
            <w:tcW w:w="1907" w:type="dxa"/>
          </w:tcPr>
          <w:p>
            <w:pPr>
              <w:pStyle w:val="84"/>
              <w:spacing w:line="360" w:lineRule="auto"/>
              <w:rPr>
                <w:sz w:val="24"/>
              </w:rPr>
            </w:pPr>
            <w:r>
              <w:rPr>
                <w:sz w:val="24"/>
              </w:rPr>
              <w:t>4.1.2</w:t>
            </w:r>
            <w:r>
              <w:rPr>
                <w:rFonts w:hint="eastAsia"/>
                <w:sz w:val="24"/>
              </w:rPr>
              <w:t>条</w:t>
            </w:r>
          </w:p>
        </w:tc>
        <w:tc>
          <w:tcPr>
            <w:tcW w:w="4076"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continue"/>
          </w:tcPr>
          <w:p>
            <w:pPr>
              <w:pStyle w:val="84"/>
              <w:spacing w:line="360" w:lineRule="auto"/>
              <w:rPr>
                <w:sz w:val="24"/>
              </w:rPr>
            </w:pPr>
          </w:p>
        </w:tc>
        <w:tc>
          <w:tcPr>
            <w:tcW w:w="1907" w:type="dxa"/>
          </w:tcPr>
          <w:p>
            <w:pPr>
              <w:pStyle w:val="84"/>
              <w:spacing w:line="360" w:lineRule="auto"/>
              <w:rPr>
                <w:sz w:val="24"/>
              </w:rPr>
            </w:pPr>
            <w:r>
              <w:rPr>
                <w:sz w:val="24"/>
              </w:rPr>
              <w:t>4.1.5</w:t>
            </w:r>
            <w:r>
              <w:rPr>
                <w:rFonts w:hint="eastAsia"/>
                <w:sz w:val="24"/>
              </w:rPr>
              <w:t>条</w:t>
            </w:r>
          </w:p>
        </w:tc>
        <w:tc>
          <w:tcPr>
            <w:tcW w:w="4076"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continue"/>
          </w:tcPr>
          <w:p>
            <w:pPr>
              <w:pStyle w:val="84"/>
              <w:spacing w:line="360" w:lineRule="auto"/>
              <w:rPr>
                <w:sz w:val="24"/>
              </w:rPr>
            </w:pPr>
          </w:p>
        </w:tc>
        <w:tc>
          <w:tcPr>
            <w:tcW w:w="1907" w:type="dxa"/>
          </w:tcPr>
          <w:p>
            <w:pPr>
              <w:pStyle w:val="84"/>
              <w:spacing w:line="360" w:lineRule="auto"/>
              <w:rPr>
                <w:sz w:val="24"/>
              </w:rPr>
            </w:pPr>
            <w:r>
              <w:rPr>
                <w:rFonts w:hint="eastAsia"/>
                <w:sz w:val="24"/>
              </w:rPr>
              <w:t>8</w:t>
            </w:r>
            <w:r>
              <w:rPr>
                <w:sz w:val="24"/>
              </w:rPr>
              <w:t>.2.9</w:t>
            </w:r>
            <w:r>
              <w:rPr>
                <w:rFonts w:hint="eastAsia"/>
                <w:sz w:val="24"/>
              </w:rPr>
              <w:t>条-</w:t>
            </w:r>
            <w:r>
              <w:rPr>
                <w:sz w:val="24"/>
              </w:rPr>
              <w:t>3</w:t>
            </w:r>
          </w:p>
        </w:tc>
        <w:tc>
          <w:tcPr>
            <w:tcW w:w="4076" w:type="dxa"/>
          </w:tcPr>
          <w:p>
            <w:pPr>
              <w:pStyle w:val="84"/>
              <w:spacing w:line="360" w:lineRule="auto"/>
              <w:rPr>
                <w:sz w:val="24"/>
              </w:rPr>
            </w:pPr>
            <w:r>
              <w:rPr>
                <w:rFonts w:hint="eastAsia"/>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restart"/>
          </w:tcPr>
          <w:p>
            <w:pPr>
              <w:pStyle w:val="84"/>
              <w:spacing w:line="360" w:lineRule="auto"/>
              <w:rPr>
                <w:sz w:val="24"/>
              </w:rPr>
            </w:pPr>
            <w:r>
              <w:rPr>
                <w:rFonts w:hint="eastAsia"/>
                <w:sz w:val="24"/>
              </w:rPr>
              <w:t>DB33/1092-20</w:t>
            </w:r>
            <w:r>
              <w:rPr>
                <w:sz w:val="24"/>
              </w:rPr>
              <w:t>21</w:t>
            </w:r>
          </w:p>
        </w:tc>
        <w:tc>
          <w:tcPr>
            <w:tcW w:w="1907" w:type="dxa"/>
          </w:tcPr>
          <w:p>
            <w:pPr>
              <w:pStyle w:val="84"/>
              <w:spacing w:line="360" w:lineRule="auto"/>
              <w:rPr>
                <w:sz w:val="24"/>
              </w:rPr>
            </w:pPr>
            <w:r>
              <w:rPr>
                <w:rFonts w:hint="eastAsia"/>
                <w:sz w:val="24"/>
              </w:rPr>
              <w:t>5.1.</w:t>
            </w:r>
            <w:r>
              <w:rPr>
                <w:sz w:val="24"/>
              </w:rPr>
              <w:t>6</w:t>
            </w:r>
            <w:r>
              <w:rPr>
                <w:rFonts w:hint="eastAsia"/>
                <w:sz w:val="24"/>
              </w:rPr>
              <w:t>条</w:t>
            </w:r>
          </w:p>
        </w:tc>
        <w:tc>
          <w:tcPr>
            <w:tcW w:w="4076"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continue"/>
          </w:tcPr>
          <w:p>
            <w:pPr>
              <w:pStyle w:val="84"/>
              <w:spacing w:line="360" w:lineRule="auto"/>
              <w:rPr>
                <w:sz w:val="24"/>
              </w:rPr>
            </w:pPr>
          </w:p>
        </w:tc>
        <w:tc>
          <w:tcPr>
            <w:tcW w:w="1907" w:type="dxa"/>
          </w:tcPr>
          <w:p>
            <w:pPr>
              <w:pStyle w:val="84"/>
              <w:spacing w:line="360" w:lineRule="auto"/>
              <w:rPr>
                <w:sz w:val="24"/>
              </w:rPr>
            </w:pPr>
            <w:r>
              <w:rPr>
                <w:rFonts w:hint="eastAsia"/>
                <w:sz w:val="24"/>
              </w:rPr>
              <w:t>5.2.1</w:t>
            </w:r>
            <w:r>
              <w:rPr>
                <w:sz w:val="24"/>
              </w:rPr>
              <w:t>1</w:t>
            </w:r>
            <w:r>
              <w:rPr>
                <w:rFonts w:hint="eastAsia"/>
                <w:sz w:val="24"/>
              </w:rPr>
              <w:t>条</w:t>
            </w:r>
          </w:p>
        </w:tc>
        <w:tc>
          <w:tcPr>
            <w:tcW w:w="4076"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continue"/>
          </w:tcPr>
          <w:p>
            <w:pPr>
              <w:pStyle w:val="84"/>
              <w:spacing w:line="360" w:lineRule="auto"/>
              <w:rPr>
                <w:sz w:val="24"/>
              </w:rPr>
            </w:pPr>
          </w:p>
        </w:tc>
        <w:tc>
          <w:tcPr>
            <w:tcW w:w="1907" w:type="dxa"/>
          </w:tcPr>
          <w:p>
            <w:pPr>
              <w:pStyle w:val="84"/>
              <w:spacing w:line="360" w:lineRule="auto"/>
              <w:rPr>
                <w:sz w:val="24"/>
              </w:rPr>
            </w:pPr>
            <w:r>
              <w:rPr>
                <w:rFonts w:hint="eastAsia"/>
                <w:sz w:val="24"/>
              </w:rPr>
              <w:t>5</w:t>
            </w:r>
            <w:r>
              <w:rPr>
                <w:sz w:val="24"/>
              </w:rPr>
              <w:t>.3.3</w:t>
            </w:r>
            <w:r>
              <w:rPr>
                <w:rFonts w:hint="eastAsia"/>
                <w:sz w:val="24"/>
              </w:rPr>
              <w:t>条</w:t>
            </w:r>
          </w:p>
        </w:tc>
        <w:tc>
          <w:tcPr>
            <w:tcW w:w="4076"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restart"/>
          </w:tcPr>
          <w:p>
            <w:pPr>
              <w:pStyle w:val="84"/>
              <w:spacing w:line="360" w:lineRule="auto"/>
              <w:rPr>
                <w:sz w:val="24"/>
              </w:rPr>
            </w:pPr>
            <w:r>
              <w:rPr>
                <w:rFonts w:hint="eastAsia"/>
                <w:sz w:val="24"/>
              </w:rPr>
              <w:t>DB33/</w:t>
            </w:r>
            <w:r>
              <w:rPr>
                <w:sz w:val="24"/>
              </w:rPr>
              <w:t>T</w:t>
            </w:r>
            <w:r>
              <w:rPr>
                <w:rFonts w:hint="eastAsia"/>
                <w:sz w:val="24"/>
              </w:rPr>
              <w:t>10</w:t>
            </w:r>
            <w:r>
              <w:rPr>
                <w:sz w:val="24"/>
              </w:rPr>
              <w:t>64</w:t>
            </w:r>
            <w:r>
              <w:rPr>
                <w:rFonts w:hint="eastAsia"/>
                <w:sz w:val="24"/>
              </w:rPr>
              <w:t>-20</w:t>
            </w:r>
            <w:r>
              <w:rPr>
                <w:sz w:val="24"/>
              </w:rPr>
              <w:t>21</w:t>
            </w:r>
          </w:p>
        </w:tc>
        <w:tc>
          <w:tcPr>
            <w:tcW w:w="1907" w:type="dxa"/>
          </w:tcPr>
          <w:p>
            <w:pPr>
              <w:pStyle w:val="84"/>
              <w:spacing w:line="360" w:lineRule="auto"/>
              <w:rPr>
                <w:sz w:val="24"/>
              </w:rPr>
            </w:pPr>
            <w:r>
              <w:rPr>
                <w:rFonts w:hint="eastAsia"/>
                <w:sz w:val="24"/>
              </w:rPr>
              <w:t>4</w:t>
            </w:r>
            <w:r>
              <w:rPr>
                <w:sz w:val="24"/>
              </w:rPr>
              <w:t>.3.1</w:t>
            </w:r>
            <w:r>
              <w:rPr>
                <w:rFonts w:hint="eastAsia"/>
                <w:sz w:val="24"/>
              </w:rPr>
              <w:t>条</w:t>
            </w:r>
          </w:p>
        </w:tc>
        <w:tc>
          <w:tcPr>
            <w:tcW w:w="4076" w:type="dxa"/>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747" w:type="dxa"/>
            <w:vMerge w:val="continue"/>
          </w:tcPr>
          <w:p>
            <w:pPr>
              <w:pStyle w:val="84"/>
              <w:spacing w:line="360" w:lineRule="auto"/>
              <w:rPr>
                <w:sz w:val="24"/>
              </w:rPr>
            </w:pPr>
          </w:p>
        </w:tc>
        <w:tc>
          <w:tcPr>
            <w:tcW w:w="2734" w:type="dxa"/>
            <w:vMerge w:val="continue"/>
          </w:tcPr>
          <w:p>
            <w:pPr>
              <w:pStyle w:val="84"/>
              <w:spacing w:line="360" w:lineRule="auto"/>
              <w:rPr>
                <w:sz w:val="24"/>
              </w:rPr>
            </w:pPr>
          </w:p>
        </w:tc>
        <w:tc>
          <w:tcPr>
            <w:tcW w:w="1907" w:type="dxa"/>
          </w:tcPr>
          <w:p>
            <w:pPr>
              <w:pStyle w:val="84"/>
              <w:spacing w:line="360" w:lineRule="auto"/>
              <w:rPr>
                <w:sz w:val="24"/>
              </w:rPr>
            </w:pPr>
            <w:r>
              <w:rPr>
                <w:rFonts w:hint="eastAsia"/>
                <w:sz w:val="24"/>
              </w:rPr>
              <w:t>4.3.2条</w:t>
            </w:r>
          </w:p>
        </w:tc>
        <w:tc>
          <w:tcPr>
            <w:tcW w:w="4076" w:type="dxa"/>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pPr>
              <w:pStyle w:val="84"/>
              <w:spacing w:line="360" w:lineRule="auto"/>
              <w:rPr>
                <w:sz w:val="24"/>
              </w:rPr>
            </w:pPr>
            <w:r>
              <w:rPr>
                <w:rFonts w:hint="eastAsia"/>
                <w:sz w:val="24"/>
              </w:rPr>
              <w:t>依据材料</w:t>
            </w:r>
          </w:p>
        </w:tc>
        <w:tc>
          <w:tcPr>
            <w:tcW w:w="8717" w:type="dxa"/>
            <w:gridSpan w:val="3"/>
          </w:tcPr>
          <w:p>
            <w:pPr>
              <w:pStyle w:val="84"/>
              <w:spacing w:line="360" w:lineRule="auto"/>
              <w:ind w:firstLine="480" w:firstLineChars="200"/>
              <w:jc w:val="left"/>
              <w:rPr>
                <w:sz w:val="24"/>
              </w:rPr>
            </w:pPr>
            <w:r>
              <w:rPr>
                <w:rFonts w:hint="eastAsia"/>
                <w:sz w:val="24"/>
              </w:rPr>
              <w:t>本条填写时应根据节能计算报告书；建筑立面图及门窗做法说明；并核对是否满足节能评估报告相关内容。</w:t>
            </w:r>
          </w:p>
          <w:p>
            <w:pPr>
              <w:pStyle w:val="84"/>
              <w:spacing w:line="360" w:lineRule="auto"/>
              <w:ind w:firstLine="480" w:firstLineChars="200"/>
              <w:jc w:val="left"/>
              <w:rPr>
                <w:sz w:val="24"/>
              </w:rPr>
            </w:pPr>
            <w:r>
              <w:rPr>
                <w:rFonts w:hint="eastAsia"/>
                <w:sz w:val="24"/>
              </w:rPr>
              <w:t>数据来源应根据建筑设计相关文件、计算书、自然通风模拟分析报告、建筑节能计算书中的专项计算分析报告等，按实际如实填写本项内容。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pPr>
              <w:pStyle w:val="84"/>
              <w:spacing w:line="360" w:lineRule="auto"/>
              <w:rPr>
                <w:sz w:val="24"/>
              </w:rPr>
            </w:pPr>
            <w:r>
              <w:rPr>
                <w:rFonts w:hint="eastAsia"/>
                <w:sz w:val="24"/>
              </w:rPr>
              <w:t>备注</w:t>
            </w:r>
          </w:p>
        </w:tc>
        <w:tc>
          <w:tcPr>
            <w:tcW w:w="8717" w:type="dxa"/>
            <w:gridSpan w:val="3"/>
          </w:tcPr>
          <w:p>
            <w:pPr>
              <w:pStyle w:val="84"/>
              <w:spacing w:line="360" w:lineRule="auto"/>
              <w:ind w:firstLine="480" w:firstLineChars="200"/>
              <w:jc w:val="left"/>
              <w:rPr>
                <w:sz w:val="24"/>
              </w:rPr>
            </w:pPr>
            <w:r>
              <w:rPr>
                <w:rFonts w:hint="eastAsia"/>
                <w:sz w:val="24"/>
              </w:rPr>
              <w:t>本条要求主要是避免外窗处的热桥，以加强围护结构保温隔热性能：</w:t>
            </w:r>
          </w:p>
          <w:p>
            <w:pPr>
              <w:pStyle w:val="84"/>
              <w:spacing w:line="360" w:lineRule="auto"/>
              <w:ind w:firstLine="480" w:firstLineChars="200"/>
              <w:jc w:val="left"/>
              <w:rPr>
                <w:sz w:val="24"/>
              </w:rPr>
            </w:pPr>
            <w:r>
              <w:rPr>
                <w:sz w:val="24"/>
              </w:rPr>
              <w:t xml:space="preserve">1 </w:t>
            </w:r>
            <w:r>
              <w:rPr>
                <w:rFonts w:hint="eastAsia"/>
                <w:sz w:val="24"/>
              </w:rPr>
              <w:t>宜利用建筑本体自遮阳和建筑之间相互遮阳；</w:t>
            </w:r>
          </w:p>
          <w:p>
            <w:pPr>
              <w:pStyle w:val="84"/>
              <w:spacing w:line="360" w:lineRule="auto"/>
              <w:ind w:firstLine="480" w:firstLineChars="200"/>
              <w:jc w:val="left"/>
              <w:rPr>
                <w:sz w:val="24"/>
              </w:rPr>
            </w:pPr>
            <w:r>
              <w:rPr>
                <w:sz w:val="24"/>
              </w:rPr>
              <w:t xml:space="preserve">2 </w:t>
            </w:r>
            <w:r>
              <w:rPr>
                <w:rFonts w:hint="eastAsia"/>
                <w:sz w:val="24"/>
              </w:rPr>
              <w:t>遮阳设计宜考虑住户间的安全防护和空调室外机的设置；</w:t>
            </w:r>
          </w:p>
          <w:p>
            <w:pPr>
              <w:pStyle w:val="84"/>
              <w:spacing w:line="360" w:lineRule="auto"/>
              <w:ind w:firstLine="480" w:firstLineChars="200"/>
              <w:jc w:val="left"/>
              <w:rPr>
                <w:sz w:val="24"/>
              </w:rPr>
            </w:pPr>
            <w:r>
              <w:rPr>
                <w:sz w:val="24"/>
              </w:rPr>
              <w:t xml:space="preserve">3 </w:t>
            </w:r>
            <w:r>
              <w:rPr>
                <w:rFonts w:hint="eastAsia"/>
                <w:sz w:val="24"/>
              </w:rPr>
              <w:t>阳台宜考虑适合种植的构造措施，利用植物的遮蔽减少阳光对墙面的直晒。</w:t>
            </w:r>
          </w:p>
          <w:p>
            <w:pPr>
              <w:pStyle w:val="84"/>
              <w:spacing w:line="360" w:lineRule="auto"/>
              <w:jc w:val="left"/>
              <w:rPr>
                <w:sz w:val="24"/>
              </w:rPr>
            </w:pPr>
            <w:r>
              <w:rPr>
                <w:rFonts w:hint="eastAsia"/>
                <w:sz w:val="24"/>
              </w:rPr>
              <w:t>主要是避免外窗处的热桥，以加强围护结构保温隔热性能。目前居住建筑设计的外窗面积越来越大，凸窗、弧形窗以及转角窗越来越多，可是对其上下、左右不透明的顶板、底板和侧板的保温隔热处理又不够重视，这些部位基本上是钢筋混吐出挑的部位，室外墙上热工性能最薄弱的部位。</w:t>
            </w:r>
          </w:p>
          <w:p>
            <w:pPr>
              <w:pStyle w:val="84"/>
              <w:spacing w:line="360" w:lineRule="auto"/>
              <w:jc w:val="left"/>
              <w:rPr>
                <w:sz w:val="24"/>
              </w:rPr>
            </w:pPr>
            <w:r>
              <w:rPr>
                <w:rFonts w:hint="eastAsia"/>
                <w:sz w:val="24"/>
              </w:rPr>
              <w:t>建筑外窗风荷载标准值</w:t>
            </w:r>
            <w:r>
              <w:rPr>
                <w:sz w:val="24"/>
              </w:rPr>
              <w:t>wk</w:t>
            </w:r>
            <w:r>
              <w:rPr>
                <w:rFonts w:hint="eastAsia"/>
                <w:sz w:val="24"/>
              </w:rPr>
              <w:t>应依据现行国家标准《建筑结构荷载规范》G</w:t>
            </w:r>
            <w:r>
              <w:rPr>
                <w:sz w:val="24"/>
              </w:rPr>
              <w:t>B50009</w:t>
            </w:r>
            <w:r>
              <w:rPr>
                <w:rFonts w:hint="eastAsia"/>
                <w:sz w:val="24"/>
              </w:rPr>
              <w:t>的规定经计算确实。抗风压性能指标值（P3）应满足风荷载标准值</w:t>
            </w:r>
            <w:r>
              <w:rPr>
                <w:sz w:val="24"/>
              </w:rPr>
              <w:t>wk</w:t>
            </w:r>
            <w:r>
              <w:rPr>
                <w:rFonts w:hint="eastAsia"/>
                <w:sz w:val="24"/>
              </w:rPr>
              <w:t>要求，且满足表4.3.1的规定。</w:t>
            </w:r>
          </w:p>
          <w:p>
            <w:pPr>
              <w:pStyle w:val="84"/>
              <w:spacing w:line="360" w:lineRule="auto"/>
              <w:jc w:val="left"/>
              <w:rPr>
                <w:sz w:val="24"/>
              </w:rPr>
            </w:pPr>
            <w:r>
              <w:rPr>
                <w:sz w:val="24"/>
              </w:rPr>
              <w:drawing>
                <wp:inline distT="0" distB="0" distL="0" distR="0">
                  <wp:extent cx="4679950" cy="1063625"/>
                  <wp:effectExtent l="0" t="0" r="6350" b="3175"/>
                  <wp:docPr id="1" name="图片 1" descr="C:\Users\yxjg.ZUADR\AppData\Roaming\Tencent\Users\195515799\QQ\WinTemp\RichOle\NSDV[R0AVS1MJALX8WV1MGD.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C:\Users\yxjg.ZUADR\AppData\Roaming\Tencent\Users\195515799\QQ\WinTemp\RichOle\NSDV[R0AVS1MJALX8WV1MGD.png"/>
                          <pic:cNvPicPr>
                            <a:picLocks noChangeAspect="true" noChangeArrowheads="true"/>
                          </pic:cNvPicPr>
                        </pic:nvPicPr>
                        <pic:blipFill>
                          <a:blip r:embed="rId19">
                            <a:extLst>
                              <a:ext uri="{28A0092B-C50C-407E-A947-70E740481C1C}">
                                <a14:useLocalDpi xmlns:a14="http://schemas.microsoft.com/office/drawing/2010/main" val="false"/>
                              </a:ext>
                            </a:extLst>
                          </a:blip>
                          <a:srcRect/>
                          <a:stretch>
                            <a:fillRect/>
                          </a:stretch>
                        </pic:blipFill>
                        <pic:spPr>
                          <a:xfrm>
                            <a:off x="0" y="0"/>
                            <a:ext cx="4680000" cy="1063920"/>
                          </a:xfrm>
                          <a:prstGeom prst="rect">
                            <a:avLst/>
                          </a:prstGeom>
                          <a:noFill/>
                          <a:ln>
                            <a:noFill/>
                          </a:ln>
                        </pic:spPr>
                      </pic:pic>
                    </a:graphicData>
                  </a:graphic>
                </wp:inline>
              </w:drawing>
            </w:r>
          </w:p>
          <w:p>
            <w:pPr>
              <w:pStyle w:val="84"/>
              <w:spacing w:line="360" w:lineRule="auto"/>
              <w:jc w:val="left"/>
              <w:rPr>
                <w:sz w:val="24"/>
              </w:rPr>
            </w:pPr>
            <w:r>
              <w:rPr>
                <w:rFonts w:hint="eastAsia"/>
                <w:sz w:val="24"/>
              </w:rPr>
              <w:t>水密性能指标值（△P）应根据具体工程设计确定，且不得小于3级（△P≥250</w:t>
            </w:r>
            <w:r>
              <w:rPr>
                <w:sz w:val="24"/>
              </w:rPr>
              <w:t>P</w:t>
            </w:r>
            <w:r>
              <w:rPr>
                <w:rFonts w:hint="eastAsia"/>
                <w:sz w:val="24"/>
              </w:rPr>
              <w:t>a）。</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2.3 </w:t>
      </w:r>
      <w:r>
        <w:rPr>
          <w:rFonts w:hint="eastAsia" w:asciiTheme="minorEastAsia" w:hAnsiTheme="minorEastAsia" w:eastAsiaTheme="minorEastAsia"/>
          <w:sz w:val="24"/>
        </w:rPr>
        <w:t>遮阳设计：</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2.3.</w:t>
      </w:r>
      <w:r>
        <w:rPr>
          <w:rFonts w:hint="eastAsia" w:asciiTheme="minorEastAsia" w:hAnsiTheme="minorEastAsia" w:eastAsiaTheme="minorEastAsia"/>
          <w:sz w:val="24"/>
        </w:rPr>
        <w:t>1</w:t>
      </w:r>
      <w:r>
        <w:rPr>
          <w:rFonts w:asciiTheme="minorEastAsia" w:hAnsiTheme="minorEastAsia" w:eastAsiaTheme="minorEastAsia"/>
          <w:sz w:val="24"/>
        </w:rPr>
        <w:t xml:space="preserve"> 主要功能房间</w:t>
      </w:r>
      <w:r>
        <w:rPr>
          <w:rFonts w:hint="eastAsia" w:asciiTheme="minorEastAsia" w:hAnsiTheme="minorEastAsia" w:eastAsiaTheme="minorEastAsia"/>
          <w:sz w:val="24"/>
        </w:rPr>
        <w:t>的</w:t>
      </w:r>
      <w:r>
        <w:rPr>
          <w:rFonts w:asciiTheme="minorEastAsia" w:hAnsiTheme="minorEastAsia" w:eastAsiaTheme="minorEastAsia"/>
          <w:sz w:val="24"/>
        </w:rPr>
        <w:t>外窗</w:t>
      </w:r>
      <w:r>
        <w:rPr>
          <w:rFonts w:hint="eastAsia" w:asciiTheme="minorEastAsia" w:hAnsiTheme="minorEastAsia" w:eastAsiaTheme="minorEastAsia"/>
          <w:sz w:val="24"/>
        </w:rPr>
        <w:t>（</w:t>
      </w:r>
      <w:r>
        <w:rPr>
          <w:rFonts w:asciiTheme="minorEastAsia" w:hAnsiTheme="minorEastAsia" w:eastAsiaTheme="minorEastAsia"/>
          <w:sz w:val="24"/>
        </w:rPr>
        <w:t>包括透光幕墙</w:t>
      </w:r>
      <w:r>
        <w:rPr>
          <w:rFonts w:hint="eastAsia" w:asciiTheme="minorEastAsia" w:hAnsiTheme="minorEastAsia" w:eastAsiaTheme="minorEastAsia"/>
          <w:sz w:val="24"/>
        </w:rPr>
        <w:t>）除北向外，</w:t>
      </w:r>
      <w:r>
        <w:rPr>
          <w:rFonts w:asciiTheme="minorEastAsia" w:hAnsiTheme="minorEastAsia" w:eastAsiaTheme="minorEastAsia"/>
          <w:sz w:val="24"/>
        </w:rPr>
        <w:t>均采取遮阳措施</w:t>
      </w:r>
      <w:r>
        <w:rPr>
          <w:rFonts w:hint="eastAsia"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2.3.</w:t>
      </w:r>
      <w:r>
        <w:rPr>
          <w:rFonts w:hint="eastAsia" w:asciiTheme="minorEastAsia" w:hAnsiTheme="minorEastAsia" w:eastAsiaTheme="minorEastAsia"/>
          <w:sz w:val="24"/>
        </w:rPr>
        <w:t>2对建筑主要使用空间的夏季遮阳和冬季阳光利用进行综合分析，并根据具体情况对外窗（包括透光幕墙）选用的措施；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2.3.</w:t>
      </w:r>
      <w:r>
        <w:rPr>
          <w:rFonts w:hint="eastAsia" w:asciiTheme="minorEastAsia" w:hAnsiTheme="minorEastAsia" w:eastAsiaTheme="minorEastAsia"/>
          <w:sz w:val="24"/>
        </w:rPr>
        <w:t>3</w:t>
      </w:r>
      <w:r>
        <w:rPr>
          <w:rFonts w:asciiTheme="minorEastAsia" w:hAnsiTheme="minorEastAsia" w:eastAsiaTheme="minorEastAsia"/>
          <w:sz w:val="24"/>
        </w:rPr>
        <w:t xml:space="preserve"> </w:t>
      </w:r>
      <w:r>
        <w:rPr>
          <w:rFonts w:hint="eastAsia" w:asciiTheme="minorEastAsia" w:hAnsiTheme="minorEastAsia" w:eastAsiaTheme="minorEastAsia"/>
          <w:sz w:val="24"/>
        </w:rPr>
        <w:t>天窗可调节遮阳设施的形式；</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026"/>
        <w:gridCol w:w="2126"/>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restart"/>
          </w:tcPr>
          <w:p>
            <w:pPr>
              <w:pStyle w:val="84"/>
              <w:spacing w:line="360" w:lineRule="auto"/>
              <w:rPr>
                <w:sz w:val="24"/>
              </w:rPr>
            </w:pPr>
            <w:r>
              <w:rPr>
                <w:rFonts w:hint="eastAsia"/>
                <w:sz w:val="24"/>
              </w:rPr>
              <w:t>条文来源</w:t>
            </w:r>
          </w:p>
        </w:tc>
        <w:tc>
          <w:tcPr>
            <w:tcW w:w="2026" w:type="dxa"/>
            <w:vMerge w:val="restart"/>
          </w:tcPr>
          <w:p>
            <w:pPr>
              <w:pStyle w:val="84"/>
              <w:spacing w:line="360" w:lineRule="auto"/>
              <w:rPr>
                <w:sz w:val="24"/>
              </w:rPr>
            </w:pPr>
            <w:r>
              <w:rPr>
                <w:rFonts w:hint="eastAsia"/>
                <w:sz w:val="24"/>
              </w:rPr>
              <w:t>GB/T 50378-201</w:t>
            </w:r>
            <w:r>
              <w:rPr>
                <w:sz w:val="24"/>
              </w:rPr>
              <w:t>9</w:t>
            </w:r>
          </w:p>
        </w:tc>
        <w:tc>
          <w:tcPr>
            <w:tcW w:w="2126" w:type="dxa"/>
          </w:tcPr>
          <w:p>
            <w:pPr>
              <w:pStyle w:val="84"/>
              <w:spacing w:line="360" w:lineRule="auto"/>
              <w:rPr>
                <w:sz w:val="24"/>
              </w:rPr>
            </w:pPr>
            <w:r>
              <w:rPr>
                <w:sz w:val="24"/>
              </w:rPr>
              <w:t>4.1.3</w:t>
            </w:r>
            <w:r>
              <w:rPr>
                <w:rFonts w:hint="eastAsia"/>
                <w:sz w:val="24"/>
              </w:rPr>
              <w:t>条</w:t>
            </w:r>
          </w:p>
        </w:tc>
        <w:tc>
          <w:tcPr>
            <w:tcW w:w="3969"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vMerge w:val="restart"/>
          </w:tcPr>
          <w:p>
            <w:pPr>
              <w:pStyle w:val="84"/>
              <w:spacing w:line="360" w:lineRule="auto"/>
              <w:rPr>
                <w:sz w:val="24"/>
              </w:rPr>
            </w:pPr>
            <w:r>
              <w:rPr>
                <w:rFonts w:hint="eastAsia"/>
                <w:sz w:val="24"/>
              </w:rPr>
              <w:t>5</w:t>
            </w:r>
            <w:r>
              <w:rPr>
                <w:sz w:val="24"/>
              </w:rPr>
              <w:t>.2.11</w:t>
            </w:r>
            <w:r>
              <w:rPr>
                <w:rFonts w:hint="eastAsia"/>
                <w:sz w:val="24"/>
              </w:rPr>
              <w:t>条</w:t>
            </w:r>
          </w:p>
        </w:tc>
        <w:tc>
          <w:tcPr>
            <w:tcW w:w="3969" w:type="dxa"/>
          </w:tcPr>
          <w:p>
            <w:pPr>
              <w:pStyle w:val="84"/>
              <w:spacing w:line="360" w:lineRule="auto"/>
              <w:rPr>
                <w:sz w:val="24"/>
              </w:rPr>
            </w:pPr>
            <w:r>
              <w:rPr>
                <w:rFonts w:hint="eastAsia"/>
                <w:sz w:val="24"/>
              </w:rPr>
              <w:t>2</w:t>
            </w:r>
            <w:r>
              <w:rPr>
                <w:sz w:val="24"/>
              </w:rPr>
              <w:t>5</w:t>
            </w:r>
            <w:r>
              <w:rPr>
                <w:rFonts w:hint="eastAsia"/>
                <w:sz w:val="24"/>
              </w:rPr>
              <w:t>%≤</w:t>
            </w:r>
            <w:r>
              <w:rPr>
                <w:sz w:val="24"/>
              </w:rPr>
              <w:t>SZ</w:t>
            </w:r>
            <w:r>
              <w:rPr>
                <w:rFonts w:hint="eastAsia"/>
                <w:sz w:val="24"/>
              </w:rPr>
              <w:t>＜3</w:t>
            </w:r>
            <w:r>
              <w:rPr>
                <w:sz w:val="24"/>
              </w:rPr>
              <w:t>5</w:t>
            </w:r>
            <w:r>
              <w:rPr>
                <w:rFonts w:hint="eastAsia"/>
                <w:sz w:val="24"/>
              </w:rPr>
              <w:t>%，</w:t>
            </w:r>
            <w:r>
              <w:rPr>
                <w:sz w:val="24"/>
              </w:rPr>
              <w:t>3</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vMerge w:val="continue"/>
          </w:tcPr>
          <w:p>
            <w:pPr>
              <w:pStyle w:val="84"/>
              <w:spacing w:line="360" w:lineRule="auto"/>
              <w:rPr>
                <w:sz w:val="24"/>
              </w:rPr>
            </w:pPr>
          </w:p>
        </w:tc>
        <w:tc>
          <w:tcPr>
            <w:tcW w:w="3969" w:type="dxa"/>
          </w:tcPr>
          <w:p>
            <w:pPr>
              <w:pStyle w:val="84"/>
              <w:spacing w:line="360" w:lineRule="auto"/>
              <w:rPr>
                <w:sz w:val="24"/>
              </w:rPr>
            </w:pPr>
            <w:r>
              <w:rPr>
                <w:sz w:val="24"/>
              </w:rPr>
              <w:t>35</w:t>
            </w:r>
            <w:r>
              <w:rPr>
                <w:rFonts w:hint="eastAsia"/>
                <w:sz w:val="24"/>
              </w:rPr>
              <w:t>%≤</w:t>
            </w:r>
            <w:r>
              <w:rPr>
                <w:sz w:val="24"/>
              </w:rPr>
              <w:t>SZ</w:t>
            </w:r>
            <w:r>
              <w:rPr>
                <w:rFonts w:hint="eastAsia"/>
                <w:sz w:val="24"/>
              </w:rPr>
              <w:t>＜</w:t>
            </w:r>
            <w:r>
              <w:rPr>
                <w:sz w:val="24"/>
              </w:rPr>
              <w:t>45</w:t>
            </w:r>
            <w:r>
              <w:rPr>
                <w:rFonts w:hint="eastAsia"/>
                <w:sz w:val="24"/>
              </w:rPr>
              <w:t>%，</w:t>
            </w:r>
            <w:r>
              <w:rPr>
                <w:sz w:val="24"/>
              </w:rPr>
              <w:t>5</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vMerge w:val="continue"/>
          </w:tcPr>
          <w:p>
            <w:pPr>
              <w:pStyle w:val="84"/>
              <w:spacing w:line="360" w:lineRule="auto"/>
              <w:rPr>
                <w:sz w:val="24"/>
              </w:rPr>
            </w:pPr>
          </w:p>
        </w:tc>
        <w:tc>
          <w:tcPr>
            <w:tcW w:w="3969" w:type="dxa"/>
          </w:tcPr>
          <w:p>
            <w:pPr>
              <w:pStyle w:val="84"/>
              <w:spacing w:line="360" w:lineRule="auto"/>
              <w:rPr>
                <w:sz w:val="24"/>
              </w:rPr>
            </w:pPr>
            <w:r>
              <w:rPr>
                <w:sz w:val="24"/>
              </w:rPr>
              <w:t>45</w:t>
            </w:r>
            <w:r>
              <w:rPr>
                <w:rFonts w:hint="eastAsia"/>
                <w:sz w:val="24"/>
              </w:rPr>
              <w:t>%≤</w:t>
            </w:r>
            <w:r>
              <w:rPr>
                <w:sz w:val="24"/>
              </w:rPr>
              <w:t>SZ</w:t>
            </w:r>
            <w:r>
              <w:rPr>
                <w:rFonts w:hint="eastAsia"/>
                <w:sz w:val="24"/>
              </w:rPr>
              <w:t>＜</w:t>
            </w:r>
            <w:r>
              <w:rPr>
                <w:sz w:val="24"/>
              </w:rPr>
              <w:t>55</w:t>
            </w:r>
            <w:r>
              <w:rPr>
                <w:rFonts w:hint="eastAsia"/>
                <w:sz w:val="24"/>
              </w:rPr>
              <w:t>%，</w:t>
            </w:r>
            <w:r>
              <w:rPr>
                <w:sz w:val="24"/>
              </w:rPr>
              <w:t>7</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vMerge w:val="continue"/>
          </w:tcPr>
          <w:p>
            <w:pPr>
              <w:pStyle w:val="84"/>
              <w:spacing w:line="360" w:lineRule="auto"/>
              <w:rPr>
                <w:sz w:val="24"/>
              </w:rPr>
            </w:pPr>
          </w:p>
        </w:tc>
        <w:tc>
          <w:tcPr>
            <w:tcW w:w="3969" w:type="dxa"/>
          </w:tcPr>
          <w:p>
            <w:pPr>
              <w:pStyle w:val="84"/>
              <w:spacing w:line="360" w:lineRule="auto"/>
              <w:rPr>
                <w:sz w:val="24"/>
              </w:rPr>
            </w:pPr>
            <w:r>
              <w:rPr>
                <w:sz w:val="24"/>
              </w:rPr>
              <w:t>SZ</w:t>
            </w:r>
            <w:r>
              <w:rPr>
                <w:rFonts w:hint="eastAsia"/>
                <w:sz w:val="24"/>
              </w:rPr>
              <w:t>≥</w:t>
            </w:r>
            <w:r>
              <w:rPr>
                <w:sz w:val="24"/>
              </w:rPr>
              <w:t>55</w:t>
            </w:r>
            <w:r>
              <w:rPr>
                <w:rFonts w:hint="eastAsia"/>
                <w:sz w:val="24"/>
              </w:rPr>
              <w:t>%，</w:t>
            </w:r>
            <w:r>
              <w:rPr>
                <w:sz w:val="24"/>
              </w:rPr>
              <w:t>9</w:t>
            </w:r>
            <w:r>
              <w:rPr>
                <w:rFonts w:hint="eastAsia"/>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restart"/>
          </w:tcPr>
          <w:p>
            <w:pPr>
              <w:pStyle w:val="84"/>
              <w:spacing w:line="360" w:lineRule="auto"/>
              <w:rPr>
                <w:sz w:val="24"/>
              </w:rPr>
            </w:pPr>
            <w:r>
              <w:rPr>
                <w:rFonts w:hint="eastAsia"/>
                <w:sz w:val="24"/>
              </w:rPr>
              <w:t>DB33/1092-20</w:t>
            </w:r>
            <w:r>
              <w:rPr>
                <w:sz w:val="24"/>
              </w:rPr>
              <w:t>21</w:t>
            </w:r>
          </w:p>
        </w:tc>
        <w:tc>
          <w:tcPr>
            <w:tcW w:w="2126" w:type="dxa"/>
          </w:tcPr>
          <w:p>
            <w:pPr>
              <w:pStyle w:val="84"/>
              <w:spacing w:line="360" w:lineRule="auto"/>
              <w:rPr>
                <w:sz w:val="24"/>
              </w:rPr>
            </w:pPr>
            <w:r>
              <w:rPr>
                <w:rFonts w:hint="eastAsia"/>
                <w:sz w:val="24"/>
              </w:rPr>
              <w:t>5.</w:t>
            </w:r>
            <w:r>
              <w:rPr>
                <w:sz w:val="24"/>
              </w:rPr>
              <w:t>1</w:t>
            </w:r>
            <w:r>
              <w:rPr>
                <w:rFonts w:hint="eastAsia"/>
                <w:sz w:val="24"/>
              </w:rPr>
              <w:t>.</w:t>
            </w:r>
            <w:r>
              <w:rPr>
                <w:sz w:val="24"/>
              </w:rPr>
              <w:t>3</w:t>
            </w:r>
            <w:r>
              <w:rPr>
                <w:rFonts w:hint="eastAsia"/>
                <w:sz w:val="24"/>
              </w:rPr>
              <w:t>条</w:t>
            </w:r>
          </w:p>
        </w:tc>
        <w:tc>
          <w:tcPr>
            <w:tcW w:w="3969"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sz w:val="24"/>
              </w:rPr>
              <w:t>5.2.11</w:t>
            </w:r>
            <w:r>
              <w:rPr>
                <w:rFonts w:hint="eastAsia"/>
                <w:sz w:val="24"/>
              </w:rPr>
              <w:t>条</w:t>
            </w:r>
          </w:p>
        </w:tc>
        <w:tc>
          <w:tcPr>
            <w:tcW w:w="396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5</w:t>
            </w:r>
            <w:r>
              <w:rPr>
                <w:sz w:val="24"/>
              </w:rPr>
              <w:t>.2.12</w:t>
            </w:r>
            <w:r>
              <w:rPr>
                <w:rFonts w:hint="eastAsia"/>
                <w:sz w:val="24"/>
              </w:rPr>
              <w:t>条</w:t>
            </w:r>
          </w:p>
        </w:tc>
        <w:tc>
          <w:tcPr>
            <w:tcW w:w="396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5.</w:t>
            </w:r>
            <w:r>
              <w:rPr>
                <w:sz w:val="24"/>
              </w:rPr>
              <w:t>3.4</w:t>
            </w:r>
            <w:r>
              <w:rPr>
                <w:rFonts w:hint="eastAsia"/>
                <w:sz w:val="24"/>
              </w:rPr>
              <w:t>条</w:t>
            </w:r>
          </w:p>
        </w:tc>
        <w:tc>
          <w:tcPr>
            <w:tcW w:w="3969"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5.</w:t>
            </w:r>
            <w:r>
              <w:rPr>
                <w:sz w:val="24"/>
              </w:rPr>
              <w:t>4.5</w:t>
            </w:r>
            <w:r>
              <w:rPr>
                <w:rFonts w:hint="eastAsia"/>
                <w:sz w:val="24"/>
              </w:rPr>
              <w:t>条</w:t>
            </w:r>
          </w:p>
        </w:tc>
        <w:tc>
          <w:tcPr>
            <w:tcW w:w="396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pStyle w:val="84"/>
              <w:spacing w:line="360" w:lineRule="auto"/>
              <w:rPr>
                <w:sz w:val="24"/>
              </w:rPr>
            </w:pPr>
          </w:p>
        </w:tc>
        <w:tc>
          <w:tcPr>
            <w:tcW w:w="2026" w:type="dxa"/>
            <w:vMerge w:val="continue"/>
          </w:tcPr>
          <w:p>
            <w:pPr>
              <w:pStyle w:val="84"/>
              <w:spacing w:line="360" w:lineRule="auto"/>
              <w:rPr>
                <w:sz w:val="24"/>
              </w:rPr>
            </w:pPr>
          </w:p>
        </w:tc>
        <w:tc>
          <w:tcPr>
            <w:tcW w:w="2126" w:type="dxa"/>
          </w:tcPr>
          <w:p>
            <w:pPr>
              <w:pStyle w:val="84"/>
              <w:spacing w:line="360" w:lineRule="auto"/>
              <w:rPr>
                <w:sz w:val="24"/>
              </w:rPr>
            </w:pPr>
            <w:r>
              <w:rPr>
                <w:sz w:val="24"/>
              </w:rPr>
              <w:t>5.4.6</w:t>
            </w:r>
            <w:r>
              <w:rPr>
                <w:rFonts w:hint="eastAsia"/>
                <w:sz w:val="24"/>
                <w:lang w:eastAsia="zh-Hans"/>
              </w:rPr>
              <w:t>条</w:t>
            </w:r>
          </w:p>
        </w:tc>
        <w:tc>
          <w:tcPr>
            <w:tcW w:w="396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依据材料</w:t>
            </w:r>
          </w:p>
        </w:tc>
        <w:tc>
          <w:tcPr>
            <w:tcW w:w="8121" w:type="dxa"/>
            <w:gridSpan w:val="3"/>
          </w:tcPr>
          <w:p>
            <w:pPr>
              <w:pStyle w:val="84"/>
              <w:spacing w:line="360" w:lineRule="auto"/>
              <w:ind w:firstLine="480" w:firstLineChars="200"/>
              <w:jc w:val="left"/>
              <w:rPr>
                <w:sz w:val="24"/>
              </w:rPr>
            </w:pPr>
            <w:r>
              <w:rPr>
                <w:rFonts w:hint="eastAsia"/>
                <w:sz w:val="24"/>
              </w:rPr>
              <w:t>本条填写时应根据相关设计文件、产品说明书、可控遮阳覆盖率计算参数表；建筑立面图及门窗做法说明；节能计算报告书，节能评估报告相关内容填写此项。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pStyle w:val="84"/>
              <w:spacing w:line="360" w:lineRule="auto"/>
              <w:rPr>
                <w:sz w:val="24"/>
              </w:rPr>
            </w:pPr>
            <w:r>
              <w:rPr>
                <w:rFonts w:hint="eastAsia"/>
                <w:sz w:val="24"/>
              </w:rPr>
              <w:t>备注</w:t>
            </w:r>
          </w:p>
        </w:tc>
        <w:tc>
          <w:tcPr>
            <w:tcW w:w="8121" w:type="dxa"/>
            <w:gridSpan w:val="3"/>
          </w:tcPr>
          <w:p>
            <w:pPr>
              <w:pStyle w:val="84"/>
              <w:spacing w:line="360" w:lineRule="auto"/>
              <w:ind w:firstLine="480" w:firstLineChars="200"/>
              <w:jc w:val="left"/>
              <w:rPr>
                <w:sz w:val="24"/>
              </w:rPr>
            </w:pPr>
            <w:r>
              <w:rPr>
                <w:rFonts w:hint="eastAsia"/>
                <w:sz w:val="24"/>
              </w:rPr>
              <w:t>绿色建筑应当在满足上诉节能设计标准各项要求的基础上有更高的要求。本条对设置可控遮阳调节装置的具体数量提供了明确要求。对于可控遮阳的类型，除活动外遮阳外，永久设施（中空玻璃夹层智能内遮阳）、固定外遮阳加内部高反射率可调节遮阳也可作为可调节外遮阳措施。对没有阳光直射的透明围护结构，不计入面积计算。</w:t>
            </w:r>
          </w:p>
          <w:p>
            <w:pPr>
              <w:pStyle w:val="84"/>
              <w:spacing w:line="360" w:lineRule="auto"/>
              <w:ind w:firstLine="480" w:firstLineChars="200"/>
              <w:jc w:val="left"/>
              <w:rPr>
                <w:sz w:val="24"/>
              </w:rPr>
            </w:pPr>
            <w:r>
              <w:rPr>
                <w:rFonts w:hint="eastAsia"/>
                <w:sz w:val="24"/>
              </w:rPr>
              <w:t>对遮阳设计方式做出以下要求：</w:t>
            </w:r>
          </w:p>
          <w:p>
            <w:pPr>
              <w:pStyle w:val="84"/>
              <w:spacing w:line="360" w:lineRule="auto"/>
              <w:ind w:firstLine="480" w:firstLineChars="200"/>
              <w:jc w:val="left"/>
              <w:rPr>
                <w:sz w:val="24"/>
              </w:rPr>
            </w:pPr>
            <w:r>
              <w:rPr>
                <w:sz w:val="24"/>
              </w:rPr>
              <w:t xml:space="preserve">1 </w:t>
            </w:r>
            <w:r>
              <w:rPr>
                <w:rFonts w:hint="eastAsia"/>
                <w:sz w:val="24"/>
              </w:rPr>
              <w:t>宜利用建筑形体或构件等进行建筑自遮阳设计。</w:t>
            </w:r>
          </w:p>
          <w:p>
            <w:pPr>
              <w:pStyle w:val="84"/>
              <w:spacing w:line="360" w:lineRule="auto"/>
              <w:ind w:firstLine="480" w:firstLineChars="200"/>
              <w:jc w:val="left"/>
              <w:rPr>
                <w:sz w:val="24"/>
              </w:rPr>
            </w:pPr>
            <w:r>
              <w:rPr>
                <w:rFonts w:hint="eastAsia"/>
                <w:sz w:val="24"/>
              </w:rPr>
              <w:t>2</w:t>
            </w:r>
            <w:r>
              <w:rPr>
                <w:sz w:val="24"/>
              </w:rPr>
              <w:t xml:space="preserve"> </w:t>
            </w:r>
            <w:r>
              <w:rPr>
                <w:rFonts w:hint="eastAsia"/>
                <w:sz w:val="24"/>
              </w:rPr>
              <w:t>建筑遮阳设计宜满足下列要求：</w:t>
            </w:r>
          </w:p>
          <w:p>
            <w:pPr>
              <w:pStyle w:val="84"/>
              <w:spacing w:line="360" w:lineRule="auto"/>
              <w:ind w:firstLine="480" w:firstLineChars="200"/>
              <w:jc w:val="left"/>
              <w:rPr>
                <w:sz w:val="24"/>
              </w:rPr>
            </w:pPr>
            <w:r>
              <w:rPr>
                <w:rFonts w:hint="eastAsia"/>
                <w:sz w:val="24"/>
              </w:rPr>
              <w:t>2.2遮阳装置面向室外侧宜采用能反射太阳辐射的材料；</w:t>
            </w:r>
          </w:p>
          <w:p>
            <w:pPr>
              <w:pStyle w:val="84"/>
              <w:spacing w:line="360" w:lineRule="auto"/>
              <w:ind w:firstLine="480" w:firstLineChars="200"/>
              <w:jc w:val="left"/>
              <w:rPr>
                <w:sz w:val="24"/>
              </w:rPr>
            </w:pPr>
            <w:r>
              <w:rPr>
                <w:rFonts w:hint="eastAsia"/>
                <w:sz w:val="24"/>
              </w:rPr>
              <w:t>2.3建筑遮阳构件宜呈百叶或网格状，实体遮阳构件宜与建筑主体留有空隙。</w:t>
            </w:r>
          </w:p>
          <w:p>
            <w:pPr>
              <w:pStyle w:val="84"/>
              <w:spacing w:line="360" w:lineRule="auto"/>
              <w:ind w:firstLine="480" w:firstLineChars="200"/>
              <w:jc w:val="left"/>
              <w:rPr>
                <w:sz w:val="24"/>
              </w:rPr>
            </w:pPr>
            <w:r>
              <w:rPr>
                <w:rFonts w:hint="eastAsia"/>
                <w:sz w:val="24"/>
              </w:rPr>
              <w:t>3</w:t>
            </w:r>
            <w:r>
              <w:rPr>
                <w:sz w:val="24"/>
              </w:rPr>
              <w:t xml:space="preserve"> </w:t>
            </w:r>
            <w:r>
              <w:rPr>
                <w:rFonts w:hint="eastAsia"/>
                <w:sz w:val="24"/>
              </w:rPr>
              <w:t>设有天窗的建筑，天窗应采取活动遮阳措施。遮阳系数不应大于0.4。</w:t>
            </w:r>
          </w:p>
          <w:p>
            <w:pPr>
              <w:pStyle w:val="84"/>
              <w:spacing w:line="360" w:lineRule="auto"/>
              <w:jc w:val="left"/>
              <w:rPr>
                <w:sz w:val="24"/>
              </w:rPr>
            </w:pPr>
            <w:r>
              <w:rPr>
                <w:rFonts w:hint="eastAsia"/>
                <w:sz w:val="24"/>
              </w:rPr>
              <w:t>遮阳调节措施包括：固定外遮阳附加内部高反射率可调节遮阳；活动外遮阳；中空玻璃夹层智能内遮阳等永久设施。</w:t>
            </w:r>
          </w:p>
        </w:tc>
      </w:tr>
    </w:tbl>
    <w:p>
      <w:pPr>
        <w:spacing w:line="360" w:lineRule="auto"/>
        <w:ind w:firstLine="420"/>
        <w:rPr>
          <w:rFonts w:asciiTheme="minorEastAsia" w:hAnsiTheme="minorEastAsia" w:eastAsiaTheme="minorEastAsia"/>
          <w:sz w:val="24"/>
        </w:rPr>
      </w:pPr>
    </w:p>
    <w:p>
      <w:pPr>
        <w:pStyle w:val="17"/>
        <w:spacing w:line="360" w:lineRule="auto"/>
        <w:ind w:firstLine="422"/>
        <w:rPr>
          <w:rFonts w:asciiTheme="minorEastAsia" w:hAnsiTheme="minorEastAsia" w:eastAsiaTheme="minorEastAsia"/>
          <w:b/>
          <w:sz w:val="24"/>
        </w:rPr>
      </w:pPr>
      <w:r>
        <w:rPr>
          <w:rFonts w:asciiTheme="minorEastAsia" w:hAnsiTheme="minorEastAsia" w:eastAsiaTheme="minorEastAsia"/>
          <w:b/>
          <w:sz w:val="24"/>
        </w:rPr>
        <w:t>3</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bCs/>
          <w:sz w:val="24"/>
        </w:rPr>
        <w:t>空调与可再生能源</w:t>
      </w:r>
      <w:r>
        <w:rPr>
          <w:rFonts w:hint="eastAsia" w:asciiTheme="minorEastAsia" w:hAnsiTheme="minorEastAsia" w:eastAsiaTheme="minorEastAsia"/>
          <w:b/>
          <w:sz w:val="24"/>
        </w:rPr>
        <w:t>:</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3.1 </w:t>
      </w:r>
      <w:r>
        <w:rPr>
          <w:rFonts w:hint="eastAsia" w:asciiTheme="minorEastAsia" w:hAnsiTheme="minorEastAsia" w:eastAsiaTheme="minorEastAsia"/>
          <w:sz w:val="24"/>
        </w:rPr>
        <w:t>空调形式；</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3.2 </w:t>
      </w:r>
      <w:r>
        <w:rPr>
          <w:rFonts w:hint="eastAsia" w:asciiTheme="minorEastAsia" w:hAnsiTheme="minorEastAsia" w:eastAsiaTheme="minorEastAsia"/>
          <w:sz w:val="24"/>
        </w:rPr>
        <w:t>空调外机设置安装距离满足DB33/1092-2021 表D.0.1中的要求；</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3.3 </w:t>
      </w:r>
      <w:r>
        <w:rPr>
          <w:rFonts w:hint="eastAsia" w:asciiTheme="minorEastAsia" w:hAnsiTheme="minorEastAsia" w:eastAsiaTheme="minorEastAsia"/>
          <w:sz w:val="24"/>
        </w:rPr>
        <w:t>可再生能源设施与建筑一体化设计。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189"/>
        <w:gridCol w:w="1701"/>
        <w:gridCol w:w="4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925" w:type="dxa"/>
            <w:vMerge w:val="restart"/>
          </w:tcPr>
          <w:p>
            <w:pPr>
              <w:pStyle w:val="84"/>
              <w:spacing w:line="360" w:lineRule="auto"/>
              <w:rPr>
                <w:sz w:val="24"/>
              </w:rPr>
            </w:pPr>
            <w:r>
              <w:rPr>
                <w:rFonts w:hint="eastAsia"/>
                <w:sz w:val="24"/>
              </w:rPr>
              <w:t>条文来源</w:t>
            </w:r>
          </w:p>
        </w:tc>
        <w:tc>
          <w:tcPr>
            <w:tcW w:w="2189" w:type="dxa"/>
          </w:tcPr>
          <w:p>
            <w:pPr>
              <w:pStyle w:val="84"/>
              <w:spacing w:line="360" w:lineRule="auto"/>
              <w:rPr>
                <w:sz w:val="24"/>
              </w:rPr>
            </w:pPr>
            <w:r>
              <w:rPr>
                <w:rFonts w:hint="eastAsia"/>
                <w:sz w:val="24"/>
              </w:rPr>
              <w:t>GB/T 50378-201</w:t>
            </w:r>
            <w:r>
              <w:rPr>
                <w:sz w:val="24"/>
              </w:rPr>
              <w:t>9</w:t>
            </w:r>
          </w:p>
        </w:tc>
        <w:tc>
          <w:tcPr>
            <w:tcW w:w="1701" w:type="dxa"/>
          </w:tcPr>
          <w:p>
            <w:pPr>
              <w:pStyle w:val="84"/>
              <w:spacing w:line="360" w:lineRule="auto"/>
              <w:rPr>
                <w:sz w:val="24"/>
              </w:rPr>
            </w:pPr>
            <w:r>
              <w:rPr>
                <w:sz w:val="24"/>
              </w:rPr>
              <w:t>5.1.5</w:t>
            </w:r>
            <w:r>
              <w:rPr>
                <w:rFonts w:hint="eastAsia"/>
                <w:sz w:val="24"/>
              </w:rPr>
              <w:t>条</w:t>
            </w:r>
          </w:p>
        </w:tc>
        <w:tc>
          <w:tcPr>
            <w:tcW w:w="4649"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925" w:type="dxa"/>
            <w:vMerge w:val="continue"/>
          </w:tcPr>
          <w:p>
            <w:pPr>
              <w:pStyle w:val="84"/>
              <w:spacing w:line="360" w:lineRule="auto"/>
              <w:rPr>
                <w:sz w:val="24"/>
              </w:rPr>
            </w:pPr>
          </w:p>
        </w:tc>
        <w:tc>
          <w:tcPr>
            <w:tcW w:w="2189" w:type="dxa"/>
            <w:vMerge w:val="restart"/>
          </w:tcPr>
          <w:p>
            <w:pPr>
              <w:pStyle w:val="84"/>
              <w:spacing w:line="360" w:lineRule="auto"/>
              <w:rPr>
                <w:sz w:val="24"/>
              </w:rPr>
            </w:pPr>
            <w:r>
              <w:rPr>
                <w:rFonts w:hint="eastAsia"/>
                <w:sz w:val="24"/>
              </w:rPr>
              <w:t>DB33/1092-20</w:t>
            </w:r>
            <w:r>
              <w:rPr>
                <w:sz w:val="24"/>
              </w:rPr>
              <w:t>21</w:t>
            </w:r>
          </w:p>
        </w:tc>
        <w:tc>
          <w:tcPr>
            <w:tcW w:w="1701" w:type="dxa"/>
          </w:tcPr>
          <w:p>
            <w:pPr>
              <w:pStyle w:val="84"/>
              <w:spacing w:line="360" w:lineRule="auto"/>
              <w:rPr>
                <w:sz w:val="24"/>
              </w:rPr>
            </w:pPr>
            <w:r>
              <w:rPr>
                <w:rFonts w:hint="eastAsia"/>
                <w:sz w:val="24"/>
              </w:rPr>
              <w:t>3</w:t>
            </w:r>
            <w:r>
              <w:rPr>
                <w:sz w:val="24"/>
              </w:rPr>
              <w:t>.0.9</w:t>
            </w:r>
            <w:r>
              <w:rPr>
                <w:rFonts w:hint="eastAsia"/>
                <w:sz w:val="24"/>
              </w:rPr>
              <w:t>条</w:t>
            </w:r>
          </w:p>
        </w:tc>
        <w:tc>
          <w:tcPr>
            <w:tcW w:w="4649" w:type="dxa"/>
          </w:tcPr>
          <w:p>
            <w:pPr>
              <w:pStyle w:val="84"/>
              <w:spacing w:line="360" w:lineRule="auto"/>
              <w:rPr>
                <w:sz w:val="24"/>
              </w:rPr>
            </w:pPr>
            <w:r>
              <w:rPr>
                <w:rFonts w:hint="eastAsia"/>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925" w:type="dxa"/>
            <w:vMerge w:val="continue"/>
          </w:tcPr>
          <w:p>
            <w:pPr>
              <w:pStyle w:val="84"/>
              <w:spacing w:line="360" w:lineRule="auto"/>
              <w:rPr>
                <w:sz w:val="24"/>
              </w:rPr>
            </w:pPr>
          </w:p>
        </w:tc>
        <w:tc>
          <w:tcPr>
            <w:tcW w:w="2189"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4</w:t>
            </w:r>
            <w:r>
              <w:rPr>
                <w:sz w:val="24"/>
              </w:rPr>
              <w:t>.2.5</w:t>
            </w:r>
            <w:r>
              <w:rPr>
                <w:rFonts w:hint="eastAsia"/>
                <w:sz w:val="24"/>
              </w:rPr>
              <w:t>条</w:t>
            </w:r>
          </w:p>
        </w:tc>
        <w:tc>
          <w:tcPr>
            <w:tcW w:w="464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925" w:type="dxa"/>
            <w:vMerge w:val="continue"/>
          </w:tcPr>
          <w:p>
            <w:pPr>
              <w:pStyle w:val="84"/>
              <w:spacing w:line="360" w:lineRule="auto"/>
              <w:rPr>
                <w:sz w:val="24"/>
              </w:rPr>
            </w:pPr>
          </w:p>
        </w:tc>
        <w:tc>
          <w:tcPr>
            <w:tcW w:w="2189"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w:t>
            </w:r>
            <w:r>
              <w:rPr>
                <w:sz w:val="24"/>
              </w:rPr>
              <w:t>.1.5</w:t>
            </w:r>
            <w:r>
              <w:rPr>
                <w:rFonts w:hint="eastAsia"/>
                <w:sz w:val="24"/>
              </w:rPr>
              <w:t>条-</w:t>
            </w:r>
            <w:r>
              <w:rPr>
                <w:sz w:val="24"/>
              </w:rPr>
              <w:t>3</w:t>
            </w:r>
          </w:p>
        </w:tc>
        <w:tc>
          <w:tcPr>
            <w:tcW w:w="4649"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925" w:type="dxa"/>
            <w:vMerge w:val="continue"/>
          </w:tcPr>
          <w:p>
            <w:pPr>
              <w:pStyle w:val="84"/>
              <w:spacing w:line="360" w:lineRule="auto"/>
              <w:rPr>
                <w:sz w:val="24"/>
              </w:rPr>
            </w:pPr>
          </w:p>
        </w:tc>
        <w:tc>
          <w:tcPr>
            <w:tcW w:w="2189" w:type="dxa"/>
            <w:vMerge w:val="continue"/>
          </w:tcPr>
          <w:p>
            <w:pPr>
              <w:pStyle w:val="84"/>
              <w:spacing w:line="360" w:lineRule="auto"/>
              <w:rPr>
                <w:sz w:val="24"/>
              </w:rPr>
            </w:pPr>
          </w:p>
        </w:tc>
        <w:tc>
          <w:tcPr>
            <w:tcW w:w="6350" w:type="dxa"/>
            <w:gridSpan w:val="2"/>
          </w:tcPr>
          <w:p>
            <w:pPr>
              <w:pStyle w:val="84"/>
              <w:spacing w:line="360" w:lineRule="auto"/>
              <w:rPr>
                <w:sz w:val="24"/>
              </w:rPr>
            </w:pPr>
            <w:r>
              <w:rPr>
                <w:rFonts w:hint="eastAsia"/>
                <w:sz w:val="24"/>
              </w:rPr>
              <w:t>表D.0.1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 w:type="dxa"/>
          </w:tcPr>
          <w:p>
            <w:pPr>
              <w:pStyle w:val="84"/>
              <w:spacing w:line="360" w:lineRule="auto"/>
              <w:rPr>
                <w:sz w:val="24"/>
              </w:rPr>
            </w:pPr>
            <w:r>
              <w:rPr>
                <w:rFonts w:hint="eastAsia"/>
                <w:sz w:val="24"/>
              </w:rPr>
              <w:t>依据材料</w:t>
            </w:r>
          </w:p>
        </w:tc>
        <w:tc>
          <w:tcPr>
            <w:tcW w:w="8539" w:type="dxa"/>
            <w:gridSpan w:val="3"/>
          </w:tcPr>
          <w:p>
            <w:pPr>
              <w:pStyle w:val="84"/>
              <w:spacing w:line="360" w:lineRule="auto"/>
              <w:ind w:firstLine="480" w:firstLineChars="200"/>
              <w:jc w:val="left"/>
              <w:rPr>
                <w:sz w:val="24"/>
              </w:rPr>
            </w:pPr>
            <w:r>
              <w:rPr>
                <w:rFonts w:hint="eastAsia"/>
                <w:sz w:val="24"/>
              </w:rPr>
              <w:t>设计人员在填写此项内容时，应根据建筑平面图、立面图，与暖通专业对接，对照设备专业施工图、产品说明，按照项目实际，填写此项内容。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 w:type="dxa"/>
          </w:tcPr>
          <w:p>
            <w:pPr>
              <w:pStyle w:val="84"/>
              <w:spacing w:line="360" w:lineRule="auto"/>
              <w:rPr>
                <w:sz w:val="24"/>
              </w:rPr>
            </w:pPr>
            <w:r>
              <w:rPr>
                <w:rFonts w:hint="eastAsia"/>
                <w:sz w:val="24"/>
              </w:rPr>
              <w:t>备注</w:t>
            </w:r>
          </w:p>
        </w:tc>
        <w:tc>
          <w:tcPr>
            <w:tcW w:w="8539" w:type="dxa"/>
            <w:gridSpan w:val="3"/>
          </w:tcPr>
          <w:p>
            <w:pPr>
              <w:pStyle w:val="84"/>
              <w:spacing w:line="360" w:lineRule="auto"/>
              <w:ind w:firstLine="480" w:firstLineChars="200"/>
              <w:jc w:val="left"/>
              <w:rPr>
                <w:sz w:val="24"/>
              </w:rPr>
            </w:pPr>
            <w:r>
              <w:rPr>
                <w:sz w:val="24"/>
              </w:rPr>
              <w:t>外部设施需要定期检修和维护，因此在建筑设计时应考虑后期检修和维护条件，如设计检修通道、马道和吊篮固定端等。当与主体结构不同时施工时，应设预埋件，并在设计文件中明确预埋件的检测验证参数及要求，确保其安全性与耐久性。比如，每年频发的空调外机坠落伤人或安装人员作业时跌落伤亡事故，已成为建筑的重大危险源， 故新建或改建建筑设计时预留与主体结构连接牢固的空调外机安装位置，并与拟定的机型大小匹配，同时预留操作空间，保障安装、检修、维护人员安全。</w:t>
            </w:r>
          </w:p>
        </w:tc>
      </w:tr>
    </w:tbl>
    <w:p>
      <w:pPr>
        <w:pStyle w:val="17"/>
        <w:spacing w:line="360" w:lineRule="auto"/>
        <w:ind w:firstLine="422"/>
        <w:rPr>
          <w:rFonts w:asciiTheme="minorEastAsia" w:hAnsiTheme="minorEastAsia" w:eastAsiaTheme="minorEastAsia"/>
          <w:b/>
          <w:sz w:val="24"/>
        </w:rPr>
      </w:pPr>
    </w:p>
    <w:p>
      <w:pPr>
        <w:pStyle w:val="17"/>
        <w:spacing w:line="360" w:lineRule="auto"/>
        <w:ind w:firstLine="422"/>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建筑光环境设计:</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4.1</w:t>
      </w:r>
      <w:r>
        <w:rPr>
          <w:rFonts w:hint="eastAsia" w:asciiTheme="minorEastAsia" w:hAnsiTheme="minorEastAsia" w:eastAsiaTheme="minorEastAsia"/>
          <w:sz w:val="24"/>
        </w:rPr>
        <w:t>建筑外立面设计及选材未对周围环境产生光照污染，采用的外立面材料为；</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w:t>
            </w:r>
            <w:r>
              <w:rPr>
                <w:sz w:val="24"/>
              </w:rPr>
              <w:t>9</w:t>
            </w:r>
          </w:p>
        </w:tc>
        <w:tc>
          <w:tcPr>
            <w:tcW w:w="1701" w:type="dxa"/>
          </w:tcPr>
          <w:p>
            <w:pPr>
              <w:pStyle w:val="84"/>
              <w:spacing w:line="360" w:lineRule="auto"/>
              <w:rPr>
                <w:sz w:val="24"/>
              </w:rPr>
            </w:pPr>
            <w:r>
              <w:rPr>
                <w:sz w:val="24"/>
              </w:rPr>
              <w:t>8.2.7</w:t>
            </w:r>
            <w:r>
              <w:rPr>
                <w:rFonts w:hint="eastAsia"/>
                <w:sz w:val="24"/>
              </w:rPr>
              <w:t>条-1</w:t>
            </w:r>
          </w:p>
        </w:tc>
        <w:tc>
          <w:tcPr>
            <w:tcW w:w="4394" w:type="dxa"/>
          </w:tcPr>
          <w:p>
            <w:pPr>
              <w:pStyle w:val="84"/>
              <w:spacing w:line="360" w:lineRule="auto"/>
              <w:rPr>
                <w:sz w:val="24"/>
              </w:rPr>
            </w:pPr>
            <w:r>
              <w:rPr>
                <w:rFonts w:hint="eastAsia"/>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w:t>
            </w:r>
            <w:r>
              <w:rPr>
                <w:sz w:val="24"/>
              </w:rPr>
              <w:t>21</w:t>
            </w:r>
          </w:p>
        </w:tc>
        <w:tc>
          <w:tcPr>
            <w:tcW w:w="1701" w:type="dxa"/>
          </w:tcPr>
          <w:p>
            <w:pPr>
              <w:pStyle w:val="84"/>
              <w:spacing w:line="360" w:lineRule="auto"/>
              <w:rPr>
                <w:sz w:val="24"/>
              </w:rPr>
            </w:pPr>
            <w:r>
              <w:rPr>
                <w:rFonts w:hint="eastAsia"/>
                <w:sz w:val="24"/>
              </w:rPr>
              <w:t>4.2.</w:t>
            </w:r>
            <w:r>
              <w:rPr>
                <w:sz w:val="24"/>
              </w:rPr>
              <w:t>6</w:t>
            </w:r>
            <w:r>
              <w:rPr>
                <w:rFonts w:hint="eastAsia"/>
                <w:sz w:val="24"/>
              </w:rPr>
              <w:t>条-2</w:t>
            </w:r>
          </w:p>
        </w:tc>
        <w:tc>
          <w:tcPr>
            <w:tcW w:w="4394" w:type="dxa"/>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5.2.15条</w:t>
            </w:r>
          </w:p>
        </w:tc>
        <w:tc>
          <w:tcPr>
            <w:tcW w:w="4394" w:type="dxa"/>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若项目为非玻璃幕墙建筑直接填写“是”。</w:t>
            </w:r>
          </w:p>
          <w:p>
            <w:pPr>
              <w:pStyle w:val="84"/>
              <w:spacing w:line="360" w:lineRule="auto"/>
              <w:ind w:firstLine="480" w:firstLineChars="200"/>
              <w:jc w:val="left"/>
              <w:rPr>
                <w:sz w:val="24"/>
              </w:rPr>
            </w:pPr>
            <w:r>
              <w:rPr>
                <w:rFonts w:hint="eastAsia"/>
                <w:sz w:val="24"/>
              </w:rPr>
              <w:t>设计人员应根据光污染分析专项报告、玻璃的光学性能检验报告、节能计算报告书；建筑立面图及门窗做法说明等文件，按照项目实际填写此项内容。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建筑物光污染包括建筑反射光(眩光)、夜间的室外夜景照明以及广告照明等造成的光污染。光污染产生的眩光会让人感到不舒服，还会使人降低对灯光信号等重要信息的辨识力，甚至带来道路安全隐患。</w:t>
            </w:r>
          </w:p>
          <w:p>
            <w:pPr>
              <w:pStyle w:val="84"/>
              <w:spacing w:line="360" w:lineRule="auto"/>
              <w:ind w:firstLine="480" w:firstLineChars="200"/>
              <w:jc w:val="left"/>
              <w:rPr>
                <w:sz w:val="24"/>
              </w:rPr>
            </w:pPr>
            <w:r>
              <w:rPr>
                <w:rFonts w:hint="eastAsia"/>
                <w:sz w:val="24"/>
              </w:rPr>
              <w:t>光污染控制对策包括降低建筑物表面(玻璃和其他材料、涂料)的可见光反射比，合理选配照明器具，采取防止溢光措施等。现行国家标准《玻璃幕墙光热性能》GB/T 18091将玻璃幕墙的光污染定义为有害光反射，对玻璃幕墙的可见光反射比作了规定。本条要求玻璃幕墙的可见光反射比及反射光对周边环境的影响符合《玻璃幕墙光热性能》GB/T 18091的规定。</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4.2</w:t>
      </w:r>
      <w:r>
        <w:rPr>
          <w:rFonts w:hint="eastAsia" w:asciiTheme="minorEastAsia" w:hAnsiTheme="minorEastAsia" w:eastAsiaTheme="minorEastAsia"/>
          <w:sz w:val="24"/>
        </w:rPr>
        <w:t xml:space="preserve"> 主要功能房间具有良好的户外视野，能通过外窗看到室外自然景观，无明显视线干扰；</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2021"/>
        <w:gridCol w:w="1661"/>
        <w:gridCol w:w="4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8" w:type="dxa"/>
          </w:tcPr>
          <w:p>
            <w:pPr>
              <w:pStyle w:val="84"/>
              <w:spacing w:line="360" w:lineRule="auto"/>
              <w:rPr>
                <w:sz w:val="24"/>
              </w:rPr>
            </w:pPr>
            <w:r>
              <w:rPr>
                <w:rFonts w:hint="eastAsia"/>
                <w:sz w:val="24"/>
              </w:rPr>
              <w:t>条文来源</w:t>
            </w:r>
          </w:p>
        </w:tc>
        <w:tc>
          <w:tcPr>
            <w:tcW w:w="2021" w:type="dxa"/>
          </w:tcPr>
          <w:p>
            <w:pPr>
              <w:pStyle w:val="84"/>
              <w:spacing w:line="360" w:lineRule="auto"/>
              <w:rPr>
                <w:sz w:val="24"/>
              </w:rPr>
            </w:pPr>
            <w:r>
              <w:rPr>
                <w:rFonts w:hint="eastAsia"/>
                <w:sz w:val="24"/>
              </w:rPr>
              <w:t>DB33/1092-20</w:t>
            </w:r>
            <w:r>
              <w:rPr>
                <w:sz w:val="24"/>
              </w:rPr>
              <w:t>21</w:t>
            </w:r>
          </w:p>
        </w:tc>
        <w:tc>
          <w:tcPr>
            <w:tcW w:w="1661" w:type="dxa"/>
          </w:tcPr>
          <w:p>
            <w:pPr>
              <w:pStyle w:val="84"/>
              <w:spacing w:line="360" w:lineRule="auto"/>
              <w:rPr>
                <w:sz w:val="24"/>
              </w:rPr>
            </w:pPr>
            <w:r>
              <w:rPr>
                <w:rFonts w:hint="eastAsia"/>
                <w:sz w:val="24"/>
              </w:rPr>
              <w:t>5.2.</w:t>
            </w:r>
            <w:r>
              <w:rPr>
                <w:sz w:val="24"/>
              </w:rPr>
              <w:t>6</w:t>
            </w:r>
            <w:r>
              <w:rPr>
                <w:rFonts w:hint="eastAsia"/>
                <w:sz w:val="24"/>
              </w:rPr>
              <w:t>条</w:t>
            </w:r>
          </w:p>
        </w:tc>
        <w:tc>
          <w:tcPr>
            <w:tcW w:w="4434"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8" w:type="dxa"/>
          </w:tcPr>
          <w:p>
            <w:pPr>
              <w:pStyle w:val="84"/>
              <w:spacing w:line="360" w:lineRule="auto"/>
              <w:rPr>
                <w:sz w:val="24"/>
              </w:rPr>
            </w:pPr>
            <w:r>
              <w:rPr>
                <w:rFonts w:hint="eastAsia"/>
                <w:sz w:val="24"/>
              </w:rPr>
              <w:t>依据材料</w:t>
            </w:r>
          </w:p>
        </w:tc>
        <w:tc>
          <w:tcPr>
            <w:tcW w:w="8116" w:type="dxa"/>
            <w:gridSpan w:val="3"/>
          </w:tcPr>
          <w:p>
            <w:pPr>
              <w:pStyle w:val="84"/>
              <w:spacing w:line="360" w:lineRule="auto"/>
              <w:jc w:val="left"/>
              <w:rPr>
                <w:sz w:val="24"/>
              </w:rPr>
            </w:pPr>
            <w:r>
              <w:rPr>
                <w:rFonts w:hint="eastAsia"/>
                <w:sz w:val="24"/>
              </w:rPr>
              <w:t xml:space="preserve">    设计人员应根据总平面图、剖面图和视野模拟分析报告，按照项目实际，填写此项内容。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8" w:type="dxa"/>
          </w:tcPr>
          <w:p>
            <w:pPr>
              <w:pStyle w:val="84"/>
              <w:spacing w:line="360" w:lineRule="auto"/>
              <w:rPr>
                <w:sz w:val="24"/>
              </w:rPr>
            </w:pPr>
            <w:r>
              <w:rPr>
                <w:rFonts w:hint="eastAsia"/>
                <w:sz w:val="24"/>
              </w:rPr>
              <w:t>备注</w:t>
            </w:r>
          </w:p>
        </w:tc>
        <w:tc>
          <w:tcPr>
            <w:tcW w:w="8116" w:type="dxa"/>
            <w:gridSpan w:val="3"/>
          </w:tcPr>
          <w:p>
            <w:pPr>
              <w:pStyle w:val="84"/>
              <w:spacing w:line="360" w:lineRule="auto"/>
              <w:jc w:val="left"/>
              <w:rPr>
                <w:sz w:val="24"/>
              </w:rPr>
            </w:pPr>
            <w:r>
              <w:rPr>
                <w:rFonts w:hint="eastAsia"/>
                <w:sz w:val="24"/>
              </w:rPr>
              <w:t xml:space="preserve">    在本条填写时应考虑最不利楼层或房间的平面图。视野模拟分析报告中应将周边高大建筑物、构筑物的影响都考虑在内，建筑自身遮挡也不可忽略，并涵盖所有朝向的最不利房间。</w:t>
            </w:r>
          </w:p>
          <w:p>
            <w:pPr>
              <w:pStyle w:val="84"/>
              <w:spacing w:line="360" w:lineRule="auto"/>
              <w:jc w:val="left"/>
              <w:rPr>
                <w:sz w:val="24"/>
              </w:rPr>
            </w:pPr>
            <w:r>
              <w:rPr>
                <w:rFonts w:hint="eastAsia"/>
                <w:sz w:val="24"/>
              </w:rPr>
              <w:t xml:space="preserve">    窗户</w:t>
            </w:r>
            <w:r>
              <w:rPr>
                <w:sz w:val="24"/>
              </w:rPr>
              <w:t>除了有自然通</w:t>
            </w:r>
            <w:r>
              <w:rPr>
                <w:rFonts w:hint="eastAsia"/>
                <w:sz w:val="24"/>
              </w:rPr>
              <w:t>风</w:t>
            </w:r>
            <w:r>
              <w:rPr>
                <w:sz w:val="24"/>
              </w:rPr>
              <w:t>和天然采光的功能外，</w:t>
            </w:r>
            <w:r>
              <w:rPr>
                <w:rFonts w:hint="eastAsia"/>
                <w:sz w:val="24"/>
              </w:rPr>
              <w:t>还</w:t>
            </w:r>
            <w:r>
              <w:rPr>
                <w:sz w:val="24"/>
              </w:rPr>
              <w:t>起到沟通内</w:t>
            </w:r>
            <w:r>
              <w:rPr>
                <w:rFonts w:hint="eastAsia"/>
                <w:sz w:val="24"/>
              </w:rPr>
              <w:t>外的作用，良好的视</w:t>
            </w:r>
            <w:r>
              <w:rPr>
                <w:sz w:val="24"/>
              </w:rPr>
              <w:t>野有助于居住者或使用者心情</w:t>
            </w:r>
            <w:r>
              <w:rPr>
                <w:rFonts w:hint="eastAsia"/>
                <w:sz w:val="24"/>
              </w:rPr>
              <w:t>舒畅，提高效率。</w:t>
            </w:r>
          </w:p>
          <w:p>
            <w:pPr>
              <w:pStyle w:val="84"/>
              <w:spacing w:line="360" w:lineRule="auto"/>
              <w:jc w:val="left"/>
              <w:rPr>
                <w:sz w:val="24"/>
              </w:rPr>
            </w:pPr>
            <w:r>
              <w:rPr>
                <w:rFonts w:hint="eastAsia"/>
                <w:sz w:val="24"/>
              </w:rPr>
              <w:t xml:space="preserve">    对于公共建筑，主要功能房间</w:t>
            </w:r>
            <w:r>
              <w:rPr>
                <w:sz w:val="24"/>
              </w:rPr>
              <w:t>都能看到室外自然</w:t>
            </w:r>
            <w:r>
              <w:rPr>
                <w:rFonts w:hint="eastAsia"/>
                <w:sz w:val="24"/>
              </w:rPr>
              <w:t>环</w:t>
            </w:r>
            <w:r>
              <w:rPr>
                <w:sz w:val="24"/>
              </w:rPr>
              <w:t>境，没有构筑物或周</w:t>
            </w:r>
            <w:r>
              <w:rPr>
                <w:rFonts w:hint="eastAsia"/>
                <w:sz w:val="24"/>
              </w:rPr>
              <w:t>边</w:t>
            </w:r>
            <w:r>
              <w:rPr>
                <w:sz w:val="24"/>
              </w:rPr>
              <w:t>建筑物造成明</w:t>
            </w:r>
            <w:r>
              <w:rPr>
                <w:rFonts w:hint="eastAsia"/>
                <w:sz w:val="24"/>
              </w:rPr>
              <w:t>显视线</w:t>
            </w:r>
            <w:r>
              <w:rPr>
                <w:sz w:val="24"/>
              </w:rPr>
              <w:t>干</w:t>
            </w:r>
            <w:r>
              <w:rPr>
                <w:rFonts w:hint="eastAsia"/>
                <w:sz w:val="24"/>
              </w:rPr>
              <w:t>扰</w:t>
            </w:r>
            <w:r>
              <w:rPr>
                <w:sz w:val="24"/>
              </w:rPr>
              <w:t>。</w:t>
            </w:r>
            <w:r>
              <w:rPr>
                <w:rFonts w:hint="eastAsia"/>
                <w:sz w:val="24"/>
              </w:rPr>
              <w:t>主要功能房间包括办公室、会议室、病房、教室及客服等场所。</w:t>
            </w:r>
            <w:r>
              <w:rPr>
                <w:sz w:val="24"/>
              </w:rPr>
              <w:t>非功能空</w:t>
            </w:r>
            <w:r>
              <w:rPr>
                <w:rFonts w:hint="eastAsia"/>
                <w:sz w:val="24"/>
              </w:rPr>
              <w:t>间</w:t>
            </w:r>
            <w:r>
              <w:rPr>
                <w:sz w:val="24"/>
              </w:rPr>
              <w:t>包括走廊、核心筒、</w:t>
            </w:r>
            <w:r>
              <w:rPr>
                <w:rFonts w:hint="eastAsia"/>
                <w:sz w:val="24"/>
              </w:rPr>
              <w:t>卫</w:t>
            </w:r>
            <w:r>
              <w:rPr>
                <w:sz w:val="24"/>
              </w:rPr>
              <w:t>生</w:t>
            </w:r>
            <w:r>
              <w:rPr>
                <w:rFonts w:hint="eastAsia"/>
                <w:sz w:val="24"/>
              </w:rPr>
              <w:t>间</w:t>
            </w:r>
            <w:r>
              <w:rPr>
                <w:sz w:val="24"/>
              </w:rPr>
              <w:t>、</w:t>
            </w:r>
            <w:r>
              <w:rPr>
                <w:rFonts w:hint="eastAsia"/>
                <w:sz w:val="24"/>
              </w:rPr>
              <w:t>电</w:t>
            </w:r>
            <w:r>
              <w:rPr>
                <w:sz w:val="24"/>
              </w:rPr>
              <w:t>梯</w:t>
            </w:r>
            <w:r>
              <w:rPr>
                <w:rFonts w:hint="eastAsia"/>
                <w:sz w:val="24"/>
              </w:rPr>
              <w:t>间</w:t>
            </w:r>
            <w:r>
              <w:rPr>
                <w:sz w:val="24"/>
              </w:rPr>
              <w:t>、特殊功能房</w:t>
            </w:r>
            <w:r>
              <w:rPr>
                <w:rFonts w:hint="eastAsia"/>
                <w:sz w:val="24"/>
              </w:rPr>
              <w:t>间</w:t>
            </w:r>
            <w:r>
              <w:rPr>
                <w:sz w:val="24"/>
              </w:rPr>
              <w:t>，其余的</w:t>
            </w:r>
            <w:r>
              <w:rPr>
                <w:rFonts w:hint="eastAsia"/>
                <w:sz w:val="24"/>
              </w:rPr>
              <w:t>为</w:t>
            </w:r>
            <w:r>
              <w:rPr>
                <w:sz w:val="24"/>
              </w:rPr>
              <w:t>功能房</w:t>
            </w:r>
            <w:r>
              <w:rPr>
                <w:rFonts w:hint="eastAsia"/>
                <w:sz w:val="24"/>
              </w:rPr>
              <w:t>间。</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4.3</w:t>
      </w:r>
      <w:r>
        <w:rPr>
          <w:rFonts w:hint="eastAsia" w:asciiTheme="minorEastAsia" w:hAnsiTheme="minorEastAsia" w:eastAsiaTheme="minorEastAsia"/>
          <w:sz w:val="24"/>
        </w:rPr>
        <w:t xml:space="preserve"> 主要功能房间有合理的控制眩光措施；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4 玻璃（或其它透光材料）的可见光透射比；当可见光透射比低于0.4时，外窗采光的弥补措施;</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5 内区采光系数满足采光要求的面积比例达到60％；</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 xml:space="preserve">   公共建筑主要功能空间室内采光系数标准值满足现行国家标准《建筑采光设计标准》GB</w:t>
      </w:r>
      <w:r>
        <w:rPr>
          <w:rFonts w:asciiTheme="minorEastAsia" w:hAnsiTheme="minorEastAsia" w:eastAsiaTheme="minorEastAsia"/>
          <w:sz w:val="24"/>
        </w:rPr>
        <w:t xml:space="preserve"> </w:t>
      </w:r>
      <w:r>
        <w:rPr>
          <w:rFonts w:hint="eastAsia" w:asciiTheme="minorEastAsia" w:hAnsiTheme="minorEastAsia" w:eastAsiaTheme="minorEastAsia"/>
          <w:sz w:val="24"/>
        </w:rPr>
        <w:t>50033的面积比例（R</w:t>
      </w:r>
      <w:r>
        <w:rPr>
          <w:rFonts w:asciiTheme="minorEastAsia" w:hAnsiTheme="minorEastAsia" w:eastAsiaTheme="minorEastAsia"/>
          <w:sz w:val="24"/>
        </w:rPr>
        <w:t>a</w:t>
      </w:r>
      <w:r>
        <w:rPr>
          <w:rFonts w:hint="eastAsia" w:asciiTheme="minorEastAsia" w:hAnsiTheme="minorEastAsia" w:eastAsiaTheme="minorEastAsia"/>
          <w:sz w:val="24"/>
        </w:rPr>
        <w:t>）达到；</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6地下空间设置天然采光；</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6</w:t>
      </w:r>
      <w:r>
        <w:rPr>
          <w:rFonts w:asciiTheme="minorEastAsia" w:hAnsiTheme="minorEastAsia" w:eastAsiaTheme="minorEastAsia"/>
          <w:sz w:val="24"/>
        </w:rPr>
        <w:t>.1</w:t>
      </w:r>
      <w:r>
        <w:rPr>
          <w:rFonts w:hint="eastAsia" w:asciiTheme="minorEastAsia" w:hAnsiTheme="minorEastAsia" w:eastAsiaTheme="minorEastAsia"/>
          <w:sz w:val="24"/>
        </w:rPr>
        <w:t xml:space="preserve"> 具体采光措施</w:t>
      </w:r>
      <w:r>
        <w:rPr>
          <w:rFonts w:asciiTheme="minorEastAsia" w:hAnsiTheme="minorEastAsia" w:eastAsiaTheme="minorEastAsia"/>
          <w:sz w:val="24"/>
        </w:rPr>
        <w:t>.;</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4.6.2地下空间平均采光系数不小于0.5％的面积与首层地下室面积的比例达到1</w:t>
      </w:r>
      <w:r>
        <w:rPr>
          <w:rFonts w:asciiTheme="minorEastAsia" w:hAnsiTheme="minorEastAsia" w:eastAsiaTheme="minorEastAsia"/>
          <w:sz w:val="24"/>
        </w:rPr>
        <w:t>0</w:t>
      </w:r>
      <w:r>
        <w:rPr>
          <w:rFonts w:hint="eastAsia" w:asciiTheme="minorEastAsia" w:hAnsiTheme="minorEastAsia" w:eastAsiaTheme="minorEastAsia"/>
          <w:sz w:val="24"/>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025"/>
        <w:gridCol w:w="1661"/>
        <w:gridCol w:w="4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344" w:type="dxa"/>
            <w:vMerge w:val="restart"/>
          </w:tcPr>
          <w:p>
            <w:pPr>
              <w:pStyle w:val="84"/>
              <w:spacing w:line="360" w:lineRule="auto"/>
              <w:rPr>
                <w:sz w:val="24"/>
              </w:rPr>
            </w:pPr>
            <w:r>
              <w:rPr>
                <w:rFonts w:hint="eastAsia"/>
                <w:sz w:val="24"/>
              </w:rPr>
              <w:t>条文来源</w:t>
            </w:r>
          </w:p>
        </w:tc>
        <w:tc>
          <w:tcPr>
            <w:tcW w:w="2025" w:type="dxa"/>
            <w:vMerge w:val="restart"/>
          </w:tcPr>
          <w:p>
            <w:pPr>
              <w:pStyle w:val="84"/>
              <w:spacing w:line="360" w:lineRule="auto"/>
              <w:rPr>
                <w:sz w:val="24"/>
              </w:rPr>
            </w:pPr>
            <w:r>
              <w:rPr>
                <w:rFonts w:hint="eastAsia"/>
                <w:sz w:val="24"/>
              </w:rPr>
              <w:t>GB/T 50378-201</w:t>
            </w:r>
            <w:r>
              <w:rPr>
                <w:sz w:val="24"/>
              </w:rPr>
              <w:t>9</w:t>
            </w:r>
          </w:p>
        </w:tc>
        <w:tc>
          <w:tcPr>
            <w:tcW w:w="1661" w:type="dxa"/>
            <w:vMerge w:val="restart"/>
          </w:tcPr>
          <w:p>
            <w:pPr>
              <w:pStyle w:val="84"/>
              <w:spacing w:line="360" w:lineRule="auto"/>
              <w:rPr>
                <w:sz w:val="24"/>
              </w:rPr>
            </w:pPr>
            <w:r>
              <w:rPr>
                <w:rFonts w:hint="eastAsia"/>
                <w:sz w:val="24"/>
              </w:rPr>
              <w:t>5</w:t>
            </w:r>
            <w:r>
              <w:rPr>
                <w:sz w:val="24"/>
              </w:rPr>
              <w:t>.2.8</w:t>
            </w:r>
            <w:r>
              <w:rPr>
                <w:rFonts w:hint="eastAsia"/>
                <w:sz w:val="24"/>
              </w:rPr>
              <w:t>条-</w:t>
            </w:r>
            <w:r>
              <w:rPr>
                <w:sz w:val="24"/>
              </w:rPr>
              <w:t>2-3</w:t>
            </w:r>
          </w:p>
        </w:tc>
        <w:tc>
          <w:tcPr>
            <w:tcW w:w="4434" w:type="dxa"/>
          </w:tcPr>
          <w:p>
            <w:pPr>
              <w:pStyle w:val="84"/>
              <w:spacing w:line="360" w:lineRule="auto"/>
              <w:rPr>
                <w:sz w:val="24"/>
              </w:rPr>
            </w:pPr>
            <w:r>
              <w:rPr>
                <w:rFonts w:hint="eastAsia"/>
                <w:sz w:val="24"/>
              </w:rPr>
              <w:t>内区采光系数满足采光要求的面积比例达到60％，3分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1" w:type="dxa"/>
            <w:vMerge w:val="continue"/>
          </w:tcPr>
          <w:p>
            <w:pPr>
              <w:pStyle w:val="84"/>
              <w:spacing w:line="360" w:lineRule="auto"/>
              <w:rPr>
                <w:sz w:val="24"/>
              </w:rPr>
            </w:pPr>
          </w:p>
        </w:tc>
        <w:tc>
          <w:tcPr>
            <w:tcW w:w="4434" w:type="dxa"/>
          </w:tcPr>
          <w:p>
            <w:pPr>
              <w:pStyle w:val="84"/>
              <w:spacing w:line="360" w:lineRule="auto"/>
              <w:rPr>
                <w:sz w:val="24"/>
              </w:rPr>
            </w:pPr>
            <w:r>
              <w:rPr>
                <w:rFonts w:hint="eastAsia"/>
                <w:sz w:val="24"/>
              </w:rPr>
              <w:t>地下空间平均采光系数不小于0．5％的面积与地下室首层面积的比例达到10％以上，3分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1" w:type="dxa"/>
            <w:vMerge w:val="continue"/>
          </w:tcPr>
          <w:p>
            <w:pPr>
              <w:pStyle w:val="84"/>
              <w:spacing w:line="360" w:lineRule="auto"/>
              <w:rPr>
                <w:sz w:val="24"/>
              </w:rPr>
            </w:pPr>
          </w:p>
        </w:tc>
        <w:tc>
          <w:tcPr>
            <w:tcW w:w="4434" w:type="dxa"/>
          </w:tcPr>
          <w:p>
            <w:pPr>
              <w:pStyle w:val="84"/>
              <w:spacing w:line="360" w:lineRule="auto"/>
              <w:rPr>
                <w:sz w:val="24"/>
              </w:rPr>
            </w:pPr>
            <w:r>
              <w:rPr>
                <w:rFonts w:hint="eastAsia"/>
                <w:sz w:val="24"/>
              </w:rPr>
              <w:t>室内主要功能空间至少60％面积比例区域的采光照度值不低于采光要求的小时数平均不少于4h/d，3分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1" w:type="dxa"/>
            <w:vMerge w:val="continue"/>
          </w:tcPr>
          <w:p>
            <w:pPr>
              <w:pStyle w:val="84"/>
              <w:spacing w:line="360" w:lineRule="auto"/>
              <w:rPr>
                <w:sz w:val="24"/>
              </w:rPr>
            </w:pPr>
          </w:p>
        </w:tc>
        <w:tc>
          <w:tcPr>
            <w:tcW w:w="4434" w:type="dxa"/>
          </w:tcPr>
          <w:p>
            <w:pPr>
              <w:pStyle w:val="84"/>
              <w:spacing w:line="360" w:lineRule="auto"/>
              <w:rPr>
                <w:sz w:val="24"/>
              </w:rPr>
            </w:pPr>
            <w:r>
              <w:rPr>
                <w:rFonts w:hint="eastAsia"/>
                <w:sz w:val="24"/>
              </w:rPr>
              <w:t>主要功能房间有眩光控制措施，3分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restart"/>
          </w:tcPr>
          <w:p>
            <w:pPr>
              <w:pStyle w:val="84"/>
              <w:spacing w:line="360" w:lineRule="auto"/>
              <w:rPr>
                <w:sz w:val="24"/>
              </w:rPr>
            </w:pPr>
            <w:r>
              <w:rPr>
                <w:rFonts w:hint="eastAsia"/>
                <w:sz w:val="24"/>
              </w:rPr>
              <w:t>DB33/1092-20</w:t>
            </w:r>
            <w:r>
              <w:rPr>
                <w:sz w:val="24"/>
              </w:rPr>
              <w:t>21</w:t>
            </w:r>
          </w:p>
        </w:tc>
        <w:tc>
          <w:tcPr>
            <w:tcW w:w="1661" w:type="dxa"/>
          </w:tcPr>
          <w:p>
            <w:pPr>
              <w:pStyle w:val="84"/>
              <w:spacing w:line="360" w:lineRule="auto"/>
              <w:rPr>
                <w:sz w:val="24"/>
              </w:rPr>
            </w:pPr>
            <w:r>
              <w:rPr>
                <w:sz w:val="24"/>
              </w:rPr>
              <w:t>5.2.1</w:t>
            </w:r>
            <w:r>
              <w:rPr>
                <w:rFonts w:hint="eastAsia"/>
                <w:sz w:val="24"/>
              </w:rPr>
              <w:t xml:space="preserve">4条 </w:t>
            </w:r>
          </w:p>
        </w:tc>
        <w:tc>
          <w:tcPr>
            <w:tcW w:w="4434"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1" w:type="dxa"/>
          </w:tcPr>
          <w:p>
            <w:pPr>
              <w:pStyle w:val="84"/>
              <w:spacing w:line="360" w:lineRule="auto"/>
              <w:rPr>
                <w:sz w:val="24"/>
              </w:rPr>
            </w:pPr>
            <w:r>
              <w:rPr>
                <w:rFonts w:hint="eastAsia"/>
                <w:sz w:val="24"/>
              </w:rPr>
              <w:t>5.3.</w:t>
            </w:r>
            <w:r>
              <w:rPr>
                <w:sz w:val="24"/>
              </w:rPr>
              <w:t>5</w:t>
            </w:r>
            <w:r>
              <w:rPr>
                <w:rFonts w:hint="eastAsia"/>
                <w:sz w:val="24"/>
              </w:rPr>
              <w:t>条</w:t>
            </w:r>
            <w:r>
              <w:rPr>
                <w:sz w:val="24"/>
              </w:rPr>
              <w:t>-2-3</w:t>
            </w:r>
          </w:p>
        </w:tc>
        <w:tc>
          <w:tcPr>
            <w:tcW w:w="4434"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pStyle w:val="84"/>
              <w:spacing w:line="360" w:lineRule="auto"/>
              <w:rPr>
                <w:sz w:val="24"/>
              </w:rPr>
            </w:pPr>
          </w:p>
        </w:tc>
        <w:tc>
          <w:tcPr>
            <w:tcW w:w="2025" w:type="dxa"/>
            <w:vMerge w:val="continue"/>
          </w:tcPr>
          <w:p>
            <w:pPr>
              <w:pStyle w:val="84"/>
              <w:spacing w:line="360" w:lineRule="auto"/>
              <w:rPr>
                <w:sz w:val="24"/>
              </w:rPr>
            </w:pPr>
          </w:p>
        </w:tc>
        <w:tc>
          <w:tcPr>
            <w:tcW w:w="1661" w:type="dxa"/>
          </w:tcPr>
          <w:p>
            <w:pPr>
              <w:pStyle w:val="84"/>
              <w:spacing w:line="360" w:lineRule="auto"/>
              <w:rPr>
                <w:sz w:val="24"/>
              </w:rPr>
            </w:pPr>
            <w:r>
              <w:rPr>
                <w:rFonts w:hint="eastAsia"/>
                <w:sz w:val="24"/>
              </w:rPr>
              <w:t>5.4.7条</w:t>
            </w:r>
          </w:p>
        </w:tc>
        <w:tc>
          <w:tcPr>
            <w:tcW w:w="4434"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pStyle w:val="84"/>
              <w:spacing w:line="360" w:lineRule="auto"/>
              <w:rPr>
                <w:sz w:val="24"/>
              </w:rPr>
            </w:pPr>
            <w:r>
              <w:rPr>
                <w:rFonts w:hint="eastAsia"/>
                <w:sz w:val="24"/>
              </w:rPr>
              <w:t>依据材料</w:t>
            </w:r>
          </w:p>
        </w:tc>
        <w:tc>
          <w:tcPr>
            <w:tcW w:w="8120" w:type="dxa"/>
            <w:gridSpan w:val="3"/>
          </w:tcPr>
          <w:p>
            <w:pPr>
              <w:pStyle w:val="84"/>
              <w:spacing w:line="360" w:lineRule="auto"/>
              <w:ind w:firstLine="480" w:firstLineChars="200"/>
              <w:jc w:val="left"/>
              <w:rPr>
                <w:sz w:val="24"/>
              </w:rPr>
            </w:pPr>
            <w:r>
              <w:rPr>
                <w:rFonts w:hint="eastAsia"/>
                <w:sz w:val="24"/>
              </w:rPr>
              <w:t>设计人员应根据建筑专业图纸、采光报告上的数据（眩光计算、采光系数计算、面积统计等）、光污染分析专项报告、玻璃的光学性能检验报告、灯具的光度检验报告、照明设计方案（含计算书）、照明施工图、节能计算报告书等，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pStyle w:val="84"/>
              <w:spacing w:line="360" w:lineRule="auto"/>
              <w:rPr>
                <w:sz w:val="24"/>
              </w:rPr>
            </w:pPr>
            <w:r>
              <w:rPr>
                <w:rFonts w:hint="eastAsia"/>
                <w:sz w:val="24"/>
              </w:rPr>
              <w:t>备注</w:t>
            </w:r>
          </w:p>
        </w:tc>
        <w:tc>
          <w:tcPr>
            <w:tcW w:w="8120" w:type="dxa"/>
            <w:gridSpan w:val="3"/>
          </w:tcPr>
          <w:p>
            <w:pPr>
              <w:pStyle w:val="84"/>
              <w:spacing w:line="360" w:lineRule="auto"/>
              <w:jc w:val="left"/>
              <w:rPr>
                <w:sz w:val="24"/>
              </w:rPr>
            </w:pPr>
            <w:r>
              <w:rPr>
                <w:rFonts w:hint="eastAsia"/>
                <w:sz w:val="24"/>
              </w:rPr>
              <w:t xml:space="preserve">    各种光源的视觉试验结果表明，在同样照度的条件下，天然光的辨认能力优于人工光，从而有利于人们工作、生活、保护视力和提高劳动生产率。</w:t>
            </w:r>
          </w:p>
          <w:p>
            <w:pPr>
              <w:pStyle w:val="84"/>
              <w:spacing w:line="360" w:lineRule="auto"/>
              <w:jc w:val="left"/>
              <w:rPr>
                <w:sz w:val="24"/>
              </w:rPr>
            </w:pPr>
            <w:r>
              <w:rPr>
                <w:rFonts w:hint="eastAsia"/>
                <w:sz w:val="24"/>
              </w:rPr>
              <w:t xml:space="preserve">    设计人员应注意对于建筑中不需要考虑天然采光的房间，如档案馆、暗室以及商场中的KTV房间、酒吧空间等，这些房间可不备注。值得注意的是，采光设计、分析所用软件需通过了建筑主管部门的认可。</w:t>
            </w:r>
          </w:p>
          <w:p>
            <w:pPr>
              <w:pStyle w:val="84"/>
              <w:spacing w:line="360" w:lineRule="auto"/>
              <w:jc w:val="left"/>
              <w:rPr>
                <w:sz w:val="24"/>
              </w:rPr>
            </w:pPr>
            <w:r>
              <w:rPr>
                <w:rFonts w:hint="eastAsia"/>
                <w:sz w:val="24"/>
              </w:rPr>
              <w:t xml:space="preserve">    办公、宾馆类建筑主要功能空间不包括储藏室、机房、走廊和楼梯间、卫生间可及其他使用率低的附属房间，也不包括不需要阳光的房间。</w:t>
            </w:r>
          </w:p>
          <w:p>
            <w:pPr>
              <w:pStyle w:val="84"/>
              <w:spacing w:line="360" w:lineRule="auto"/>
              <w:jc w:val="left"/>
              <w:rPr>
                <w:sz w:val="24"/>
              </w:rPr>
            </w:pPr>
            <w:r>
              <w:rPr>
                <w:rFonts w:hint="eastAsia"/>
                <w:sz w:val="24"/>
              </w:rPr>
              <w:t xml:space="preserve">   “内区”定义：是相对</w:t>
            </w:r>
            <w:r>
              <w:rPr>
                <w:sz w:val="24"/>
              </w:rPr>
              <w:t>外区而言的</w:t>
            </w:r>
            <w:r>
              <w:rPr>
                <w:rFonts w:hint="eastAsia"/>
                <w:sz w:val="24"/>
              </w:rPr>
              <w:t>，为简</w:t>
            </w:r>
            <w:r>
              <w:rPr>
                <w:sz w:val="24"/>
              </w:rPr>
              <w:t>化，一般情况下</w:t>
            </w:r>
            <w:r>
              <w:rPr>
                <w:rFonts w:hint="eastAsia"/>
                <w:sz w:val="24"/>
              </w:rPr>
              <w:t>外区定义为</w:t>
            </w:r>
            <w:r>
              <w:rPr>
                <w:sz w:val="24"/>
              </w:rPr>
              <w:t>距离建筑外</w:t>
            </w:r>
            <w:r>
              <w:rPr>
                <w:rFonts w:hint="eastAsia"/>
                <w:sz w:val="24"/>
              </w:rPr>
              <w:t>围护结</w:t>
            </w:r>
            <w:r>
              <w:rPr>
                <w:sz w:val="24"/>
              </w:rPr>
              <w:t xml:space="preserve">构5m </w:t>
            </w:r>
            <w:r>
              <w:rPr>
                <w:rFonts w:hint="eastAsia"/>
                <w:sz w:val="24"/>
              </w:rPr>
              <w:t>范围内的区域。</w:t>
            </w:r>
          </w:p>
          <w:p>
            <w:pPr>
              <w:pStyle w:val="84"/>
              <w:spacing w:line="360" w:lineRule="auto"/>
              <w:jc w:val="left"/>
              <w:rPr>
                <w:sz w:val="24"/>
              </w:rPr>
            </w:pPr>
            <w:r>
              <w:rPr>
                <w:rFonts w:hint="eastAsia"/>
                <w:sz w:val="24"/>
              </w:rPr>
              <w:t xml:space="preserve">    天然采光不仅</w:t>
            </w:r>
            <w:r>
              <w:rPr>
                <w:sz w:val="24"/>
              </w:rPr>
              <w:t>有利于照明</w:t>
            </w:r>
            <w:r>
              <w:rPr>
                <w:rFonts w:hint="eastAsia"/>
                <w:sz w:val="24"/>
              </w:rPr>
              <w:t>节</w:t>
            </w:r>
            <w:r>
              <w:rPr>
                <w:sz w:val="24"/>
              </w:rPr>
              <w:t>能，而且有利于增加室内外的自然信</w:t>
            </w:r>
            <w:r>
              <w:rPr>
                <w:rFonts w:hint="eastAsia"/>
                <w:sz w:val="24"/>
              </w:rPr>
              <w:t>息交流句改善空间卫生环境，调节空间使用者的心情。建筑的地下空间和大进深的地上室内空间，容易出现天然采光不足的情况。通过反光板、棱镜玻璃窗、天窗、下沉庭院等设计手法或采用导</w:t>
            </w:r>
            <w:r>
              <w:rPr>
                <w:sz w:val="24"/>
              </w:rPr>
              <w:t>光管技</w:t>
            </w:r>
            <w:r>
              <w:rPr>
                <w:rFonts w:hint="eastAsia"/>
                <w:sz w:val="24"/>
              </w:rPr>
              <w:t>术</w:t>
            </w:r>
            <w:r>
              <w:rPr>
                <w:sz w:val="24"/>
              </w:rPr>
              <w:t>，可以有效改善</w:t>
            </w:r>
            <w:r>
              <w:rPr>
                <w:rFonts w:hint="eastAsia"/>
                <w:sz w:val="24"/>
              </w:rPr>
              <w:t>这</w:t>
            </w:r>
            <w:r>
              <w:rPr>
                <w:sz w:val="24"/>
              </w:rPr>
              <w:t>些空</w:t>
            </w:r>
            <w:r>
              <w:rPr>
                <w:rFonts w:hint="eastAsia"/>
                <w:sz w:val="24"/>
              </w:rPr>
              <w:t>间</w:t>
            </w:r>
            <w:r>
              <w:rPr>
                <w:sz w:val="24"/>
              </w:rPr>
              <w:t xml:space="preserve">的天然采光效果。本条第1 </w:t>
            </w:r>
            <w:r>
              <w:rPr>
                <w:rFonts w:hint="eastAsia"/>
                <w:sz w:val="24"/>
              </w:rPr>
              <w:t>款，要求符合现</w:t>
            </w:r>
            <w:r>
              <w:rPr>
                <w:sz w:val="24"/>
              </w:rPr>
              <w:t>行国家</w:t>
            </w:r>
            <w:r>
              <w:rPr>
                <w:rFonts w:hint="eastAsia"/>
                <w:sz w:val="24"/>
              </w:rPr>
              <w:t>标</w:t>
            </w:r>
            <w:r>
              <w:rPr>
                <w:sz w:val="24"/>
              </w:rPr>
              <w:t>准《建筑采光</w:t>
            </w:r>
            <w:r>
              <w:rPr>
                <w:rFonts w:hint="eastAsia"/>
                <w:sz w:val="24"/>
              </w:rPr>
              <w:t>设计标</w:t>
            </w:r>
            <w:r>
              <w:rPr>
                <w:sz w:val="24"/>
              </w:rPr>
              <w:t>准》GB 50033</w:t>
            </w:r>
            <w:r>
              <w:rPr>
                <w:rFonts w:hint="eastAsia"/>
                <w:sz w:val="24"/>
              </w:rPr>
              <w:t>中控制不舒适眩光的相关规</w:t>
            </w:r>
            <w:r>
              <w:rPr>
                <w:sz w:val="24"/>
              </w:rPr>
              <w:t>定</w:t>
            </w:r>
            <w:r>
              <w:rPr>
                <w:rFonts w:hint="eastAsia"/>
                <w:sz w:val="24"/>
              </w:rPr>
              <w:t>。</w:t>
            </w:r>
          </w:p>
        </w:tc>
      </w:tr>
    </w:tbl>
    <w:p>
      <w:pPr>
        <w:pStyle w:val="17"/>
        <w:spacing w:line="360" w:lineRule="auto"/>
        <w:ind w:firstLine="422"/>
        <w:rPr>
          <w:rFonts w:asciiTheme="minorEastAsia" w:hAnsiTheme="minorEastAsia" w:eastAsiaTheme="minorEastAsia"/>
          <w:b/>
          <w:sz w:val="24"/>
        </w:rPr>
      </w:pPr>
    </w:p>
    <w:p>
      <w:pPr>
        <w:pStyle w:val="17"/>
        <w:spacing w:line="360" w:lineRule="auto"/>
        <w:ind w:firstLine="422"/>
        <w:rPr>
          <w:rFonts w:asciiTheme="minorEastAsia" w:hAnsiTheme="minorEastAsia" w:eastAsiaTheme="minorEastAsia"/>
          <w:b/>
          <w:sz w:val="24"/>
        </w:rPr>
      </w:pPr>
      <w:r>
        <w:rPr>
          <w:rFonts w:asciiTheme="minorEastAsia" w:hAnsiTheme="minorEastAsia" w:eastAsiaTheme="minorEastAsia"/>
          <w:b/>
          <w:sz w:val="24"/>
        </w:rPr>
        <w:t>5</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建筑风环境设计:</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5.1</w:t>
      </w:r>
      <w:r>
        <w:rPr>
          <w:rFonts w:hint="eastAsia" w:asciiTheme="minorEastAsia" w:hAnsiTheme="minorEastAsia" w:eastAsiaTheme="minorEastAsia"/>
          <w:sz w:val="24"/>
        </w:rPr>
        <w:t xml:space="preserve"> 外窗（包括透光幕墙）；</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5.1.1</w:t>
      </w:r>
      <w:r>
        <w:rPr>
          <w:rFonts w:hint="eastAsia" w:asciiTheme="minorEastAsia" w:hAnsiTheme="minorEastAsia" w:eastAsiaTheme="minorEastAsia"/>
          <w:sz w:val="24"/>
        </w:rPr>
        <w:t xml:space="preserve"> 外窗的位置、方向和开启方式合理，考虑自然通风的要求；</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5.1.2</w:t>
      </w:r>
      <w:r>
        <w:rPr>
          <w:rFonts w:hint="eastAsia" w:asciiTheme="minorEastAsia" w:hAnsiTheme="minorEastAsia" w:eastAsiaTheme="minorEastAsia"/>
          <w:sz w:val="24"/>
        </w:rPr>
        <w:t xml:space="preserve"> 外窗（包括透光幕墙）可开启面积控制要求；</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5.1.3</w:t>
      </w:r>
      <w:r>
        <w:rPr>
          <w:rFonts w:hint="eastAsia" w:asciiTheme="minorEastAsia" w:hAnsiTheme="minorEastAsia" w:eastAsiaTheme="minorEastAsia"/>
          <w:sz w:val="24"/>
        </w:rPr>
        <w:t xml:space="preserve"> 建筑1</w:t>
      </w:r>
      <w:r>
        <w:rPr>
          <w:rFonts w:asciiTheme="minorEastAsia" w:hAnsiTheme="minorEastAsia" w:eastAsiaTheme="minorEastAsia"/>
          <w:sz w:val="24"/>
        </w:rPr>
        <w:t>8</w:t>
      </w:r>
      <w:r>
        <w:rPr>
          <w:rFonts w:hint="eastAsia" w:asciiTheme="minorEastAsia" w:hAnsiTheme="minorEastAsia" w:eastAsiaTheme="minorEastAsia"/>
          <w:sz w:val="24"/>
        </w:rPr>
        <w:t>层以下的外窗可开启面积占外窗面积的比例；</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5.1.4</w:t>
      </w:r>
      <w:r>
        <w:rPr>
          <w:rFonts w:hint="eastAsia" w:asciiTheme="minorEastAsia" w:hAnsiTheme="minorEastAsia" w:eastAsiaTheme="minorEastAsia"/>
          <w:sz w:val="24"/>
        </w:rPr>
        <w:t xml:space="preserve"> 设计透光幕墙时，在每个独立空间设置可开启部分；</w:t>
      </w:r>
      <w:r>
        <w:rPr>
          <w:rFonts w:asciiTheme="minorEastAsia" w:hAnsiTheme="minorEastAsia" w:eastAsiaTheme="minorEastAsia"/>
          <w:sz w:val="24"/>
        </w:rPr>
        <w:t>设置通风换气装置</w:t>
      </w:r>
      <w:r>
        <w:rPr>
          <w:rFonts w:hint="eastAsia" w:asciiTheme="minorEastAsia" w:hAnsiTheme="minorEastAsia" w:eastAsiaTheme="minorEastAsia"/>
          <w:sz w:val="24"/>
        </w:rPr>
        <w:t>; 可开启面积占透光幕墙面积的比例;</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2033"/>
        <w:gridCol w:w="1654"/>
        <w:gridCol w:w="4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36" w:type="dxa"/>
            <w:vMerge w:val="restart"/>
          </w:tcPr>
          <w:p>
            <w:pPr>
              <w:pStyle w:val="84"/>
              <w:spacing w:line="360" w:lineRule="auto"/>
              <w:rPr>
                <w:sz w:val="24"/>
              </w:rPr>
            </w:pPr>
            <w:r>
              <w:rPr>
                <w:rFonts w:hint="eastAsia"/>
                <w:sz w:val="24"/>
              </w:rPr>
              <w:t>条文来源</w:t>
            </w:r>
          </w:p>
        </w:tc>
        <w:tc>
          <w:tcPr>
            <w:tcW w:w="2033" w:type="dxa"/>
            <w:vMerge w:val="restart"/>
          </w:tcPr>
          <w:p>
            <w:pPr>
              <w:pStyle w:val="84"/>
              <w:spacing w:line="360" w:lineRule="auto"/>
              <w:rPr>
                <w:sz w:val="24"/>
              </w:rPr>
            </w:pPr>
            <w:r>
              <w:rPr>
                <w:rFonts w:hint="eastAsia"/>
                <w:sz w:val="24"/>
              </w:rPr>
              <w:t>DB33/1092-20</w:t>
            </w:r>
            <w:r>
              <w:rPr>
                <w:sz w:val="24"/>
              </w:rPr>
              <w:t>21</w:t>
            </w:r>
          </w:p>
        </w:tc>
        <w:tc>
          <w:tcPr>
            <w:tcW w:w="1654" w:type="dxa"/>
          </w:tcPr>
          <w:p>
            <w:pPr>
              <w:pStyle w:val="84"/>
              <w:spacing w:line="360" w:lineRule="auto"/>
              <w:rPr>
                <w:sz w:val="24"/>
              </w:rPr>
            </w:pPr>
            <w:r>
              <w:rPr>
                <w:rFonts w:hint="eastAsia"/>
                <w:sz w:val="24"/>
              </w:rPr>
              <w:t>5.2.19条-2</w:t>
            </w:r>
          </w:p>
        </w:tc>
        <w:tc>
          <w:tcPr>
            <w:tcW w:w="4441"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36" w:type="dxa"/>
            <w:vMerge w:val="continue"/>
          </w:tcPr>
          <w:p>
            <w:pPr>
              <w:pStyle w:val="84"/>
              <w:spacing w:line="360" w:lineRule="auto"/>
              <w:rPr>
                <w:sz w:val="24"/>
              </w:rPr>
            </w:pPr>
          </w:p>
        </w:tc>
        <w:tc>
          <w:tcPr>
            <w:tcW w:w="2033" w:type="dxa"/>
            <w:vMerge w:val="continue"/>
          </w:tcPr>
          <w:p>
            <w:pPr>
              <w:pStyle w:val="84"/>
              <w:spacing w:line="360" w:lineRule="auto"/>
              <w:rPr>
                <w:sz w:val="24"/>
              </w:rPr>
            </w:pPr>
          </w:p>
        </w:tc>
        <w:tc>
          <w:tcPr>
            <w:tcW w:w="1654" w:type="dxa"/>
          </w:tcPr>
          <w:p>
            <w:pPr>
              <w:pStyle w:val="84"/>
              <w:spacing w:line="360" w:lineRule="auto"/>
              <w:rPr>
                <w:sz w:val="24"/>
              </w:rPr>
            </w:pPr>
            <w:r>
              <w:rPr>
                <w:rFonts w:hint="eastAsia"/>
                <w:sz w:val="24"/>
              </w:rPr>
              <w:t>5.3.6条</w:t>
            </w:r>
            <w:r>
              <w:rPr>
                <w:sz w:val="24"/>
              </w:rPr>
              <w:t>-2</w:t>
            </w:r>
          </w:p>
        </w:tc>
        <w:tc>
          <w:tcPr>
            <w:tcW w:w="4441"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36" w:type="dxa"/>
            <w:vMerge w:val="continue"/>
          </w:tcPr>
          <w:p>
            <w:pPr>
              <w:pStyle w:val="84"/>
              <w:spacing w:line="360" w:lineRule="auto"/>
              <w:rPr>
                <w:sz w:val="24"/>
              </w:rPr>
            </w:pPr>
          </w:p>
        </w:tc>
        <w:tc>
          <w:tcPr>
            <w:tcW w:w="2033" w:type="dxa"/>
            <w:vMerge w:val="continue"/>
          </w:tcPr>
          <w:p>
            <w:pPr>
              <w:pStyle w:val="84"/>
              <w:spacing w:line="360" w:lineRule="auto"/>
              <w:rPr>
                <w:sz w:val="24"/>
              </w:rPr>
            </w:pPr>
          </w:p>
        </w:tc>
        <w:tc>
          <w:tcPr>
            <w:tcW w:w="1654" w:type="dxa"/>
          </w:tcPr>
          <w:p>
            <w:pPr>
              <w:pStyle w:val="84"/>
              <w:spacing w:line="360" w:lineRule="auto"/>
              <w:rPr>
                <w:sz w:val="24"/>
              </w:rPr>
            </w:pPr>
            <w:r>
              <w:rPr>
                <w:rFonts w:hint="eastAsia"/>
                <w:sz w:val="24"/>
              </w:rPr>
              <w:t>5.4.</w:t>
            </w:r>
            <w:r>
              <w:rPr>
                <w:sz w:val="24"/>
              </w:rPr>
              <w:t>10</w:t>
            </w:r>
            <w:r>
              <w:rPr>
                <w:rFonts w:hint="eastAsia"/>
                <w:sz w:val="24"/>
              </w:rPr>
              <w:t>条</w:t>
            </w:r>
          </w:p>
        </w:tc>
        <w:tc>
          <w:tcPr>
            <w:tcW w:w="4441" w:type="dxa"/>
          </w:tcPr>
          <w:p>
            <w:pPr>
              <w:pStyle w:val="84"/>
              <w:spacing w:line="360" w:lineRule="auto"/>
              <w:rPr>
                <w:sz w:val="24"/>
              </w:rPr>
            </w:pPr>
            <w:r>
              <w:rPr>
                <w:rFonts w:hint="eastAsia"/>
                <w:sz w:val="24"/>
              </w:rPr>
              <w:t>三星级</w:t>
            </w:r>
            <w:r>
              <w:rPr>
                <w:sz w:val="24"/>
              </w:rPr>
              <w:t>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6" w:type="dxa"/>
          </w:tcPr>
          <w:p>
            <w:pPr>
              <w:pStyle w:val="84"/>
              <w:spacing w:line="360" w:lineRule="auto"/>
              <w:rPr>
                <w:sz w:val="24"/>
              </w:rPr>
            </w:pPr>
            <w:r>
              <w:rPr>
                <w:rFonts w:hint="eastAsia"/>
                <w:sz w:val="24"/>
              </w:rPr>
              <w:t>依据材料</w:t>
            </w:r>
          </w:p>
        </w:tc>
        <w:tc>
          <w:tcPr>
            <w:tcW w:w="8128" w:type="dxa"/>
            <w:gridSpan w:val="3"/>
          </w:tcPr>
          <w:p>
            <w:pPr>
              <w:pStyle w:val="84"/>
              <w:spacing w:line="360" w:lineRule="auto"/>
              <w:jc w:val="left"/>
              <w:rPr>
                <w:sz w:val="24"/>
              </w:rPr>
            </w:pPr>
            <w:r>
              <w:rPr>
                <w:rFonts w:hint="eastAsia"/>
                <w:sz w:val="24"/>
              </w:rPr>
              <w:t xml:space="preserve">    设计人员应根据建筑设计相关文件、门窗表、幕墙图纸、计算书、自然通风模拟分析报告等，按项目实际，填写本项内容。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6" w:type="dxa"/>
          </w:tcPr>
          <w:p>
            <w:pPr>
              <w:pStyle w:val="84"/>
              <w:spacing w:line="360" w:lineRule="auto"/>
              <w:rPr>
                <w:sz w:val="24"/>
              </w:rPr>
            </w:pPr>
            <w:r>
              <w:rPr>
                <w:rFonts w:hint="eastAsia"/>
                <w:sz w:val="24"/>
              </w:rPr>
              <w:t>备注</w:t>
            </w:r>
          </w:p>
        </w:tc>
        <w:tc>
          <w:tcPr>
            <w:tcW w:w="8128" w:type="dxa"/>
            <w:gridSpan w:val="3"/>
          </w:tcPr>
          <w:p>
            <w:pPr>
              <w:pStyle w:val="84"/>
              <w:spacing w:line="360" w:lineRule="auto"/>
              <w:jc w:val="left"/>
              <w:rPr>
                <w:sz w:val="24"/>
              </w:rPr>
            </w:pPr>
            <w:r>
              <w:rPr>
                <w:rFonts w:hint="eastAsia"/>
                <w:sz w:val="24"/>
              </w:rPr>
              <w:t xml:space="preserve">    本条填写时应注意有严格的室内温、湿度要求、不宜进行自然通风的建筑或房间（如展览历史文物、特殊艺术品以其他对室内温湿度有严格要求如≤2℃或者恒温恒湿的展馆，实验室等），此部分面积可不计入。当建筑层数大于18层时，仅对其第18层及以下各层的外窗和玻璃幕墙可开启面积比例进行计算。</w:t>
            </w:r>
          </w:p>
          <w:p>
            <w:pPr>
              <w:pStyle w:val="84"/>
              <w:spacing w:line="360" w:lineRule="auto"/>
              <w:jc w:val="left"/>
              <w:rPr>
                <w:sz w:val="24"/>
              </w:rPr>
            </w:pPr>
            <w:r>
              <w:rPr>
                <w:rFonts w:hint="eastAsia"/>
                <w:sz w:val="24"/>
              </w:rPr>
              <w:t xml:space="preserve">    简单起见，可将玻璃幕墙活动窗扇的面积认定为可开启面积，而不再计算实际的或当量的可开启面积。窗户</w:t>
            </w:r>
            <w:r>
              <w:rPr>
                <w:sz w:val="24"/>
              </w:rPr>
              <w:t>的可开启比例</w:t>
            </w:r>
            <w:r>
              <w:rPr>
                <w:rFonts w:hint="eastAsia"/>
                <w:sz w:val="24"/>
              </w:rPr>
              <w:t>对</w:t>
            </w:r>
            <w:r>
              <w:rPr>
                <w:sz w:val="24"/>
              </w:rPr>
              <w:t>室内的通</w:t>
            </w:r>
            <w:r>
              <w:rPr>
                <w:rFonts w:hint="eastAsia"/>
                <w:sz w:val="24"/>
              </w:rPr>
              <w:t>风</w:t>
            </w:r>
            <w:r>
              <w:rPr>
                <w:sz w:val="24"/>
              </w:rPr>
              <w:t>有很大的影响。</w:t>
            </w:r>
            <w:r>
              <w:rPr>
                <w:rFonts w:hint="eastAsia"/>
                <w:sz w:val="24"/>
              </w:rPr>
              <w:t>对</w:t>
            </w:r>
            <w:r>
              <w:rPr>
                <w:sz w:val="24"/>
              </w:rPr>
              <w:t>开推拉窗的可</w:t>
            </w:r>
            <w:r>
              <w:rPr>
                <w:rFonts w:hint="eastAsia"/>
                <w:sz w:val="24"/>
              </w:rPr>
              <w:t>开启面积比例大致为</w:t>
            </w:r>
            <w:r>
              <w:rPr>
                <w:sz w:val="24"/>
              </w:rPr>
              <w:t>40%</w:t>
            </w:r>
            <w:r>
              <w:rPr>
                <w:rFonts w:hint="eastAsia"/>
                <w:sz w:val="24"/>
              </w:rPr>
              <w:t>~</w:t>
            </w:r>
            <w:r>
              <w:rPr>
                <w:sz w:val="24"/>
              </w:rPr>
              <w:t>45%</w:t>
            </w:r>
            <w:r>
              <w:rPr>
                <w:rFonts w:hint="eastAsia"/>
                <w:sz w:val="24"/>
              </w:rPr>
              <w:t>，平开窗的可开启面积比例更大。</w:t>
            </w:r>
          </w:p>
          <w:p>
            <w:pPr>
              <w:pStyle w:val="84"/>
              <w:spacing w:line="360" w:lineRule="auto"/>
              <w:jc w:val="left"/>
              <w:rPr>
                <w:sz w:val="24"/>
              </w:rPr>
            </w:pPr>
            <w:r>
              <w:rPr>
                <w:rFonts w:hint="eastAsia"/>
                <w:sz w:val="24"/>
              </w:rPr>
              <w:t xml:space="preserve">   本条的玻璃幕墙系指透明的幕墙，背后有非透明实体墙的纯装饰</w:t>
            </w:r>
            <w:r>
              <w:rPr>
                <w:sz w:val="24"/>
              </w:rPr>
              <w:t>性玻璃幕</w:t>
            </w:r>
            <w:r>
              <w:rPr>
                <w:rFonts w:hint="eastAsia"/>
                <w:sz w:val="24"/>
              </w:rPr>
              <w:t>墙</w:t>
            </w:r>
            <w:r>
              <w:rPr>
                <w:sz w:val="24"/>
              </w:rPr>
              <w:t>不在此列。</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5.2</w:t>
      </w:r>
      <w:r>
        <w:rPr>
          <w:rFonts w:hint="eastAsia" w:asciiTheme="minorEastAsia" w:hAnsiTheme="minorEastAsia" w:eastAsiaTheme="minorEastAsia"/>
          <w:sz w:val="24"/>
        </w:rPr>
        <w:t xml:space="preserve"> 地上房间自然通风设计；</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5.2</w:t>
      </w:r>
      <w:r>
        <w:rPr>
          <w:rFonts w:hint="eastAsia" w:asciiTheme="minorEastAsia" w:hAnsiTheme="minorEastAsia" w:eastAsiaTheme="minorEastAsia"/>
          <w:sz w:val="24"/>
        </w:rPr>
        <w:t>.1 建筑内部采用下列措施加强自然通风；</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5"/>
        <w:gridCol w:w="4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restart"/>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GB/T 50378-201</w:t>
            </w:r>
            <w:r>
              <w:rPr>
                <w:sz w:val="24"/>
              </w:rPr>
              <w:t>9</w:t>
            </w:r>
          </w:p>
        </w:tc>
        <w:tc>
          <w:tcPr>
            <w:tcW w:w="1665" w:type="dxa"/>
          </w:tcPr>
          <w:p>
            <w:pPr>
              <w:pStyle w:val="84"/>
              <w:spacing w:line="360" w:lineRule="auto"/>
              <w:rPr>
                <w:sz w:val="24"/>
              </w:rPr>
            </w:pPr>
            <w:r>
              <w:rPr>
                <w:rFonts w:hint="eastAsia"/>
                <w:sz w:val="24"/>
              </w:rPr>
              <w:t>5</w:t>
            </w:r>
            <w:r>
              <w:rPr>
                <w:sz w:val="24"/>
              </w:rPr>
              <w:t>.2.9</w:t>
            </w:r>
            <w:r>
              <w:rPr>
                <w:rFonts w:hint="eastAsia"/>
                <w:sz w:val="24"/>
              </w:rPr>
              <w:t>条-</w:t>
            </w:r>
            <w:r>
              <w:rPr>
                <w:sz w:val="24"/>
              </w:rPr>
              <w:t>1</w:t>
            </w:r>
          </w:p>
        </w:tc>
        <w:tc>
          <w:tcPr>
            <w:tcW w:w="4430" w:type="dxa"/>
          </w:tcPr>
          <w:p>
            <w:pPr>
              <w:pStyle w:val="84"/>
              <w:spacing w:line="360" w:lineRule="auto"/>
              <w:rPr>
                <w:sz w:val="24"/>
              </w:rPr>
            </w:pPr>
            <w:r>
              <w:rPr>
                <w:rFonts w:hint="eastAsia"/>
                <w:sz w:val="24"/>
              </w:rPr>
              <w:t>达到30％，2分；每再增加10％，再得1分，最高得8分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restart"/>
          </w:tcPr>
          <w:p>
            <w:pPr>
              <w:pStyle w:val="84"/>
              <w:spacing w:line="360" w:lineRule="auto"/>
              <w:rPr>
                <w:sz w:val="24"/>
              </w:rPr>
            </w:pPr>
            <w:r>
              <w:rPr>
                <w:rFonts w:hint="eastAsia"/>
                <w:sz w:val="24"/>
              </w:rPr>
              <w:t>DB33/1092-20</w:t>
            </w:r>
            <w:r>
              <w:rPr>
                <w:sz w:val="24"/>
              </w:rPr>
              <w:t>21</w:t>
            </w:r>
          </w:p>
        </w:tc>
        <w:tc>
          <w:tcPr>
            <w:tcW w:w="1665" w:type="dxa"/>
          </w:tcPr>
          <w:p>
            <w:pPr>
              <w:pStyle w:val="84"/>
              <w:spacing w:line="360" w:lineRule="auto"/>
              <w:rPr>
                <w:sz w:val="24"/>
              </w:rPr>
            </w:pPr>
            <w:r>
              <w:rPr>
                <w:sz w:val="24"/>
              </w:rPr>
              <w:t>5.2.16</w:t>
            </w:r>
            <w:r>
              <w:rPr>
                <w:rFonts w:hint="eastAsia"/>
                <w:sz w:val="24"/>
              </w:rPr>
              <w:t>条</w:t>
            </w:r>
          </w:p>
        </w:tc>
        <w:tc>
          <w:tcPr>
            <w:tcW w:w="4430"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pStyle w:val="84"/>
              <w:spacing w:line="360" w:lineRule="auto"/>
              <w:rPr>
                <w:sz w:val="24"/>
              </w:rPr>
            </w:pPr>
          </w:p>
        </w:tc>
        <w:tc>
          <w:tcPr>
            <w:tcW w:w="2022" w:type="dxa"/>
            <w:vMerge w:val="continue"/>
          </w:tcPr>
          <w:p>
            <w:pPr>
              <w:pStyle w:val="84"/>
              <w:spacing w:line="360" w:lineRule="auto"/>
              <w:rPr>
                <w:sz w:val="24"/>
              </w:rPr>
            </w:pPr>
          </w:p>
        </w:tc>
        <w:tc>
          <w:tcPr>
            <w:tcW w:w="1665" w:type="dxa"/>
          </w:tcPr>
          <w:p>
            <w:pPr>
              <w:pStyle w:val="84"/>
              <w:spacing w:line="360" w:lineRule="auto"/>
              <w:rPr>
                <w:sz w:val="24"/>
              </w:rPr>
            </w:pPr>
            <w:r>
              <w:rPr>
                <w:rFonts w:hint="eastAsia"/>
                <w:sz w:val="24"/>
              </w:rPr>
              <w:t>5.4.</w:t>
            </w:r>
            <w:r>
              <w:rPr>
                <w:sz w:val="24"/>
              </w:rPr>
              <w:t>11</w:t>
            </w:r>
            <w:r>
              <w:rPr>
                <w:rFonts w:hint="eastAsia"/>
                <w:sz w:val="24"/>
              </w:rPr>
              <w:t>条</w:t>
            </w:r>
          </w:p>
        </w:tc>
        <w:tc>
          <w:tcPr>
            <w:tcW w:w="4430" w:type="dxa"/>
          </w:tcPr>
          <w:p>
            <w:pPr>
              <w:pStyle w:val="84"/>
              <w:spacing w:line="360" w:lineRule="auto"/>
              <w:rPr>
                <w:sz w:val="24"/>
              </w:rPr>
            </w:pPr>
            <w:r>
              <w:rPr>
                <w:rFonts w:hint="eastAsia"/>
                <w:sz w:val="24"/>
              </w:rPr>
              <w:t>三星级</w:t>
            </w:r>
            <w:r>
              <w:rPr>
                <w:sz w:val="24"/>
              </w:rPr>
              <w:t>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jc w:val="left"/>
              <w:rPr>
                <w:sz w:val="24"/>
              </w:rPr>
            </w:pPr>
            <w:r>
              <w:rPr>
                <w:rFonts w:hint="eastAsia"/>
                <w:sz w:val="24"/>
              </w:rPr>
              <w:t xml:space="preserve">    设计人员应根据建筑设计相关文件、计算书、自然通风模拟分析报告等，按项目实际，填写本项内容。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ind w:firstLine="480" w:firstLineChars="200"/>
              <w:jc w:val="left"/>
              <w:rPr>
                <w:sz w:val="24"/>
              </w:rPr>
            </w:pPr>
            <w:r>
              <w:rPr>
                <w:rFonts w:hint="eastAsia"/>
                <w:sz w:val="24"/>
              </w:rPr>
              <w:t>自然通风可以提高居住者的舒适感，并有利于健康。当室外气象条件良好时，加强自然通风还有助于缩短空调设备的运行时间，降低空调能耗。</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5.3</w:t>
      </w:r>
      <w:r>
        <w:rPr>
          <w:rFonts w:hint="eastAsia" w:asciiTheme="minorEastAsia" w:hAnsiTheme="minorEastAsia" w:eastAsiaTheme="minorEastAsia"/>
          <w:sz w:val="24"/>
        </w:rPr>
        <w:t xml:space="preserve"> 地下空间自然通风的加强措施；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664"/>
        <w:gridCol w:w="4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tcPr>
          <w:p>
            <w:pPr>
              <w:pStyle w:val="84"/>
              <w:spacing w:line="360" w:lineRule="auto"/>
              <w:rPr>
                <w:sz w:val="24"/>
              </w:rPr>
            </w:pPr>
            <w:r>
              <w:rPr>
                <w:rFonts w:hint="eastAsia"/>
                <w:sz w:val="24"/>
              </w:rPr>
              <w:t>条文来源</w:t>
            </w:r>
          </w:p>
        </w:tc>
        <w:tc>
          <w:tcPr>
            <w:tcW w:w="2022" w:type="dxa"/>
          </w:tcPr>
          <w:p>
            <w:pPr>
              <w:pStyle w:val="84"/>
              <w:spacing w:line="360" w:lineRule="auto"/>
              <w:rPr>
                <w:sz w:val="24"/>
              </w:rPr>
            </w:pPr>
            <w:r>
              <w:rPr>
                <w:rFonts w:hint="eastAsia"/>
                <w:sz w:val="24"/>
              </w:rPr>
              <w:t>DB33/1092-20</w:t>
            </w:r>
            <w:r>
              <w:rPr>
                <w:sz w:val="24"/>
              </w:rPr>
              <w:t>21</w:t>
            </w:r>
          </w:p>
        </w:tc>
        <w:tc>
          <w:tcPr>
            <w:tcW w:w="1664" w:type="dxa"/>
          </w:tcPr>
          <w:p>
            <w:pPr>
              <w:pStyle w:val="84"/>
              <w:spacing w:line="360" w:lineRule="auto"/>
              <w:rPr>
                <w:sz w:val="24"/>
              </w:rPr>
            </w:pPr>
            <w:r>
              <w:rPr>
                <w:sz w:val="24"/>
              </w:rPr>
              <w:t>5.4.12</w:t>
            </w:r>
            <w:r>
              <w:rPr>
                <w:rFonts w:hint="eastAsia"/>
                <w:sz w:val="24"/>
              </w:rPr>
              <w:t>条</w:t>
            </w:r>
          </w:p>
        </w:tc>
        <w:tc>
          <w:tcPr>
            <w:tcW w:w="4431"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8117" w:type="dxa"/>
            <w:gridSpan w:val="3"/>
          </w:tcPr>
          <w:p>
            <w:pPr>
              <w:pStyle w:val="84"/>
              <w:spacing w:line="360" w:lineRule="auto"/>
              <w:jc w:val="left"/>
              <w:rPr>
                <w:sz w:val="24"/>
              </w:rPr>
            </w:pPr>
            <w:r>
              <w:rPr>
                <w:rFonts w:hint="eastAsia"/>
                <w:sz w:val="24"/>
              </w:rPr>
              <w:t xml:space="preserve">    设计人员应根据建筑设计相关文件、计算书、自然通风模拟分析报告等，按项目实际，填写本项内容。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8117" w:type="dxa"/>
            <w:gridSpan w:val="3"/>
          </w:tcPr>
          <w:p>
            <w:pPr>
              <w:pStyle w:val="84"/>
              <w:spacing w:line="360" w:lineRule="auto"/>
              <w:jc w:val="left"/>
              <w:rPr>
                <w:sz w:val="24"/>
              </w:rPr>
            </w:pPr>
            <w:r>
              <w:rPr>
                <w:rFonts w:hint="eastAsia"/>
                <w:sz w:val="24"/>
              </w:rPr>
              <w:t xml:space="preserve">    地下空间</w:t>
            </w:r>
            <w:r>
              <w:rPr>
                <w:sz w:val="24"/>
              </w:rPr>
              <w:t>（如地下</w:t>
            </w:r>
            <w:r>
              <w:rPr>
                <w:rFonts w:hint="eastAsia"/>
                <w:sz w:val="24"/>
              </w:rPr>
              <w:t>车库</w:t>
            </w:r>
            <w:r>
              <w:rPr>
                <w:sz w:val="24"/>
              </w:rPr>
              <w:t>、超市）的自然通</w:t>
            </w:r>
            <w:r>
              <w:rPr>
                <w:rFonts w:hint="eastAsia"/>
                <w:sz w:val="24"/>
              </w:rPr>
              <w:t>风</w:t>
            </w:r>
            <w:r>
              <w:rPr>
                <w:sz w:val="24"/>
              </w:rPr>
              <w:t>，可提高</w:t>
            </w:r>
            <w:r>
              <w:rPr>
                <w:rFonts w:hint="eastAsia"/>
                <w:sz w:val="24"/>
              </w:rPr>
              <w:t>地下空间品质，节省通风设备。设置下沉式庭院（广场），不仅能够</w:t>
            </w:r>
            <w:r>
              <w:rPr>
                <w:sz w:val="24"/>
              </w:rPr>
              <w:t>促</w:t>
            </w:r>
            <w:r>
              <w:rPr>
                <w:rFonts w:hint="eastAsia"/>
                <w:sz w:val="24"/>
              </w:rPr>
              <w:t>进</w:t>
            </w:r>
            <w:r>
              <w:rPr>
                <w:sz w:val="24"/>
              </w:rPr>
              <w:t>天然采光通</w:t>
            </w:r>
            <w:r>
              <w:rPr>
                <w:rFonts w:hint="eastAsia"/>
                <w:sz w:val="24"/>
              </w:rPr>
              <w:t>风</w:t>
            </w:r>
            <w:r>
              <w:rPr>
                <w:sz w:val="24"/>
              </w:rPr>
              <w:t>，</w:t>
            </w:r>
            <w:r>
              <w:rPr>
                <w:rFonts w:hint="eastAsia"/>
                <w:sz w:val="24"/>
              </w:rPr>
              <w:t>还</w:t>
            </w:r>
            <w:r>
              <w:rPr>
                <w:sz w:val="24"/>
              </w:rPr>
              <w:t>可以增加</w:t>
            </w:r>
            <w:r>
              <w:rPr>
                <w:rFonts w:hint="eastAsia"/>
                <w:sz w:val="24"/>
              </w:rPr>
              <w:t>绿</w:t>
            </w:r>
            <w:r>
              <w:rPr>
                <w:sz w:val="24"/>
              </w:rPr>
              <w:t>化率，丰富景</w:t>
            </w:r>
            <w:r>
              <w:rPr>
                <w:rFonts w:hint="eastAsia"/>
                <w:sz w:val="24"/>
              </w:rPr>
              <w:t>观</w:t>
            </w:r>
            <w:r>
              <w:rPr>
                <w:sz w:val="24"/>
              </w:rPr>
              <w:t>空</w:t>
            </w:r>
            <w:r>
              <w:rPr>
                <w:rFonts w:hint="eastAsia"/>
                <w:sz w:val="24"/>
              </w:rPr>
              <w:t>间</w:t>
            </w:r>
            <w:r>
              <w:rPr>
                <w:sz w:val="24"/>
              </w:rPr>
              <w:t>。地</w:t>
            </w:r>
            <w:r>
              <w:rPr>
                <w:rFonts w:hint="eastAsia"/>
                <w:sz w:val="24"/>
              </w:rPr>
              <w:t>下停车库</w:t>
            </w:r>
            <w:r>
              <w:rPr>
                <w:sz w:val="24"/>
              </w:rPr>
              <w:t>的下沉庭院</w:t>
            </w:r>
            <w:r>
              <w:rPr>
                <w:rFonts w:hint="eastAsia"/>
                <w:sz w:val="24"/>
              </w:rPr>
              <w:t>应</w:t>
            </w:r>
            <w:r>
              <w:rPr>
                <w:sz w:val="24"/>
              </w:rPr>
              <w:t>注意避免汽</w:t>
            </w:r>
            <w:r>
              <w:rPr>
                <w:rFonts w:hint="eastAsia"/>
                <w:sz w:val="24"/>
              </w:rPr>
              <w:t>车</w:t>
            </w:r>
            <w:r>
              <w:rPr>
                <w:sz w:val="24"/>
              </w:rPr>
              <w:t>尾气</w:t>
            </w:r>
            <w:r>
              <w:rPr>
                <w:rFonts w:hint="eastAsia"/>
                <w:sz w:val="24"/>
              </w:rPr>
              <w:t>对</w:t>
            </w:r>
            <w:r>
              <w:rPr>
                <w:sz w:val="24"/>
              </w:rPr>
              <w:t>建筑使用空</w:t>
            </w:r>
            <w:r>
              <w:rPr>
                <w:rFonts w:hint="eastAsia"/>
                <w:sz w:val="24"/>
              </w:rPr>
              <w:t>间</w:t>
            </w:r>
            <w:r>
              <w:rPr>
                <w:sz w:val="24"/>
              </w:rPr>
              <w:t>的影</w:t>
            </w:r>
            <w:r>
              <w:rPr>
                <w:rFonts w:hint="eastAsia"/>
                <w:sz w:val="24"/>
              </w:rPr>
              <w:t>响。</w:t>
            </w:r>
          </w:p>
        </w:tc>
      </w:tr>
    </w:tbl>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 xml:space="preserve">5.4 </w:t>
      </w:r>
      <w:r>
        <w:rPr>
          <w:rFonts w:hint="eastAsia" w:asciiTheme="minorEastAsia" w:hAnsiTheme="minorEastAsia" w:eastAsiaTheme="minorEastAsia"/>
          <w:sz w:val="24"/>
        </w:rPr>
        <w:t>公共建筑,在过渡季典型工况下,主要功能房间平均自然通风换气次数不小于2次/h的面积比例（R</w:t>
      </w:r>
      <w:r>
        <w:rPr>
          <w:rFonts w:asciiTheme="minorEastAsia" w:hAnsiTheme="minorEastAsia" w:eastAsiaTheme="minorEastAsia"/>
          <w:sz w:val="24"/>
        </w:rPr>
        <w:t>w</w:t>
      </w:r>
      <w:r>
        <w:rPr>
          <w:rFonts w:hint="eastAsia" w:asciiTheme="minorEastAsia" w:hAnsiTheme="minorEastAsia" w:eastAsiaTheme="minorEastAsia"/>
          <w:sz w:val="24"/>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w:t>
            </w:r>
            <w:r>
              <w:rPr>
                <w:sz w:val="24"/>
              </w:rPr>
              <w:t>9</w:t>
            </w:r>
          </w:p>
        </w:tc>
        <w:tc>
          <w:tcPr>
            <w:tcW w:w="1701" w:type="dxa"/>
          </w:tcPr>
          <w:p>
            <w:pPr>
              <w:pStyle w:val="84"/>
              <w:spacing w:line="360" w:lineRule="auto"/>
              <w:rPr>
                <w:sz w:val="24"/>
              </w:rPr>
            </w:pPr>
            <w:r>
              <w:rPr>
                <w:sz w:val="24"/>
              </w:rPr>
              <w:t>5.2.10</w:t>
            </w:r>
            <w:r>
              <w:rPr>
                <w:rFonts w:hint="eastAsia"/>
                <w:sz w:val="24"/>
              </w:rPr>
              <w:t>条-</w:t>
            </w:r>
            <w:r>
              <w:rPr>
                <w:sz w:val="24"/>
              </w:rPr>
              <w:t>2</w:t>
            </w:r>
          </w:p>
        </w:tc>
        <w:tc>
          <w:tcPr>
            <w:tcW w:w="4394" w:type="dxa"/>
          </w:tcPr>
          <w:p>
            <w:pPr>
              <w:pStyle w:val="84"/>
              <w:spacing w:line="360" w:lineRule="auto"/>
              <w:rPr>
                <w:sz w:val="24"/>
              </w:rPr>
            </w:pPr>
            <w:r>
              <w:rPr>
                <w:rFonts w:hint="eastAsia"/>
                <w:sz w:val="24"/>
              </w:rPr>
              <w:t>达到70％，5分；每再增加10％，再得1分，最高得8分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w:t>
            </w:r>
            <w:r>
              <w:rPr>
                <w:sz w:val="24"/>
              </w:rPr>
              <w:t>21</w:t>
            </w:r>
          </w:p>
        </w:tc>
        <w:tc>
          <w:tcPr>
            <w:tcW w:w="1701" w:type="dxa"/>
          </w:tcPr>
          <w:p>
            <w:pPr>
              <w:pStyle w:val="84"/>
              <w:spacing w:line="360" w:lineRule="auto"/>
              <w:rPr>
                <w:sz w:val="24"/>
              </w:rPr>
            </w:pPr>
            <w:r>
              <w:rPr>
                <w:rFonts w:hint="eastAsia"/>
                <w:sz w:val="24"/>
              </w:rPr>
              <w:t>5.2.18条</w:t>
            </w:r>
          </w:p>
        </w:tc>
        <w:tc>
          <w:tcPr>
            <w:tcW w:w="4394"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sz w:val="24"/>
              </w:rPr>
              <w:t>5.3.6</w:t>
            </w:r>
            <w:r>
              <w:rPr>
                <w:rFonts w:hint="eastAsia"/>
                <w:sz w:val="24"/>
              </w:rPr>
              <w:t>条-</w:t>
            </w:r>
            <w:r>
              <w:rPr>
                <w:sz w:val="24"/>
              </w:rPr>
              <w:t>1</w:t>
            </w:r>
          </w:p>
        </w:tc>
        <w:tc>
          <w:tcPr>
            <w:tcW w:w="4394" w:type="dxa"/>
          </w:tcPr>
          <w:p>
            <w:pPr>
              <w:pStyle w:val="84"/>
              <w:spacing w:line="360" w:lineRule="auto"/>
              <w:rPr>
                <w:sz w:val="24"/>
              </w:rPr>
            </w:pPr>
            <w:r>
              <w:rPr>
                <w:rFonts w:hint="eastAsia"/>
                <w:sz w:val="24"/>
              </w:rPr>
              <w:t>二星级</w:t>
            </w:r>
            <w:r>
              <w:rPr>
                <w:sz w:val="24"/>
              </w:rPr>
              <w:t>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5.4.</w:t>
            </w:r>
            <w:r>
              <w:rPr>
                <w:sz w:val="24"/>
              </w:rPr>
              <w:t>9</w:t>
            </w:r>
            <w:r>
              <w:rPr>
                <w:rFonts w:hint="eastAsia"/>
                <w:sz w:val="24"/>
              </w:rPr>
              <w:t>条</w:t>
            </w:r>
          </w:p>
        </w:tc>
        <w:tc>
          <w:tcPr>
            <w:tcW w:w="4394" w:type="dxa"/>
          </w:tcPr>
          <w:p>
            <w:pPr>
              <w:pStyle w:val="84"/>
              <w:spacing w:line="360" w:lineRule="auto"/>
              <w:rPr>
                <w:sz w:val="24"/>
              </w:rPr>
            </w:pPr>
            <w:r>
              <w:rPr>
                <w:rFonts w:hint="eastAsia"/>
                <w:sz w:val="24"/>
              </w:rPr>
              <w:t>三星级</w:t>
            </w:r>
            <w:r>
              <w:rPr>
                <w:sz w:val="24"/>
              </w:rPr>
              <w:t>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jc w:val="left"/>
              <w:rPr>
                <w:sz w:val="24"/>
              </w:rPr>
            </w:pPr>
            <w:r>
              <w:rPr>
                <w:rFonts w:hint="eastAsia"/>
                <w:sz w:val="24"/>
              </w:rPr>
              <w:t xml:space="preserve">    设计人员应根据建筑设计相关文件、计算书、自然通风模拟分析报告等，按项目实际，填写本项内容。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400" w:lineRule="exact"/>
              <w:jc w:val="left"/>
              <w:rPr>
                <w:sz w:val="24"/>
              </w:rPr>
            </w:pPr>
            <w:r>
              <w:rPr>
                <w:rFonts w:hint="eastAsia"/>
                <w:sz w:val="24"/>
              </w:rPr>
              <w:t xml:space="preserve">    在过</w:t>
            </w:r>
            <w:r>
              <w:rPr>
                <w:sz w:val="24"/>
              </w:rPr>
              <w:t>渡季典型工况下主要功能房</w:t>
            </w:r>
            <w:r>
              <w:rPr>
                <w:rFonts w:hint="eastAsia"/>
                <w:sz w:val="24"/>
              </w:rPr>
              <w:t>间</w:t>
            </w:r>
            <w:r>
              <w:rPr>
                <w:sz w:val="24"/>
              </w:rPr>
              <w:t>平均</w:t>
            </w:r>
            <w:r>
              <w:rPr>
                <w:rFonts w:hint="eastAsia"/>
                <w:sz w:val="24"/>
              </w:rPr>
              <w:t>自然通风换</w:t>
            </w:r>
            <w:r>
              <w:rPr>
                <w:sz w:val="24"/>
              </w:rPr>
              <w:t xml:space="preserve">气次数不小于2 </w:t>
            </w:r>
            <w:r>
              <w:rPr>
                <w:rFonts w:hint="eastAsia"/>
                <w:sz w:val="24"/>
              </w:rPr>
              <w:t>次/</w:t>
            </w:r>
            <w:r>
              <w:rPr>
                <w:sz w:val="24"/>
              </w:rPr>
              <w:t>h</w:t>
            </w:r>
            <w:r>
              <w:rPr>
                <w:rFonts w:hint="eastAsia"/>
                <w:sz w:val="24"/>
              </w:rPr>
              <w:t>的面积</w:t>
            </w:r>
            <w:r>
              <w:rPr>
                <w:sz w:val="24"/>
              </w:rPr>
              <w:t>比</w:t>
            </w:r>
            <w:r>
              <w:rPr>
                <w:rFonts w:hint="eastAsia"/>
                <w:sz w:val="24"/>
              </w:rPr>
              <w:t>例。主要针对不容易实现自然通风的公共建筑（例如大进深内区，由于别的原因不能保证开窗通风面积满足自然通风要求的区域）进行了自然通风优化设计或创新设计，保证建筑在过渡季典型工况下平均自然通风换气次数大于</w:t>
            </w:r>
            <w:r>
              <w:rPr>
                <w:sz w:val="24"/>
              </w:rPr>
              <w:t xml:space="preserve">2 </w:t>
            </w:r>
            <w:r>
              <w:rPr>
                <w:rFonts w:hint="eastAsia"/>
                <w:sz w:val="24"/>
              </w:rPr>
              <w:t>次/</w:t>
            </w:r>
            <w:r>
              <w:rPr>
                <w:sz w:val="24"/>
              </w:rPr>
              <w:t>h</w:t>
            </w:r>
            <w:r>
              <w:rPr>
                <w:rFonts w:hint="eastAsia"/>
                <w:sz w:val="24"/>
              </w:rPr>
              <w:t>（按面积计算，对于高大空间，主要考虑</w:t>
            </w:r>
            <w:r>
              <w:rPr>
                <w:sz w:val="24"/>
              </w:rPr>
              <w:t>3m</w:t>
            </w:r>
            <w:r>
              <w:rPr>
                <w:rFonts w:hint="eastAsia"/>
                <w:sz w:val="24"/>
              </w:rPr>
              <w:t>以下的活动区域）。本款可通过以下两种方式进行判断：</w:t>
            </w:r>
          </w:p>
          <w:p>
            <w:pPr>
              <w:pStyle w:val="84"/>
              <w:spacing w:line="400" w:lineRule="exact"/>
              <w:jc w:val="left"/>
              <w:rPr>
                <w:sz w:val="24"/>
              </w:rPr>
            </w:pPr>
            <w:r>
              <w:rPr>
                <w:sz w:val="24"/>
              </w:rPr>
              <w:t xml:space="preserve">1 </w:t>
            </w:r>
            <w:r>
              <w:rPr>
                <w:rFonts w:hint="eastAsia"/>
                <w:sz w:val="24"/>
              </w:rPr>
              <w:t>在过渡季节典型工况下，自然通风房间可开启外窗净面积不得小于房间地板面积的</w:t>
            </w:r>
            <w:r>
              <w:rPr>
                <w:sz w:val="24"/>
              </w:rPr>
              <w:t>4%</w:t>
            </w:r>
            <w:r>
              <w:rPr>
                <w:rFonts w:hint="eastAsia"/>
                <w:sz w:val="24"/>
              </w:rPr>
              <w:t>，建筑内区房间若通过邻接房间进行自然通风，其通风开口面积应大于该房间净面积的</w:t>
            </w:r>
            <w:r>
              <w:rPr>
                <w:sz w:val="24"/>
              </w:rPr>
              <w:t>8%</w:t>
            </w:r>
            <w:r>
              <w:rPr>
                <w:rFonts w:hint="eastAsia"/>
                <w:sz w:val="24"/>
              </w:rPr>
              <w:t>， 且不应</w:t>
            </w:r>
            <w:r>
              <w:rPr>
                <w:sz w:val="24"/>
              </w:rPr>
              <w:t>小于2. 3</w:t>
            </w:r>
            <w:r>
              <w:rPr>
                <w:rFonts w:hint="eastAsia"/>
                <w:sz w:val="24"/>
              </w:rPr>
              <w:t>时（数据调自美国</w:t>
            </w:r>
            <w:r>
              <w:rPr>
                <w:sz w:val="24"/>
              </w:rPr>
              <w:t>ASH RAE</w:t>
            </w:r>
            <w:r>
              <w:rPr>
                <w:rFonts w:hint="eastAsia"/>
                <w:sz w:val="24"/>
              </w:rPr>
              <w:t>标准</w:t>
            </w:r>
            <w:r>
              <w:rPr>
                <w:sz w:val="24"/>
              </w:rPr>
              <w:t xml:space="preserve">62. 1 </w:t>
            </w:r>
            <w:r>
              <w:rPr>
                <w:rFonts w:hint="eastAsia"/>
                <w:sz w:val="24"/>
              </w:rPr>
              <w:t>）。</w:t>
            </w:r>
          </w:p>
          <w:p>
            <w:pPr>
              <w:pStyle w:val="84"/>
              <w:spacing w:line="400" w:lineRule="exact"/>
              <w:jc w:val="left"/>
              <w:rPr>
                <w:sz w:val="24"/>
              </w:rPr>
            </w:pPr>
            <w:r>
              <w:rPr>
                <w:sz w:val="24"/>
              </w:rPr>
              <w:t xml:space="preserve">2 </w:t>
            </w:r>
            <w:r>
              <w:rPr>
                <w:rFonts w:hint="eastAsia"/>
                <w:sz w:val="24"/>
              </w:rPr>
              <w:t>对</w:t>
            </w:r>
            <w:r>
              <w:rPr>
                <w:sz w:val="24"/>
              </w:rPr>
              <w:t>于复</w:t>
            </w:r>
            <w:r>
              <w:rPr>
                <w:rFonts w:hint="eastAsia"/>
                <w:sz w:val="24"/>
              </w:rPr>
              <w:t>杂</w:t>
            </w:r>
            <w:r>
              <w:rPr>
                <w:sz w:val="24"/>
              </w:rPr>
              <w:t>建筑，必要</w:t>
            </w:r>
            <w:r>
              <w:rPr>
                <w:rFonts w:hint="eastAsia"/>
                <w:sz w:val="24"/>
              </w:rPr>
              <w:t>时</w:t>
            </w:r>
            <w:r>
              <w:rPr>
                <w:sz w:val="24"/>
              </w:rPr>
              <w:t>需采用多区域网</w:t>
            </w:r>
            <w:r>
              <w:rPr>
                <w:rFonts w:hint="eastAsia"/>
                <w:sz w:val="24"/>
              </w:rPr>
              <w:t>络</w:t>
            </w:r>
            <w:r>
              <w:rPr>
                <w:sz w:val="24"/>
              </w:rPr>
              <w:t>法</w:t>
            </w:r>
            <w:r>
              <w:rPr>
                <w:rFonts w:hint="eastAsia"/>
                <w:sz w:val="24"/>
              </w:rPr>
              <w:t>进</w:t>
            </w:r>
            <w:r>
              <w:rPr>
                <w:sz w:val="24"/>
              </w:rPr>
              <w:t>行多房</w:t>
            </w:r>
            <w:r>
              <w:rPr>
                <w:rFonts w:hint="eastAsia"/>
                <w:sz w:val="24"/>
              </w:rPr>
              <w:t>间自然通风</w:t>
            </w:r>
            <w:r>
              <w:rPr>
                <w:sz w:val="24"/>
              </w:rPr>
              <w:t>量的模</w:t>
            </w:r>
            <w:r>
              <w:rPr>
                <w:rFonts w:hint="eastAsia"/>
                <w:sz w:val="24"/>
              </w:rPr>
              <w:t>拟</w:t>
            </w:r>
            <w:r>
              <w:rPr>
                <w:sz w:val="24"/>
              </w:rPr>
              <w:t>分析</w:t>
            </w:r>
            <w:r>
              <w:rPr>
                <w:rFonts w:hint="eastAsia"/>
                <w:sz w:val="24"/>
              </w:rPr>
              <w:t>计</w:t>
            </w:r>
            <w:r>
              <w:rPr>
                <w:sz w:val="24"/>
              </w:rPr>
              <w:t>算</w:t>
            </w:r>
            <w:r>
              <w:rPr>
                <w:rFonts w:hint="eastAsia"/>
                <w:sz w:val="24"/>
              </w:rPr>
              <w:t>。</w:t>
            </w:r>
          </w:p>
        </w:tc>
      </w:tr>
    </w:tbl>
    <w:p>
      <w:pPr>
        <w:pStyle w:val="17"/>
        <w:spacing w:line="360" w:lineRule="auto"/>
        <w:ind w:firstLine="422"/>
        <w:rPr>
          <w:rFonts w:asciiTheme="minorEastAsia" w:hAnsiTheme="minorEastAsia" w:eastAsiaTheme="minorEastAsia"/>
          <w:b/>
          <w:sz w:val="24"/>
        </w:rPr>
      </w:pPr>
    </w:p>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6.室内声环境设计：</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6.1声环境标准：</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6.1.1主要功能房间室内噪声级达到现行国家标准《民用建筑隔声设计规范》 GB50118中的；</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6.1.2主要功能房间的隔声性能；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1984"/>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GB/T 50378-2019</w:t>
            </w:r>
          </w:p>
        </w:tc>
        <w:tc>
          <w:tcPr>
            <w:tcW w:w="1701" w:type="dxa"/>
          </w:tcPr>
          <w:p>
            <w:pPr>
              <w:pStyle w:val="84"/>
              <w:spacing w:line="360" w:lineRule="auto"/>
              <w:rPr>
                <w:sz w:val="24"/>
              </w:rPr>
            </w:pPr>
            <w:r>
              <w:rPr>
                <w:rFonts w:hint="eastAsia"/>
                <w:sz w:val="24"/>
              </w:rPr>
              <w:t>5.1.4条</w:t>
            </w:r>
          </w:p>
        </w:tc>
        <w:tc>
          <w:tcPr>
            <w:tcW w:w="4394" w:type="dxa"/>
            <w:gridSpan w:val="2"/>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restart"/>
          </w:tcPr>
          <w:p>
            <w:pPr>
              <w:pStyle w:val="84"/>
              <w:spacing w:line="360" w:lineRule="auto"/>
              <w:rPr>
                <w:sz w:val="24"/>
              </w:rPr>
            </w:pPr>
            <w:r>
              <w:rPr>
                <w:rFonts w:hint="eastAsia"/>
                <w:sz w:val="24"/>
              </w:rPr>
              <w:t>5.2.6条</w:t>
            </w:r>
          </w:p>
        </w:tc>
        <w:tc>
          <w:tcPr>
            <w:tcW w:w="4394" w:type="dxa"/>
            <w:gridSpan w:val="2"/>
          </w:tcPr>
          <w:p>
            <w:pPr>
              <w:pStyle w:val="84"/>
              <w:spacing w:line="360" w:lineRule="auto"/>
              <w:rPr>
                <w:sz w:val="24"/>
              </w:rPr>
            </w:pPr>
            <w:r>
              <w:rPr>
                <w:rFonts w:hint="eastAsia"/>
                <w:sz w:val="24"/>
              </w:rPr>
              <w:t>噪声级达到现</w:t>
            </w:r>
            <w:r>
              <w:rPr>
                <w:sz w:val="24"/>
              </w:rPr>
              <w:t>行国家</w:t>
            </w:r>
            <w:r>
              <w:rPr>
                <w:rFonts w:hint="eastAsia"/>
                <w:sz w:val="24"/>
              </w:rPr>
              <w:t>标</w:t>
            </w:r>
            <w:r>
              <w:rPr>
                <w:sz w:val="24"/>
              </w:rPr>
              <w:t>准《民用建筑隔声</w:t>
            </w:r>
            <w:r>
              <w:rPr>
                <w:rFonts w:hint="eastAsia"/>
                <w:sz w:val="24"/>
              </w:rPr>
              <w:t>设计规</w:t>
            </w:r>
            <w:r>
              <w:rPr>
                <w:sz w:val="24"/>
              </w:rPr>
              <w:t xml:space="preserve">范》GB 50118 </w:t>
            </w:r>
            <w:r>
              <w:rPr>
                <w:rFonts w:hint="eastAsia"/>
                <w:sz w:val="24"/>
              </w:rPr>
              <w:t>中的低限标</w:t>
            </w:r>
            <w:r>
              <w:rPr>
                <w:sz w:val="24"/>
              </w:rPr>
              <w:t>准限</w:t>
            </w:r>
            <w:r>
              <w:rPr>
                <w:rFonts w:hint="eastAsia"/>
                <w:sz w:val="24"/>
              </w:rPr>
              <w:t>值</w:t>
            </w:r>
            <w:r>
              <w:rPr>
                <w:sz w:val="24"/>
              </w:rPr>
              <w:t>和高要求</w:t>
            </w:r>
            <w:r>
              <w:rPr>
                <w:rFonts w:hint="eastAsia"/>
                <w:sz w:val="24"/>
              </w:rPr>
              <w:t>标</w:t>
            </w:r>
            <w:r>
              <w:rPr>
                <w:sz w:val="24"/>
              </w:rPr>
              <w:t>准限</w:t>
            </w:r>
            <w:r>
              <w:rPr>
                <w:rFonts w:hint="eastAsia"/>
                <w:sz w:val="24"/>
              </w:rPr>
              <w:t>值</w:t>
            </w:r>
            <w:r>
              <w:rPr>
                <w:sz w:val="24"/>
              </w:rPr>
              <w:t>的平均</w:t>
            </w:r>
            <w:r>
              <w:rPr>
                <w:rFonts w:hint="eastAsia"/>
                <w:sz w:val="24"/>
              </w:rPr>
              <w:t>值</w:t>
            </w:r>
            <w:r>
              <w:rPr>
                <w:sz w:val="24"/>
              </w:rPr>
              <w:t>，得</w:t>
            </w:r>
            <w:r>
              <w:rPr>
                <w:rFonts w:hint="eastAsia"/>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continue"/>
          </w:tcPr>
          <w:p>
            <w:pPr>
              <w:pStyle w:val="84"/>
              <w:spacing w:line="360" w:lineRule="auto"/>
              <w:rPr>
                <w:sz w:val="24"/>
              </w:rPr>
            </w:pPr>
          </w:p>
        </w:tc>
        <w:tc>
          <w:tcPr>
            <w:tcW w:w="4394" w:type="dxa"/>
            <w:gridSpan w:val="2"/>
          </w:tcPr>
          <w:p>
            <w:pPr>
              <w:pStyle w:val="84"/>
              <w:spacing w:line="360" w:lineRule="auto"/>
              <w:rPr>
                <w:sz w:val="24"/>
              </w:rPr>
            </w:pPr>
            <w:r>
              <w:rPr>
                <w:rFonts w:hint="eastAsia"/>
                <w:sz w:val="24"/>
              </w:rPr>
              <w:t>达到高要求标准限值</w:t>
            </w:r>
            <w:r>
              <w:rPr>
                <w:sz w:val="24"/>
              </w:rPr>
              <w:t>，得</w:t>
            </w:r>
            <w:r>
              <w:rPr>
                <w:rFonts w:hint="eastAsia"/>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restart"/>
          </w:tcPr>
          <w:p>
            <w:pPr>
              <w:pStyle w:val="84"/>
              <w:spacing w:line="360" w:lineRule="auto"/>
              <w:rPr>
                <w:sz w:val="24"/>
              </w:rPr>
            </w:pPr>
            <w:r>
              <w:rPr>
                <w:rFonts w:hint="eastAsia"/>
                <w:sz w:val="24"/>
              </w:rPr>
              <w:t>5.2.7条</w:t>
            </w:r>
          </w:p>
        </w:tc>
        <w:tc>
          <w:tcPr>
            <w:tcW w:w="1984" w:type="dxa"/>
            <w:vMerge w:val="restart"/>
          </w:tcPr>
          <w:p>
            <w:pPr>
              <w:pStyle w:val="84"/>
              <w:spacing w:line="360" w:lineRule="auto"/>
              <w:rPr>
                <w:sz w:val="24"/>
              </w:rPr>
            </w:pPr>
            <w:r>
              <w:rPr>
                <w:rFonts w:hint="eastAsia"/>
                <w:sz w:val="24"/>
              </w:rPr>
              <w:t>构件及相邻房间之间的空气隔声性能达到现行国家标准《民用建筑隔声设计规范》GB50118中的标准限值：</w:t>
            </w:r>
          </w:p>
        </w:tc>
        <w:tc>
          <w:tcPr>
            <w:tcW w:w="2410" w:type="dxa"/>
          </w:tcPr>
          <w:p>
            <w:pPr>
              <w:pStyle w:val="84"/>
              <w:spacing w:line="360" w:lineRule="auto"/>
              <w:rPr>
                <w:sz w:val="24"/>
              </w:rPr>
            </w:pPr>
            <w:r>
              <w:rPr>
                <w:rFonts w:hint="eastAsia"/>
                <w:sz w:val="24"/>
              </w:rPr>
              <w:t>低限标准限值和高要求标准限值的平均值，3分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2410" w:type="dxa"/>
          </w:tcPr>
          <w:p>
            <w:pPr>
              <w:pStyle w:val="84"/>
              <w:spacing w:line="360" w:lineRule="auto"/>
              <w:rPr>
                <w:sz w:val="24"/>
              </w:rPr>
            </w:pPr>
            <w:r>
              <w:rPr>
                <w:rFonts w:hint="eastAsia"/>
                <w:sz w:val="24"/>
              </w:rPr>
              <w:t>高要求标准限值，5分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continue"/>
          </w:tcPr>
          <w:p>
            <w:pPr>
              <w:pStyle w:val="84"/>
              <w:spacing w:line="360" w:lineRule="auto"/>
              <w:rPr>
                <w:sz w:val="24"/>
              </w:rPr>
            </w:pPr>
          </w:p>
        </w:tc>
        <w:tc>
          <w:tcPr>
            <w:tcW w:w="1984" w:type="dxa"/>
            <w:vMerge w:val="restart"/>
          </w:tcPr>
          <w:p>
            <w:pPr>
              <w:pStyle w:val="84"/>
              <w:spacing w:line="360" w:lineRule="auto"/>
              <w:rPr>
                <w:sz w:val="24"/>
              </w:rPr>
            </w:pPr>
            <w:r>
              <w:rPr>
                <w:rFonts w:hint="eastAsia"/>
                <w:sz w:val="24"/>
              </w:rPr>
              <w:t>楼板的撞击声隔声性能达到现行国家标准《民用建筑隔声设计规范》GB50118中的标准限值：</w:t>
            </w:r>
          </w:p>
        </w:tc>
        <w:tc>
          <w:tcPr>
            <w:tcW w:w="2410" w:type="dxa"/>
          </w:tcPr>
          <w:p>
            <w:pPr>
              <w:pStyle w:val="84"/>
              <w:spacing w:line="360" w:lineRule="auto"/>
              <w:rPr>
                <w:sz w:val="24"/>
              </w:rPr>
            </w:pPr>
            <w:r>
              <w:rPr>
                <w:rFonts w:hint="eastAsia"/>
                <w:sz w:val="24"/>
              </w:rPr>
              <w:t>低限标准限值和高要求标准限值的平均值，3分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continue"/>
          </w:tcPr>
          <w:p>
            <w:pPr>
              <w:pStyle w:val="84"/>
              <w:spacing w:line="360" w:lineRule="auto"/>
              <w:rPr>
                <w:sz w:val="24"/>
              </w:rPr>
            </w:pPr>
          </w:p>
        </w:tc>
        <w:tc>
          <w:tcPr>
            <w:tcW w:w="1984" w:type="dxa"/>
            <w:vMerge w:val="continue"/>
          </w:tcPr>
          <w:p>
            <w:pPr>
              <w:pStyle w:val="84"/>
              <w:spacing w:line="360" w:lineRule="auto"/>
              <w:rPr>
                <w:sz w:val="24"/>
              </w:rPr>
            </w:pPr>
          </w:p>
        </w:tc>
        <w:tc>
          <w:tcPr>
            <w:tcW w:w="2410" w:type="dxa"/>
          </w:tcPr>
          <w:p>
            <w:pPr>
              <w:pStyle w:val="84"/>
              <w:spacing w:line="360" w:lineRule="auto"/>
              <w:rPr>
                <w:sz w:val="24"/>
              </w:rPr>
            </w:pPr>
            <w:r>
              <w:rPr>
                <w:rFonts w:hint="eastAsia"/>
                <w:sz w:val="24"/>
              </w:rPr>
              <w:t>高要求标准限值，5分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sz w:val="24"/>
              </w:rPr>
              <w:t>5.</w:t>
            </w:r>
            <w:r>
              <w:rPr>
                <w:rFonts w:hint="eastAsia"/>
                <w:sz w:val="24"/>
              </w:rPr>
              <w:t>1</w:t>
            </w:r>
            <w:r>
              <w:rPr>
                <w:sz w:val="24"/>
              </w:rPr>
              <w:t>.</w:t>
            </w:r>
            <w:r>
              <w:rPr>
                <w:rFonts w:hint="eastAsia"/>
                <w:sz w:val="24"/>
              </w:rPr>
              <w:t>10条</w:t>
            </w:r>
          </w:p>
        </w:tc>
        <w:tc>
          <w:tcPr>
            <w:tcW w:w="4394" w:type="dxa"/>
            <w:gridSpan w:val="2"/>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w:t>
            </w:r>
            <w:r>
              <w:rPr>
                <w:sz w:val="24"/>
              </w:rPr>
              <w:t>2</w:t>
            </w:r>
            <w:r>
              <w:rPr>
                <w:rFonts w:hint="eastAsia"/>
                <w:sz w:val="24"/>
              </w:rPr>
              <w:t>.</w:t>
            </w:r>
            <w:r>
              <w:rPr>
                <w:sz w:val="24"/>
              </w:rPr>
              <w:t>21</w:t>
            </w:r>
            <w:r>
              <w:rPr>
                <w:rFonts w:hint="eastAsia"/>
                <w:sz w:val="24"/>
              </w:rPr>
              <w:t>条</w:t>
            </w:r>
          </w:p>
        </w:tc>
        <w:tc>
          <w:tcPr>
            <w:tcW w:w="4394" w:type="dxa"/>
            <w:gridSpan w:val="2"/>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5.3.7条</w:t>
            </w:r>
          </w:p>
        </w:tc>
        <w:tc>
          <w:tcPr>
            <w:tcW w:w="4394" w:type="dxa"/>
            <w:gridSpan w:val="2"/>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5.4.13条</w:t>
            </w:r>
          </w:p>
        </w:tc>
        <w:tc>
          <w:tcPr>
            <w:tcW w:w="4394" w:type="dxa"/>
            <w:gridSpan w:val="2"/>
          </w:tcPr>
          <w:p>
            <w:pPr>
              <w:pStyle w:val="84"/>
              <w:spacing w:line="360" w:lineRule="auto"/>
              <w:rPr>
                <w:sz w:val="24"/>
              </w:rPr>
            </w:pPr>
            <w:r>
              <w:rPr>
                <w:rFonts w:hint="eastAsia"/>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4"/>
          </w:tcPr>
          <w:p>
            <w:pPr>
              <w:pStyle w:val="84"/>
              <w:spacing w:line="360" w:lineRule="auto"/>
              <w:jc w:val="left"/>
              <w:rPr>
                <w:sz w:val="24"/>
              </w:rPr>
            </w:pPr>
            <w:r>
              <w:rPr>
                <w:rFonts w:hint="eastAsia"/>
                <w:sz w:val="24"/>
              </w:rPr>
              <w:t xml:space="preserve">    设计人员应根据建筑设计平面图，环评报告室外噪声要求对室内的背景噪声影响（也包括室内噪声源影响）的分析报告，及可能有的声环境专项设计报告上的数据，按照项目实际，来填写此项内容。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1384" w:type="dxa"/>
          </w:tcPr>
          <w:p>
            <w:pPr>
              <w:pStyle w:val="84"/>
              <w:spacing w:line="360" w:lineRule="auto"/>
              <w:rPr>
                <w:sz w:val="24"/>
              </w:rPr>
            </w:pPr>
            <w:r>
              <w:rPr>
                <w:rFonts w:hint="eastAsia"/>
                <w:sz w:val="24"/>
              </w:rPr>
              <w:t>备注</w:t>
            </w:r>
          </w:p>
        </w:tc>
        <w:tc>
          <w:tcPr>
            <w:tcW w:w="8080" w:type="dxa"/>
            <w:gridSpan w:val="4"/>
          </w:tcPr>
          <w:p>
            <w:pPr>
              <w:pStyle w:val="84"/>
              <w:spacing w:line="360" w:lineRule="auto"/>
              <w:ind w:firstLine="480" w:firstLineChars="200"/>
              <w:jc w:val="left"/>
              <w:rPr>
                <w:sz w:val="24"/>
              </w:rPr>
            </w:pPr>
            <w:r>
              <w:rPr>
                <w:rFonts w:hint="eastAsia"/>
                <w:sz w:val="24"/>
              </w:rPr>
              <w:t>本条对</w:t>
            </w:r>
            <w:r>
              <w:rPr>
                <w:sz w:val="24"/>
              </w:rPr>
              <w:t>室内噪声</w:t>
            </w:r>
            <w:r>
              <w:rPr>
                <w:rFonts w:hint="eastAsia"/>
                <w:sz w:val="24"/>
              </w:rPr>
              <w:t>级</w:t>
            </w:r>
            <w:r>
              <w:rPr>
                <w:sz w:val="24"/>
              </w:rPr>
              <w:t>要求做出了</w:t>
            </w:r>
            <w:r>
              <w:rPr>
                <w:rFonts w:hint="eastAsia"/>
                <w:sz w:val="24"/>
              </w:rPr>
              <w:t>规</w:t>
            </w:r>
            <w:r>
              <w:rPr>
                <w:sz w:val="24"/>
              </w:rPr>
              <w:t>定。</w:t>
            </w:r>
          </w:p>
          <w:p>
            <w:pPr>
              <w:pStyle w:val="84"/>
              <w:spacing w:line="360" w:lineRule="auto"/>
              <w:ind w:firstLine="480" w:firstLineChars="200"/>
              <w:jc w:val="left"/>
              <w:rPr>
                <w:sz w:val="24"/>
              </w:rPr>
            </w:pPr>
            <w:r>
              <w:rPr>
                <w:rFonts w:hint="eastAsia"/>
                <w:sz w:val="24"/>
              </w:rPr>
              <w:t>外墙</w:t>
            </w:r>
            <w:r>
              <w:rPr>
                <w:sz w:val="24"/>
              </w:rPr>
              <w:t>、隔</w:t>
            </w:r>
            <w:r>
              <w:rPr>
                <w:rFonts w:hint="eastAsia"/>
                <w:sz w:val="24"/>
              </w:rPr>
              <w:t>墙</w:t>
            </w:r>
            <w:r>
              <w:rPr>
                <w:sz w:val="24"/>
              </w:rPr>
              <w:t>和</w:t>
            </w:r>
            <w:r>
              <w:rPr>
                <w:rFonts w:hint="eastAsia"/>
                <w:sz w:val="24"/>
              </w:rPr>
              <w:t>门</w:t>
            </w:r>
            <w:r>
              <w:rPr>
                <w:sz w:val="24"/>
              </w:rPr>
              <w:t>窗的隔声性能指空气声隔声性能；楼板</w:t>
            </w:r>
            <w:r>
              <w:rPr>
                <w:rFonts w:hint="eastAsia"/>
                <w:sz w:val="24"/>
              </w:rPr>
              <w:t>的隔声性能除了空气声隔声性能之外，还</w:t>
            </w:r>
            <w:r>
              <w:rPr>
                <w:sz w:val="24"/>
              </w:rPr>
              <w:t>包括撞</w:t>
            </w:r>
            <w:r>
              <w:rPr>
                <w:rFonts w:hint="eastAsia"/>
                <w:sz w:val="24"/>
              </w:rPr>
              <w:t>击</w:t>
            </w:r>
            <w:r>
              <w:rPr>
                <w:sz w:val="24"/>
              </w:rPr>
              <w:t>声隔声性能</w:t>
            </w:r>
            <w:r>
              <w:rPr>
                <w:rFonts w:hint="eastAsia"/>
                <w:sz w:val="24"/>
              </w:rPr>
              <w:t>。</w:t>
            </w:r>
          </w:p>
          <w:p>
            <w:pPr>
              <w:pStyle w:val="84"/>
              <w:spacing w:line="360" w:lineRule="auto"/>
              <w:ind w:firstLine="480" w:firstLineChars="200"/>
              <w:jc w:val="left"/>
              <w:rPr>
                <w:sz w:val="24"/>
              </w:rPr>
            </w:pPr>
            <w:r>
              <w:rPr>
                <w:rFonts w:hint="eastAsia"/>
                <w:sz w:val="24"/>
              </w:rPr>
              <w:t>本条所指的噪声控制对象包括室内自身声源和来自室外的噪声。室内噪声源一般为通风空调设备、日用电器等；室外噪声源则包括来自于建筑其他房间的噪声（如电梯噪声、空调设备噪声等）和来自建筑外部的噪声（如周边交通噪声、社会生活噪声、工业噪声等）。本条所指的低限要求，与国家标准《民用建筑隔声设计规范》</w:t>
            </w:r>
            <w:r>
              <w:rPr>
                <w:sz w:val="24"/>
              </w:rPr>
              <w:t xml:space="preserve">GB 50118 </w:t>
            </w:r>
            <w:r>
              <w:rPr>
                <w:rFonts w:hint="eastAsia"/>
                <w:sz w:val="24"/>
              </w:rPr>
              <w:t>中的低限要求规定对应，如该标准中没有明确室内噪声级的低限要求，即对应该标准规定的室内噪声级的最低要求。</w:t>
            </w:r>
          </w:p>
          <w:p>
            <w:pPr>
              <w:pStyle w:val="84"/>
              <w:spacing w:line="360" w:lineRule="auto"/>
              <w:jc w:val="left"/>
              <w:rPr>
                <w:sz w:val="24"/>
              </w:rPr>
            </w:pPr>
            <w:r>
              <w:rPr>
                <w:rFonts w:hint="eastAsia"/>
                <w:sz w:val="24"/>
              </w:rPr>
              <w:t xml:space="preserve">   国家标准《民用建筑隔声设计规范》</w:t>
            </w:r>
            <w:r>
              <w:rPr>
                <w:sz w:val="24"/>
              </w:rPr>
              <w:t xml:space="preserve">GB 50118 2010 </w:t>
            </w:r>
            <w:r>
              <w:rPr>
                <w:rFonts w:hint="eastAsia"/>
                <w:sz w:val="24"/>
              </w:rPr>
              <w:t>将住宅、办公、商业、医院等建筑主要功能房间的室内允许噪声级分“低限标准”和“高要求标准”两档列出。对于《民用建筑隔声设计规范》</w:t>
            </w:r>
            <w:r>
              <w:rPr>
                <w:sz w:val="24"/>
              </w:rPr>
              <w:t>GB 50118 - 2010</w:t>
            </w:r>
            <w:r>
              <w:rPr>
                <w:rFonts w:hint="eastAsia"/>
                <w:sz w:val="24"/>
              </w:rPr>
              <w:t>一些只有唯一室内噪声级要求的建筑（如学校），本条认定该室内噪声级对应数值为低限标准，而高要求标准则在此基础上降低</w:t>
            </w:r>
            <w:r>
              <w:rPr>
                <w:sz w:val="24"/>
              </w:rPr>
              <w:t>5dB</w:t>
            </w:r>
            <w:r>
              <w:rPr>
                <w:rFonts w:hint="eastAsia"/>
                <w:sz w:val="24"/>
              </w:rPr>
              <w:t>（</w:t>
            </w:r>
            <w:r>
              <w:rPr>
                <w:sz w:val="24"/>
              </w:rPr>
              <w:t>A</w:t>
            </w:r>
            <w:r>
              <w:rPr>
                <w:rFonts w:hint="eastAsia"/>
                <w:sz w:val="24"/>
              </w:rPr>
              <w:t>）。需要指出，对于不同星级的旅馆建筑，其对应的要求不同，需要一一对应。</w:t>
            </w:r>
          </w:p>
          <w:p>
            <w:pPr>
              <w:pStyle w:val="84"/>
              <w:spacing w:line="360" w:lineRule="auto"/>
              <w:ind w:firstLine="480" w:firstLineChars="200"/>
              <w:jc w:val="left"/>
              <w:rPr>
                <w:sz w:val="24"/>
              </w:rPr>
            </w:pPr>
            <w:r>
              <w:rPr>
                <w:rFonts w:hint="eastAsia"/>
                <w:sz w:val="24"/>
              </w:rPr>
              <w:t xml:space="preserve">本条所指的低限要求，与国家标准《民用建筑隔声设计规范》 </w:t>
            </w:r>
            <w:r>
              <w:rPr>
                <w:sz w:val="24"/>
              </w:rPr>
              <w:t xml:space="preserve">GB 50118 </w:t>
            </w:r>
            <w:r>
              <w:rPr>
                <w:rFonts w:hint="eastAsia"/>
                <w:sz w:val="24"/>
              </w:rPr>
              <w:t>中的低限要求规定对应，如该标准中没有明确室内噪声级的低限要求，即对应该标准规定的室内噪声级的最低要求。</w:t>
            </w:r>
          </w:p>
        </w:tc>
      </w:tr>
    </w:tbl>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6.2空间布局与技术措施：</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6.2.1对外部噪声的降噪隔声措施：毗邻城市交通干道的建筑隔声性能，利用设计手段阻隔交通噪声；</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sz w:val="24"/>
              </w:rPr>
              <w:t>5.2.24</w:t>
            </w:r>
            <w:r>
              <w:rPr>
                <w:rFonts w:hint="eastAsia"/>
                <w:sz w:val="24"/>
              </w:rPr>
              <w:t>条</w:t>
            </w:r>
          </w:p>
        </w:tc>
        <w:tc>
          <w:tcPr>
            <w:tcW w:w="4394" w:type="dxa"/>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jc w:val="left"/>
              <w:rPr>
                <w:sz w:val="24"/>
              </w:rPr>
            </w:pPr>
            <w:r>
              <w:rPr>
                <w:rFonts w:hint="eastAsia"/>
                <w:sz w:val="24"/>
              </w:rPr>
              <w:t xml:space="preserve">    设计人员应根据建筑设计平面图，环评报告室外噪声要求对室内的背景噪声影响（也包括室内噪声源影响）的分析报告，及可能有的声环境专项设计报告上的数据，按照项目实际，来填写此项内容。</w:t>
            </w:r>
          </w:p>
          <w:p>
            <w:pPr>
              <w:pStyle w:val="84"/>
              <w:spacing w:line="360" w:lineRule="auto"/>
              <w:jc w:val="left"/>
              <w:rPr>
                <w:sz w:val="24"/>
              </w:rPr>
            </w:pPr>
            <w:r>
              <w:rPr>
                <w:rFonts w:hint="eastAsia"/>
                <w:sz w:val="24"/>
              </w:rPr>
              <w:t xml:space="preserve">    选取措施时应有对应的图纸及说明。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除选</w:t>
            </w:r>
            <w:r>
              <w:rPr>
                <w:sz w:val="24"/>
              </w:rPr>
              <w:t>用隔声性能</w:t>
            </w:r>
            <w:r>
              <w:rPr>
                <w:rFonts w:hint="eastAsia"/>
                <w:sz w:val="24"/>
              </w:rPr>
              <w:t>较</w:t>
            </w:r>
            <w:r>
              <w:rPr>
                <w:sz w:val="24"/>
              </w:rPr>
              <w:t>好的材料外，</w:t>
            </w:r>
            <w:r>
              <w:rPr>
                <w:rFonts w:hint="eastAsia"/>
                <w:sz w:val="24"/>
              </w:rPr>
              <w:t>还</w:t>
            </w:r>
            <w:r>
              <w:rPr>
                <w:sz w:val="24"/>
              </w:rPr>
              <w:t>可使用阳台板、广告牌等</w:t>
            </w:r>
            <w:r>
              <w:rPr>
                <w:rFonts w:hint="eastAsia"/>
                <w:sz w:val="24"/>
              </w:rPr>
              <w:t>隔声屏障阻隔交通噪声。宜将走廊、卫</w:t>
            </w:r>
            <w:r>
              <w:rPr>
                <w:sz w:val="24"/>
              </w:rPr>
              <w:t>生</w:t>
            </w:r>
            <w:r>
              <w:rPr>
                <w:rFonts w:hint="eastAsia"/>
                <w:sz w:val="24"/>
              </w:rPr>
              <w:t>间</w:t>
            </w:r>
            <w:r>
              <w:rPr>
                <w:sz w:val="24"/>
              </w:rPr>
              <w:t>等</w:t>
            </w:r>
            <w:r>
              <w:rPr>
                <w:rFonts w:hint="eastAsia"/>
                <w:sz w:val="24"/>
              </w:rPr>
              <w:t>辅</w:t>
            </w:r>
            <w:r>
              <w:rPr>
                <w:sz w:val="24"/>
              </w:rPr>
              <w:t>助用房</w:t>
            </w:r>
            <w:r>
              <w:rPr>
                <w:rFonts w:hint="eastAsia"/>
                <w:sz w:val="24"/>
              </w:rPr>
              <w:t>设</w:t>
            </w:r>
            <w:r>
              <w:rPr>
                <w:sz w:val="24"/>
              </w:rPr>
              <w:t>于毗</w:t>
            </w:r>
            <w:r>
              <w:rPr>
                <w:rFonts w:hint="eastAsia"/>
                <w:sz w:val="24"/>
              </w:rPr>
              <w:t>邻干道一侧</w:t>
            </w:r>
            <w:r>
              <w:rPr>
                <w:sz w:val="24"/>
              </w:rPr>
              <w:t>；可使用声屏障等</w:t>
            </w:r>
            <w:r>
              <w:rPr>
                <w:rFonts w:hint="eastAsia"/>
                <w:sz w:val="24"/>
              </w:rPr>
              <w:t>设</w:t>
            </w:r>
            <w:r>
              <w:rPr>
                <w:sz w:val="24"/>
              </w:rPr>
              <w:t>施来阻隔交通噪声；也可以通</w:t>
            </w:r>
            <w:r>
              <w:rPr>
                <w:rFonts w:hint="eastAsia"/>
                <w:sz w:val="24"/>
              </w:rPr>
              <w:t>过绿化植物的遮挡</w:t>
            </w:r>
            <w:r>
              <w:rPr>
                <w:sz w:val="24"/>
              </w:rPr>
              <w:t>，减少</w:t>
            </w:r>
            <w:r>
              <w:rPr>
                <w:rFonts w:hint="eastAsia"/>
                <w:sz w:val="24"/>
              </w:rPr>
              <w:t>对</w:t>
            </w:r>
            <w:r>
              <w:rPr>
                <w:sz w:val="24"/>
              </w:rPr>
              <w:t>建筑的噪声干</w:t>
            </w:r>
            <w:r>
              <w:rPr>
                <w:rFonts w:hint="eastAsia"/>
                <w:sz w:val="24"/>
              </w:rPr>
              <w:t>扰。</w:t>
            </w:r>
          </w:p>
        </w:tc>
      </w:tr>
    </w:tbl>
    <w:p>
      <w:pPr>
        <w:pStyle w:val="17"/>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6.2.2根据声环境的不同要求对各类房间进行区域划分；</w:t>
      </w:r>
    </w:p>
    <w:p>
      <w:pPr>
        <w:pStyle w:val="17"/>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6.2.3有声学要求的重要房间进行了满足功能要求的声学专项设计；</w:t>
      </w:r>
    </w:p>
    <w:p>
      <w:pPr>
        <w:pStyle w:val="17"/>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6.2.4项目设有人员密集场所或大型建筑的人员密集场所，采取吸声和隔声措施；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5.2.2条</w:t>
            </w:r>
          </w:p>
        </w:tc>
        <w:tc>
          <w:tcPr>
            <w:tcW w:w="4394" w:type="dxa"/>
            <w:vMerge w:val="restart"/>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5.2.22条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5.2.25条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5.3.8条</w:t>
            </w:r>
          </w:p>
        </w:tc>
        <w:tc>
          <w:tcPr>
            <w:tcW w:w="4394" w:type="dxa"/>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设计人员应根据建筑设计平面图，环评报告室外噪声要求对室内的背景噪声影响（也包括室内噪声源影响）的分析报告，及可能有的声环境专项设计报告上的数据，按照项目实际，来填写此项内容。</w:t>
            </w:r>
          </w:p>
          <w:p>
            <w:pPr>
              <w:pStyle w:val="84"/>
              <w:spacing w:line="360" w:lineRule="auto"/>
              <w:ind w:firstLine="480" w:firstLineChars="200"/>
              <w:jc w:val="left"/>
              <w:rPr>
                <w:sz w:val="24"/>
              </w:rPr>
            </w:pPr>
            <w:r>
              <w:rPr>
                <w:rFonts w:hint="eastAsia"/>
                <w:sz w:val="24"/>
              </w:rPr>
              <w:t>选取措施时应有对应的图纸及说明。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根据设计建筑对声环境的不同要求，将各类房间进行区域划分。</w:t>
            </w:r>
          </w:p>
          <w:p>
            <w:pPr>
              <w:pStyle w:val="84"/>
              <w:spacing w:line="360" w:lineRule="auto"/>
              <w:ind w:firstLine="480" w:firstLineChars="200"/>
              <w:jc w:val="left"/>
              <w:rPr>
                <w:sz w:val="24"/>
              </w:rPr>
            </w:pPr>
            <w:r>
              <w:rPr>
                <w:rFonts w:hint="eastAsia"/>
                <w:sz w:val="24"/>
              </w:rPr>
              <w:t>人员密集场所及设备用房的噪声多来自使用者和设备，噪声源来自房间内部，针对这种情况降噪措施应以吸声为主同时兼顾隔声。</w:t>
            </w:r>
          </w:p>
          <w:p>
            <w:pPr>
              <w:pStyle w:val="84"/>
              <w:spacing w:line="360" w:lineRule="auto"/>
              <w:ind w:firstLine="480" w:firstLineChars="200"/>
              <w:jc w:val="left"/>
              <w:rPr>
                <w:sz w:val="24"/>
              </w:rPr>
            </w:pPr>
            <w:r>
              <w:rPr>
                <w:rFonts w:hint="eastAsia"/>
                <w:sz w:val="24"/>
              </w:rPr>
              <w:t>多功能厅、接待大厅、大型会议室、讲堂、音乐厅、教室、餐厅和其他有声学要求的重要功能房间的各项声学设计指标应满足有关标准的要求。</w:t>
            </w:r>
          </w:p>
        </w:tc>
      </w:tr>
    </w:tbl>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6.2.5产生较大噪声的设备机房等噪声源空间集中布置，并远离工作、休息等对声环境要求高的房间，（受条件限制而紧邻布置时，采用有效的隔声和减振措施）:</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6.2.6噪声源的位置布局；</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6.2.7产生较大噪声的设备机房、电梯井道、管井等噪声源空间的设计；</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6.2.8空调机房、通风机房、发电机房、水泵房、电梯机房等产生噪声的设备用房及电梯井道、设备管道，采取吸声和隔声措施：选用低噪声设备，设备、管道采用有效的减振、隔振、消声措施。对产生振动的设备基础采取隔振措施；</w:t>
      </w:r>
      <w:r>
        <w:rPr>
          <w:rFonts w:asciiTheme="minorEastAsia" w:hAnsiTheme="minorEastAsia" w:eastAsiaTheme="minorEastAsia"/>
          <w:sz w:val="24"/>
        </w:rPr>
        <w:t xml:space="preserve"> </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6.2.9建筑采用轻型屋盖时，屋面采用铺设阻尼材料、设置吊顶等措施防止雨噪声：</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5.2.22条</w:t>
            </w:r>
          </w:p>
        </w:tc>
        <w:tc>
          <w:tcPr>
            <w:tcW w:w="4394" w:type="dxa"/>
            <w:vMerge w:val="restart"/>
          </w:tcPr>
          <w:p>
            <w:pPr>
              <w:pStyle w:val="84"/>
              <w:spacing w:line="360" w:lineRule="auto"/>
              <w:rPr>
                <w:sz w:val="24"/>
              </w:rPr>
            </w:pPr>
            <w:r>
              <w:rPr>
                <w:rFonts w:hint="eastAsia"/>
                <w:sz w:val="24"/>
              </w:rPr>
              <w:t>一星设计要求</w:t>
            </w:r>
          </w:p>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5.2.23条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5.2.26条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5.4.14条</w:t>
            </w:r>
          </w:p>
        </w:tc>
        <w:tc>
          <w:tcPr>
            <w:tcW w:w="4394" w:type="dxa"/>
          </w:tcPr>
          <w:p>
            <w:pPr>
              <w:pStyle w:val="84"/>
              <w:spacing w:line="360" w:lineRule="auto"/>
              <w:rPr>
                <w:sz w:val="24"/>
              </w:rPr>
            </w:pPr>
            <w:r>
              <w:rPr>
                <w:rFonts w:hint="eastAsia"/>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设计人员应根据建筑设计平面图，环评报告室外噪声要求对室内的背景噪声影响（也包括室内噪声源影响）的分析报告，及可能有的声环境专项设计报告上的数据，按照项目实际，来填写此项内容。</w:t>
            </w:r>
          </w:p>
          <w:p>
            <w:pPr>
              <w:pStyle w:val="84"/>
              <w:spacing w:line="360" w:lineRule="auto"/>
              <w:ind w:firstLine="480" w:firstLineChars="200"/>
              <w:jc w:val="left"/>
              <w:rPr>
                <w:sz w:val="24"/>
              </w:rPr>
            </w:pPr>
            <w:r>
              <w:rPr>
                <w:rFonts w:hint="eastAsia"/>
                <w:sz w:val="24"/>
              </w:rPr>
              <w:t>选取措施时应有对应的图纸及说明。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解决民用建筑内的噪声干扰问题首先应从规划设计、单体建筑内的平面布置考虑。这就要求合理安排建筑平面和空间功能，并在设备系统设计时就考虑其噪声与振动控制措施。变配电房、水泵房等设备用房的位置不应放在住宅或重要房间的正下方或正上方。给水加压、循环冷却等设备不得设置在居住用房的上层、下层和贴邻的房间内。</w:t>
            </w:r>
          </w:p>
          <w:p>
            <w:pPr>
              <w:pStyle w:val="84"/>
              <w:spacing w:line="360" w:lineRule="auto"/>
              <w:ind w:firstLine="480" w:firstLineChars="200"/>
              <w:jc w:val="left"/>
              <w:rPr>
                <w:sz w:val="24"/>
              </w:rPr>
            </w:pPr>
            <w:r>
              <w:rPr>
                <w:rFonts w:hint="eastAsia"/>
                <w:sz w:val="24"/>
              </w:rPr>
              <w:t>电梯等设备运行会产生噪声和振动，为了防止噪声和振动干扰有安静要求的房间。不得不紧邻起届室布置时．必须采取相应的技术措施。例如选用低噪声电梯、提高电梯井壁的隔声性能、在电梯轨道和井壁之间设置减振装置、将电梯井与居室在结构上脱开等。电梯噪声对相邻房间的影响可以通过一系列的措施缓解，机房和井道之间可设置隔声层，来隔离机房设备通过井道向下部相邻房间传递噪声。井道与相邻房间可设置隔声墙，或在井道内做吸声构造，隔绝井道内的噪声。</w:t>
            </w:r>
          </w:p>
        </w:tc>
      </w:tr>
    </w:tbl>
    <w:p>
      <w:pPr>
        <w:spacing w:line="360" w:lineRule="auto"/>
        <w:ind w:firstLine="420"/>
        <w:rPr>
          <w:rFonts w:asciiTheme="minorEastAsia" w:hAnsiTheme="minorEastAsia" w:eastAsiaTheme="minorEastAsia"/>
          <w:sz w:val="24"/>
        </w:rPr>
      </w:pPr>
    </w:p>
    <w:p>
      <w:pPr>
        <w:numPr>
          <w:ilvl w:val="0"/>
          <w:numId w:val="62"/>
        </w:numPr>
        <w:spacing w:line="360" w:lineRule="auto"/>
        <w:ind w:firstLine="481" w:firstLineChars="200"/>
        <w:rPr>
          <w:rFonts w:asciiTheme="minorEastAsia" w:hAnsiTheme="minorEastAsia" w:eastAsiaTheme="minorEastAsia"/>
          <w:b/>
          <w:sz w:val="24"/>
        </w:rPr>
      </w:pPr>
      <w:r>
        <w:rPr>
          <w:rFonts w:asciiTheme="minorEastAsia" w:hAnsiTheme="minorEastAsia" w:eastAsiaTheme="minorEastAsia"/>
          <w:b/>
          <w:sz w:val="24"/>
        </w:rPr>
        <w:t>室内空气质量</w:t>
      </w:r>
      <w:r>
        <w:rPr>
          <w:rFonts w:hint="eastAsia" w:asciiTheme="minorEastAsia" w:hAnsiTheme="minorEastAsia" w:eastAsiaTheme="minorEastAsia"/>
          <w:b/>
          <w:sz w:val="24"/>
        </w:rPr>
        <w:t>主要控制措施：</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7.1建筑室内和主要出入口在醒目位置设置禁烟标志</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7.2室内装饰装修材料及材料中氨、甲醛、苯、甲苯、二甲苯、VOC、氡等有害物质限量符合现行国家标准室内装饰装修材料有害物质限量系列标准GB 18580～GB 18588、《建筑材料放射性核素限量》GB 6566和《民用建筑工程室内环境污染控制标准》GB 50325等标准的规定</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7.3公共建筑的主要出入口采用固定门道系统，避免灰尘、小颗粒进入建筑。</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7.4优化空间布局，避免厨房、餐厅、打印复印室、卫生间、垃圾间、清洁间、地下车库等区域的空气和污染物串通到其他空间。</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7.5设计选用</w:t>
      </w:r>
      <w:r>
        <w:rPr>
          <w:rFonts w:asciiTheme="minorEastAsia" w:hAnsiTheme="minorEastAsia" w:eastAsiaTheme="minorEastAsia"/>
          <w:sz w:val="24"/>
        </w:rPr>
        <w:t>满足</w:t>
      </w:r>
      <w:r>
        <w:rPr>
          <w:rFonts w:hint="eastAsia" w:asciiTheme="minorEastAsia" w:hAnsiTheme="minorEastAsia" w:eastAsiaTheme="minorEastAsia"/>
          <w:sz w:val="24"/>
        </w:rPr>
        <w:t>国家</w:t>
      </w:r>
      <w:r>
        <w:rPr>
          <w:rFonts w:asciiTheme="minorEastAsia" w:hAnsiTheme="minorEastAsia" w:eastAsiaTheme="minorEastAsia"/>
          <w:sz w:val="24"/>
        </w:rPr>
        <w:t>现行绿色产品评价标准中对有害物质限量要求的装饰装修材料</w:t>
      </w:r>
      <w:r>
        <w:rPr>
          <w:rFonts w:hint="eastAsia" w:asciiTheme="minorEastAsia" w:hAnsiTheme="minorEastAsia" w:eastAsiaTheme="minorEastAsia"/>
          <w:sz w:val="24"/>
        </w:rPr>
        <w:t>不少于3类。</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GB/T 50378-2019</w:t>
            </w:r>
          </w:p>
        </w:tc>
        <w:tc>
          <w:tcPr>
            <w:tcW w:w="1701" w:type="dxa"/>
          </w:tcPr>
          <w:p>
            <w:pPr>
              <w:pStyle w:val="84"/>
              <w:spacing w:line="360" w:lineRule="auto"/>
              <w:rPr>
                <w:sz w:val="24"/>
              </w:rPr>
            </w:pPr>
            <w:r>
              <w:rPr>
                <w:rFonts w:hint="eastAsia"/>
                <w:sz w:val="24"/>
              </w:rPr>
              <w:t>5.1.1条</w:t>
            </w:r>
          </w:p>
        </w:tc>
        <w:tc>
          <w:tcPr>
            <w:tcW w:w="4394" w:type="dxa"/>
            <w:vMerge w:val="restart"/>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5.1.2条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5.1.11条</w:t>
            </w:r>
          </w:p>
        </w:tc>
        <w:tc>
          <w:tcPr>
            <w:tcW w:w="4394"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5.2.27条</w:t>
            </w:r>
          </w:p>
        </w:tc>
        <w:tc>
          <w:tcPr>
            <w:tcW w:w="4394" w:type="dxa"/>
            <w:vMerge w:val="restart"/>
          </w:tcPr>
          <w:p>
            <w:pPr>
              <w:pStyle w:val="84"/>
              <w:spacing w:line="360" w:lineRule="auto"/>
              <w:rPr>
                <w:sz w:val="24"/>
              </w:rPr>
            </w:pPr>
            <w:r>
              <w:rPr>
                <w:rFonts w:hint="eastAsia"/>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5.2.29条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5.2.30条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5.3.10条</w:t>
            </w:r>
          </w:p>
        </w:tc>
        <w:tc>
          <w:tcPr>
            <w:tcW w:w="4394" w:type="dxa"/>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设计人员应根据建筑设计平面图，与暖通专业核对施工图，气流组织模拟分析报告，相关装修材料种类、用量，禁止吸烟措施的设计说明，按照项目实际，来填写此项内容。</w:t>
            </w:r>
          </w:p>
          <w:p>
            <w:pPr>
              <w:pStyle w:val="84"/>
              <w:spacing w:line="360" w:lineRule="auto"/>
              <w:ind w:firstLine="480" w:firstLineChars="200"/>
              <w:jc w:val="left"/>
              <w:rPr>
                <w:sz w:val="24"/>
              </w:rPr>
            </w:pPr>
            <w:r>
              <w:rPr>
                <w:rFonts w:hint="eastAsia"/>
                <w:sz w:val="24"/>
              </w:rPr>
              <w:t>选取装饰装修材料时应有对应的图纸及说明。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建筑室内和建筑主出入口处禁止吸烟，并设置禁烟标志。本条所述的建筑室内，主要指的是公共建筑室内和住宅建筑内的公共区域。</w:t>
            </w:r>
          </w:p>
          <w:p>
            <w:pPr>
              <w:pStyle w:val="84"/>
              <w:spacing w:line="360" w:lineRule="auto"/>
              <w:ind w:firstLine="480" w:firstLineChars="200"/>
              <w:jc w:val="left"/>
              <w:rPr>
                <w:sz w:val="24"/>
              </w:rPr>
            </w:pPr>
            <w:r>
              <w:rPr>
                <w:rFonts w:hint="eastAsia"/>
                <w:sz w:val="24"/>
              </w:rPr>
              <w:t>在建筑的主要出入口，采用固定门道系统，捕集带入的灰尘、小颗粒等，使其无法进入该建筑。固定门道系统包括格栅、格网、地垫等。地垫只有在具有每周保洁清理的情况下才可采用。</w:t>
            </w:r>
          </w:p>
          <w:p>
            <w:pPr>
              <w:pStyle w:val="84"/>
              <w:spacing w:line="360" w:lineRule="auto"/>
              <w:ind w:firstLine="480" w:firstLineChars="200"/>
              <w:jc w:val="left"/>
              <w:rPr>
                <w:sz w:val="24"/>
              </w:rPr>
            </w:pPr>
            <w:r>
              <w:rPr>
                <w:rFonts w:hint="eastAsia"/>
                <w:sz w:val="24"/>
              </w:rPr>
              <w:t>气流组织直接影响室内空气调节和污染物的排风效果，关系着房间工作区的温湿度基数、精度及区域温差。只有合理的气流组织才能均匀地消除室内余热余湿，并能有效地排除有害气体和灰尘。</w:t>
            </w:r>
          </w:p>
          <w:p>
            <w:pPr>
              <w:pStyle w:val="84"/>
              <w:spacing w:line="360" w:lineRule="auto"/>
              <w:ind w:firstLine="480" w:firstLineChars="200"/>
              <w:jc w:val="left"/>
              <w:rPr>
                <w:sz w:val="24"/>
              </w:rPr>
            </w:pPr>
            <w:r>
              <w:rPr>
                <w:rFonts w:hint="eastAsia"/>
                <w:sz w:val="24"/>
              </w:rPr>
              <w:t>从源头把控，选用绿色、环保、安全的室内装饰装修材料是保障室内空气质量的基本手段。</w:t>
            </w:r>
          </w:p>
        </w:tc>
      </w:tr>
    </w:tbl>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8．</w:t>
      </w:r>
      <w:r>
        <w:rPr>
          <w:rFonts w:asciiTheme="minorEastAsia" w:hAnsiTheme="minorEastAsia" w:eastAsiaTheme="minorEastAsia"/>
          <w:b/>
          <w:sz w:val="24"/>
        </w:rPr>
        <w:t>建筑工业化：</w:t>
      </w:r>
    </w:p>
    <w:p>
      <w:pPr>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8.1建筑设计应遵循模数协调统一的设计原则。</w:t>
      </w:r>
    </w:p>
    <w:p>
      <w:pPr>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8.2建筑设计采用装配式建筑和装配化装修。</w:t>
      </w:r>
    </w:p>
    <w:p>
      <w:pPr>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8.3装修设计选用新型建筑工业化内装部品。</w:t>
      </w:r>
    </w:p>
    <w:p>
      <w:pPr>
        <w:spacing w:line="360" w:lineRule="auto"/>
        <w:ind w:firstLine="420"/>
        <w:jc w:val="left"/>
        <w:rPr>
          <w:rFonts w:asciiTheme="minorEastAsia" w:hAnsiTheme="minorEastAsia" w:eastAsiaTheme="minorEastAsia"/>
          <w:sz w:val="24"/>
        </w:rPr>
      </w:pPr>
      <w:r>
        <w:rPr>
          <w:rFonts w:hint="eastAsia" w:asciiTheme="minorEastAsia" w:hAnsiTheme="minorEastAsia" w:eastAsiaTheme="minorEastAsia"/>
          <w:sz w:val="24"/>
        </w:rPr>
        <w:t>8.4本项目选用下列新型工业化构件或部品</w:t>
      </w:r>
      <w:r>
        <w:rPr>
          <w:rFonts w:hint="eastAsia" w:asciiTheme="minorEastAsia" w:hAnsiTheme="minorEastAsia" w:eastAsiaTheme="minorEastAsia"/>
          <w:sz w:val="24"/>
          <w:lang w:val="en-GB"/>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GB/T 50378-2019</w:t>
            </w:r>
          </w:p>
        </w:tc>
        <w:tc>
          <w:tcPr>
            <w:tcW w:w="1701" w:type="dxa"/>
          </w:tcPr>
          <w:p>
            <w:pPr>
              <w:pStyle w:val="84"/>
              <w:spacing w:line="360" w:lineRule="auto"/>
              <w:rPr>
                <w:sz w:val="24"/>
              </w:rPr>
            </w:pPr>
            <w:r>
              <w:rPr>
                <w:sz w:val="24"/>
              </w:rPr>
              <w:t>7.2.</w:t>
            </w:r>
            <w:r>
              <w:rPr>
                <w:rFonts w:hint="eastAsia"/>
                <w:sz w:val="24"/>
              </w:rPr>
              <w:t>16条</w:t>
            </w:r>
          </w:p>
        </w:tc>
        <w:tc>
          <w:tcPr>
            <w:tcW w:w="4394" w:type="dxa"/>
          </w:tcPr>
          <w:p>
            <w:pPr>
              <w:pStyle w:val="84"/>
              <w:spacing w:line="360" w:lineRule="auto"/>
              <w:rPr>
                <w:sz w:val="24"/>
              </w:rPr>
            </w:pPr>
            <w:r>
              <w:rPr>
                <w:rFonts w:hint="eastAsia"/>
                <w:sz w:val="24"/>
              </w:rPr>
              <w:t>建筑装修选用工业化内装部品占同类部品用量比例达到50%以上的部品种类，</w:t>
            </w:r>
          </w:p>
          <w:p>
            <w:pPr>
              <w:pStyle w:val="84"/>
              <w:spacing w:line="360" w:lineRule="auto"/>
              <w:rPr>
                <w:sz w:val="24"/>
              </w:rPr>
            </w:pPr>
            <w:r>
              <w:rPr>
                <w:rFonts w:hint="eastAsia"/>
                <w:sz w:val="24"/>
              </w:rPr>
              <w:t>达到1种，得3分；</w:t>
            </w:r>
          </w:p>
          <w:p>
            <w:pPr>
              <w:pStyle w:val="84"/>
              <w:spacing w:line="360" w:lineRule="auto"/>
              <w:rPr>
                <w:sz w:val="24"/>
              </w:rPr>
            </w:pPr>
            <w:r>
              <w:rPr>
                <w:rFonts w:hint="eastAsia"/>
                <w:sz w:val="24"/>
              </w:rPr>
              <w:t>达到3种，得5分；</w:t>
            </w:r>
          </w:p>
          <w:p>
            <w:pPr>
              <w:pStyle w:val="84"/>
              <w:spacing w:line="360" w:lineRule="auto"/>
              <w:rPr>
                <w:sz w:val="24"/>
              </w:rPr>
            </w:pPr>
            <w:r>
              <w:rPr>
                <w:rFonts w:hint="eastAsia"/>
                <w:sz w:val="24"/>
              </w:rPr>
              <w:t>达到3种以上，得8分。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restart"/>
          </w:tcPr>
          <w:p>
            <w:pPr>
              <w:pStyle w:val="84"/>
              <w:spacing w:line="360" w:lineRule="auto"/>
              <w:rPr>
                <w:sz w:val="24"/>
              </w:rPr>
            </w:pPr>
            <w:r>
              <w:rPr>
                <w:rFonts w:hint="eastAsia"/>
                <w:sz w:val="24"/>
              </w:rPr>
              <w:t>9.2.5条</w:t>
            </w:r>
          </w:p>
        </w:tc>
        <w:tc>
          <w:tcPr>
            <w:tcW w:w="4394" w:type="dxa"/>
          </w:tcPr>
          <w:p>
            <w:pPr>
              <w:pStyle w:val="84"/>
              <w:spacing w:line="360" w:lineRule="auto"/>
              <w:rPr>
                <w:sz w:val="24"/>
              </w:rPr>
            </w:pPr>
            <w:r>
              <w:rPr>
                <w:rFonts w:hint="eastAsia"/>
                <w:sz w:val="24"/>
              </w:rPr>
              <w:t>主体结构采用钢结构、木结构，得10分；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vMerge w:val="continue"/>
          </w:tcPr>
          <w:p>
            <w:pPr>
              <w:pStyle w:val="84"/>
              <w:spacing w:line="360" w:lineRule="auto"/>
              <w:rPr>
                <w:sz w:val="24"/>
              </w:rPr>
            </w:pPr>
          </w:p>
        </w:tc>
        <w:tc>
          <w:tcPr>
            <w:tcW w:w="4394" w:type="dxa"/>
          </w:tcPr>
          <w:p>
            <w:pPr>
              <w:pStyle w:val="84"/>
              <w:spacing w:line="360" w:lineRule="auto"/>
              <w:rPr>
                <w:sz w:val="24"/>
              </w:rPr>
            </w:pPr>
            <w:r>
              <w:rPr>
                <w:rFonts w:hint="eastAsia"/>
                <w:sz w:val="24"/>
              </w:rPr>
              <w:t>主体结构采用装配式混凝土结构，地上部分预制构件应用混凝土体积占混凝土总体积的比例达到35%, 得5分；达到50%, 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3.0.7条</w:t>
            </w:r>
          </w:p>
        </w:tc>
        <w:tc>
          <w:tcPr>
            <w:tcW w:w="4394" w:type="dxa"/>
          </w:tcPr>
          <w:p>
            <w:pPr>
              <w:pStyle w:val="84"/>
              <w:spacing w:line="360" w:lineRule="auto"/>
              <w:rPr>
                <w:sz w:val="24"/>
              </w:rPr>
            </w:pPr>
            <w:r>
              <w:rPr>
                <w:rFonts w:hint="eastAsia"/>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5.3.11条</w:t>
            </w:r>
          </w:p>
        </w:tc>
        <w:tc>
          <w:tcPr>
            <w:tcW w:w="4394" w:type="dxa"/>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5.4.15条</w:t>
            </w:r>
          </w:p>
        </w:tc>
        <w:tc>
          <w:tcPr>
            <w:tcW w:w="4394" w:type="dxa"/>
            <w:vMerge w:val="restart"/>
          </w:tcPr>
          <w:p>
            <w:pPr>
              <w:pStyle w:val="84"/>
              <w:spacing w:line="360" w:lineRule="auto"/>
              <w:rPr>
                <w:sz w:val="24"/>
              </w:rPr>
            </w:pPr>
            <w:r>
              <w:rPr>
                <w:rFonts w:hint="eastAsia"/>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sz w:val="24"/>
              </w:rPr>
              <w:t>5.4.1</w:t>
            </w:r>
            <w:r>
              <w:rPr>
                <w:rFonts w:hint="eastAsia"/>
                <w:sz w:val="24"/>
              </w:rPr>
              <w:t>7条</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设计人员应根据建筑施工图、与结构专业核对根据相应结构施工图、工程材料用量概预算清单、预制构件用量比例计算书，按照项目实际，填写此项内容。</w:t>
            </w:r>
          </w:p>
          <w:p>
            <w:pPr>
              <w:pStyle w:val="84"/>
              <w:spacing w:line="360" w:lineRule="auto"/>
              <w:ind w:firstLine="480" w:firstLineChars="200"/>
              <w:jc w:val="left"/>
              <w:rPr>
                <w:sz w:val="24"/>
              </w:rPr>
            </w:pPr>
            <w:r>
              <w:rPr>
                <w:rFonts w:hint="eastAsia"/>
                <w:sz w:val="24"/>
              </w:rPr>
              <w:t>选取新型建筑工业化部品或构件时应有对应的图纸及说明。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装配式建筑是由预制部品部件在工地装配而成的建筑。预制部品部件主要包括预制混凝土部品部件（由预制混凝土叠合梁、叠合板、柱等组成）、钢结构部品部件（在工厂生产加工、现场连接组装的方式）、复合木结构等及其配套产品。</w:t>
            </w:r>
          </w:p>
          <w:p>
            <w:pPr>
              <w:pStyle w:val="84"/>
              <w:spacing w:line="360" w:lineRule="auto"/>
              <w:ind w:firstLine="480" w:firstLineChars="200"/>
              <w:jc w:val="left"/>
              <w:rPr>
                <w:sz w:val="24"/>
              </w:rPr>
            </w:pPr>
            <w:r>
              <w:rPr>
                <w:rFonts w:hint="eastAsia"/>
                <w:sz w:val="24"/>
              </w:rPr>
              <w:t>装配化装修使用的工业化内装部品主要包括集成卫生间、集成厨房、装配式吊顶、干式工法楼（地）面、装配式内隔墙、管线集成、管线分离等。</w:t>
            </w:r>
          </w:p>
          <w:p>
            <w:pPr>
              <w:pStyle w:val="84"/>
              <w:spacing w:line="360" w:lineRule="auto"/>
              <w:jc w:val="left"/>
              <w:rPr>
                <w:sz w:val="24"/>
              </w:rPr>
            </w:pPr>
            <w:r>
              <w:rPr>
                <w:rFonts w:hint="eastAsia"/>
                <w:sz w:val="24"/>
              </w:rPr>
              <w:t>部品用量比例按现行的《装配式建筑评价标准》中的相关规定计算。</w:t>
            </w:r>
          </w:p>
          <w:p>
            <w:pPr>
              <w:pStyle w:val="84"/>
              <w:spacing w:line="360" w:lineRule="auto"/>
              <w:ind w:firstLine="480" w:firstLineChars="200"/>
              <w:jc w:val="left"/>
              <w:rPr>
                <w:sz w:val="24"/>
              </w:rPr>
            </w:pPr>
            <w:r>
              <w:rPr>
                <w:rFonts w:hint="eastAsia"/>
                <w:sz w:val="24"/>
              </w:rPr>
              <w:t>对于装配式混凝土结构的预制构件混凝土体积计算，无竖向立杆支撑叠合楼盖的现浇混凝土部分可按预制构件考虑，预制剪力墙的边缘构件现浇部分可按预制构件考虑，叠合剪力墙的现浇混凝土部分可按0.8倍折算为预制构件，模壳墙的现浇混凝土部分可按0.5倍折算为预制构件。</w:t>
            </w:r>
          </w:p>
        </w:tc>
      </w:tr>
    </w:tbl>
    <w:p>
      <w:pPr>
        <w:pStyle w:val="17"/>
        <w:spacing w:line="360" w:lineRule="auto"/>
        <w:ind w:firstLine="422"/>
        <w:rPr>
          <w:rFonts w:asciiTheme="minorEastAsia" w:hAnsiTheme="minorEastAsia" w:eastAsiaTheme="minorEastAsia"/>
          <w:b/>
          <w:sz w:val="24"/>
        </w:rPr>
      </w:pPr>
    </w:p>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9.土建和装修一体化与建筑节材：</w:t>
      </w: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本项目采用土建工程与装修工程一体化设计；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1701" w:type="dxa"/>
          </w:tcPr>
          <w:p>
            <w:pPr>
              <w:pStyle w:val="84"/>
              <w:spacing w:line="360" w:lineRule="auto"/>
              <w:rPr>
                <w:sz w:val="24"/>
              </w:rPr>
            </w:pPr>
            <w:r>
              <w:rPr>
                <w:sz w:val="24"/>
              </w:rPr>
              <w:t>7.2.</w:t>
            </w:r>
            <w:r>
              <w:rPr>
                <w:rFonts w:hint="eastAsia"/>
                <w:sz w:val="24"/>
              </w:rPr>
              <w:t>14条</w:t>
            </w:r>
          </w:p>
        </w:tc>
        <w:tc>
          <w:tcPr>
            <w:tcW w:w="4394" w:type="dxa"/>
          </w:tcPr>
          <w:p>
            <w:pPr>
              <w:pStyle w:val="84"/>
              <w:spacing w:line="360" w:lineRule="auto"/>
              <w:rPr>
                <w:sz w:val="24"/>
              </w:rPr>
            </w:pPr>
            <w:r>
              <w:rPr>
                <w:rFonts w:hint="eastAsia"/>
                <w:sz w:val="24"/>
              </w:rPr>
              <w:t>所有部位均土建与装修一体化设计，8分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3.0.8条</w:t>
            </w:r>
          </w:p>
        </w:tc>
        <w:tc>
          <w:tcPr>
            <w:tcW w:w="4394" w:type="dxa"/>
          </w:tcPr>
          <w:p>
            <w:pPr>
              <w:pStyle w:val="84"/>
              <w:spacing w:line="360" w:lineRule="auto"/>
              <w:rPr>
                <w:sz w:val="24"/>
              </w:rPr>
            </w:pPr>
            <w:r>
              <w:rPr>
                <w:rFonts w:hint="eastAsia"/>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sz w:val="24"/>
              </w:rPr>
              <w:t>5.3.1</w:t>
            </w:r>
            <w:r>
              <w:rPr>
                <w:rFonts w:hint="eastAsia"/>
                <w:sz w:val="24"/>
              </w:rPr>
              <w:t>2条</w:t>
            </w:r>
          </w:p>
        </w:tc>
        <w:tc>
          <w:tcPr>
            <w:tcW w:w="4394" w:type="dxa"/>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5.4.16条</w:t>
            </w:r>
          </w:p>
        </w:tc>
        <w:tc>
          <w:tcPr>
            <w:tcW w:w="4394" w:type="dxa"/>
          </w:tcPr>
          <w:p>
            <w:pPr>
              <w:pStyle w:val="84"/>
              <w:spacing w:line="360" w:lineRule="auto"/>
              <w:rPr>
                <w:sz w:val="24"/>
              </w:rPr>
            </w:pPr>
            <w:r>
              <w:rPr>
                <w:rFonts w:hint="eastAsia"/>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设计人员应根据土建、机电、装修各专业施工图设计文件核对土建设计预留条件，按照项目实际，填写此项内容。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土建工程与装修工程一体化设计是指土建设计与装修设计同步有序进行，即装修专业与土建的建筑、结构、给排水、暖通、电气等专业，共同完成从方案到施工图工作、使土建与装修的紧密结合，做到无缝对接。</w:t>
            </w:r>
          </w:p>
        </w:tc>
      </w:tr>
    </w:tbl>
    <w:p>
      <w:pPr>
        <w:pStyle w:val="17"/>
        <w:spacing w:line="360" w:lineRule="auto"/>
        <w:ind w:firstLine="422"/>
        <w:rPr>
          <w:rFonts w:asciiTheme="minorEastAsia" w:hAnsiTheme="minorEastAsia" w:eastAsiaTheme="minorEastAsia"/>
          <w:b/>
          <w:sz w:val="24"/>
        </w:rPr>
      </w:pPr>
    </w:p>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10.建筑室内标识系统设计：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GB/T 50378-2019</w:t>
            </w:r>
          </w:p>
        </w:tc>
        <w:tc>
          <w:tcPr>
            <w:tcW w:w="1701" w:type="dxa"/>
          </w:tcPr>
          <w:p>
            <w:pPr>
              <w:pStyle w:val="84"/>
              <w:spacing w:line="360" w:lineRule="auto"/>
              <w:rPr>
                <w:sz w:val="24"/>
              </w:rPr>
            </w:pPr>
            <w:r>
              <w:rPr>
                <w:rFonts w:hint="eastAsia"/>
                <w:sz w:val="24"/>
              </w:rPr>
              <w:t>4.1.8条</w:t>
            </w:r>
          </w:p>
        </w:tc>
        <w:tc>
          <w:tcPr>
            <w:tcW w:w="4394" w:type="dxa"/>
            <w:vMerge w:val="restart"/>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701" w:type="dxa"/>
          </w:tcPr>
          <w:p>
            <w:pPr>
              <w:pStyle w:val="84"/>
              <w:spacing w:line="360" w:lineRule="auto"/>
              <w:rPr>
                <w:sz w:val="24"/>
              </w:rPr>
            </w:pPr>
            <w:r>
              <w:rPr>
                <w:rFonts w:hint="eastAsia"/>
                <w:sz w:val="24"/>
              </w:rPr>
              <w:t>8.1.5</w:t>
            </w:r>
          </w:p>
        </w:tc>
        <w:tc>
          <w:tcPr>
            <w:tcW w:w="4394"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5.1.8条</w:t>
            </w:r>
          </w:p>
        </w:tc>
        <w:tc>
          <w:tcPr>
            <w:tcW w:w="4394"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设计人员应根据标示系统设计于设置说明文件，按照项目实际，填写此项内容。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警示标志一般设置于人员流动大的场所，青少年和儿童经常活动的场所，容易碰撞、夹伤、温滑及危险的部位和场所等。比如禁止攀爬、禁止倚靠、禁止伸出窗外、禁止抛物、注意安全、当心碰头、当心夹手、当心车辆、当心坠落、当心滑倒、当心落水等。</w:t>
            </w:r>
          </w:p>
          <w:p>
            <w:pPr>
              <w:pStyle w:val="84"/>
              <w:spacing w:line="360" w:lineRule="auto"/>
              <w:ind w:firstLine="480" w:firstLineChars="200"/>
              <w:jc w:val="left"/>
              <w:rPr>
                <w:sz w:val="24"/>
              </w:rPr>
            </w:pPr>
            <w:r>
              <w:rPr>
                <w:rFonts w:hint="eastAsia"/>
                <w:sz w:val="24"/>
              </w:rPr>
              <w:t>设置安全引导指示标志，包括紧急出口标志、避险处标志、应急避难场所标志、急救点标志、报警点标志等，以及其他促进建筑安全使用的引导标志等。</w:t>
            </w:r>
          </w:p>
        </w:tc>
      </w:tr>
    </w:tbl>
    <w:p>
      <w:pPr>
        <w:pStyle w:val="78"/>
        <w:tabs>
          <w:tab w:val="left" w:pos="360"/>
        </w:tabs>
        <w:spacing w:before="124" w:beforeLines="40" w:after="124" w:afterLines="40" w:line="360" w:lineRule="auto"/>
        <w:ind w:firstLine="0" w:firstLineChars="0"/>
        <w:rPr>
          <w:rFonts w:asciiTheme="minorEastAsia" w:hAnsiTheme="minorEastAsia" w:eastAsiaTheme="minorEastAsia"/>
          <w:b/>
          <w:sz w:val="24"/>
        </w:rPr>
      </w:pPr>
    </w:p>
    <w:p>
      <w:pPr>
        <w:pStyle w:val="17"/>
        <w:spacing w:line="360" w:lineRule="auto"/>
        <w:ind w:firstLine="422"/>
        <w:rPr>
          <w:rFonts w:hAnsi="宋体"/>
          <w:b/>
          <w:sz w:val="24"/>
        </w:rPr>
      </w:pPr>
      <w:r>
        <w:rPr>
          <w:rFonts w:hint="eastAsia" w:hAnsi="宋体"/>
          <w:b/>
          <w:sz w:val="24"/>
        </w:rPr>
        <w:t>11.无障碍设计结合建筑功能特性，</w:t>
      </w:r>
      <w:r>
        <w:rPr>
          <w:rFonts w:hint="eastAsia"/>
          <w:b/>
          <w:sz w:val="24"/>
        </w:rPr>
        <w:t>并符合现行国家标准《建筑与市政工程无障碍通用规范》GB</w:t>
      </w:r>
      <w:r>
        <w:rPr>
          <w:b/>
          <w:sz w:val="24"/>
        </w:rPr>
        <w:t xml:space="preserve"> </w:t>
      </w:r>
      <w:r>
        <w:rPr>
          <w:rFonts w:hint="eastAsia"/>
          <w:b/>
          <w:sz w:val="24"/>
        </w:rPr>
        <w:t>55019和《无障碍设计规范》GB</w:t>
      </w:r>
      <w:r>
        <w:rPr>
          <w:b/>
          <w:sz w:val="24"/>
        </w:rPr>
        <w:t xml:space="preserve"> </w:t>
      </w:r>
      <w:r>
        <w:rPr>
          <w:rFonts w:hint="eastAsia"/>
          <w:b/>
          <w:sz w:val="24"/>
        </w:rPr>
        <w:t>50763的规定</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8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tcPr>
          <w:p>
            <w:pPr>
              <w:spacing w:line="360" w:lineRule="auto"/>
              <w:rPr>
                <w:rFonts w:hAnsi="宋体"/>
                <w:sz w:val="24"/>
              </w:rPr>
            </w:pPr>
            <w:r>
              <w:rPr>
                <w:rFonts w:hint="eastAsia" w:hAnsi="宋体"/>
                <w:sz w:val="24"/>
              </w:rPr>
              <w:t>条文来源</w:t>
            </w:r>
          </w:p>
        </w:tc>
        <w:tc>
          <w:tcPr>
            <w:tcW w:w="8080" w:type="dxa"/>
          </w:tcPr>
          <w:p>
            <w:pPr>
              <w:spacing w:line="360" w:lineRule="auto"/>
              <w:ind w:firstLine="420"/>
              <w:rPr>
                <w:rFonts w:hAnsi="宋体"/>
                <w:sz w:val="24"/>
              </w:rPr>
            </w:pPr>
            <w:r>
              <w:rPr>
                <w:rFonts w:hint="eastAsia" w:hAnsi="宋体"/>
                <w:sz w:val="24"/>
              </w:rPr>
              <w:t>GB 50763-2012、GB 55019-2021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8080" w:type="dxa"/>
          </w:tcPr>
          <w:p>
            <w:pPr>
              <w:spacing w:line="360" w:lineRule="auto"/>
              <w:ind w:firstLine="420"/>
              <w:rPr>
                <w:rFonts w:hAnsi="宋体"/>
                <w:sz w:val="24"/>
              </w:rPr>
            </w:pPr>
            <w:r>
              <w:rPr>
                <w:rFonts w:hint="eastAsia" w:hAnsi="宋体"/>
                <w:sz w:val="24"/>
              </w:rPr>
              <w:t>设计人员应根据建筑施工图，参照现行国家标准《建筑与市政工程无障碍通用规范》GB 55019和《无障碍设计规范》GB 50763的规定，按照项目实际，填写此项内容。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ind w:firstLine="420"/>
              <w:rPr>
                <w:rFonts w:hAnsi="宋体"/>
                <w:sz w:val="24"/>
              </w:rPr>
            </w:pPr>
            <w:r>
              <w:rPr>
                <w:rFonts w:hint="eastAsia" w:hAnsi="宋体"/>
                <w:sz w:val="24"/>
              </w:rPr>
              <w:t>备注</w:t>
            </w:r>
          </w:p>
        </w:tc>
        <w:tc>
          <w:tcPr>
            <w:tcW w:w="8080" w:type="dxa"/>
          </w:tcPr>
          <w:p>
            <w:pPr>
              <w:spacing w:line="360" w:lineRule="auto"/>
              <w:ind w:firstLine="420"/>
              <w:rPr>
                <w:rFonts w:hAnsi="宋体"/>
                <w:sz w:val="24"/>
              </w:rPr>
            </w:pPr>
          </w:p>
        </w:tc>
      </w:tr>
    </w:tbl>
    <w:p>
      <w:pPr>
        <w:pStyle w:val="17"/>
        <w:spacing w:line="360" w:lineRule="auto"/>
        <w:ind w:firstLine="422"/>
        <w:rPr>
          <w:rFonts w:asciiTheme="minorEastAsia" w:hAnsiTheme="minorEastAsia"/>
          <w:b/>
          <w:sz w:val="24"/>
        </w:rPr>
      </w:pPr>
    </w:p>
    <w:p>
      <w:pPr>
        <w:pStyle w:val="17"/>
        <w:spacing w:line="360" w:lineRule="auto"/>
        <w:ind w:firstLine="422"/>
        <w:rPr>
          <w:rFonts w:asciiTheme="minorEastAsia" w:hAnsiTheme="minorEastAsia" w:eastAsiaTheme="minorEastAsia"/>
          <w:b/>
          <w:sz w:val="24"/>
        </w:rPr>
      </w:pPr>
      <w:r>
        <w:rPr>
          <w:rFonts w:hint="eastAsia" w:asciiTheme="minorEastAsia" w:hAnsiTheme="minorEastAsia" w:eastAsiaTheme="minorEastAsia"/>
          <w:b/>
          <w:sz w:val="24"/>
        </w:rPr>
        <w:t>12</w:t>
      </w:r>
      <w:r>
        <w:rPr>
          <w:rFonts w:asciiTheme="minorEastAsia" w:hAnsiTheme="minorEastAsia" w:eastAsiaTheme="minorEastAsia"/>
          <w:b/>
          <w:sz w:val="24"/>
        </w:rPr>
        <w:t>.</w:t>
      </w:r>
      <w:r>
        <w:rPr>
          <w:rFonts w:hint="eastAsia" w:asciiTheme="minorEastAsia" w:hAnsiTheme="minorEastAsia" w:eastAsiaTheme="minorEastAsia"/>
          <w:b/>
          <w:sz w:val="24"/>
        </w:rPr>
        <w:t>安全性与耐久性：</w:t>
      </w:r>
    </w:p>
    <w:p>
      <w:pPr>
        <w:pStyle w:val="78"/>
        <w:tabs>
          <w:tab w:val="left" w:pos="360"/>
        </w:tabs>
        <w:spacing w:before="124" w:beforeLines="40" w:after="124" w:afterLines="40"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12.1外遮阳、可再生能源利用设施、空调室外机位、外墙花池等外部设施与建筑主体结构进行统一设计，并具备安装、检修与维护条件；</w:t>
      </w:r>
    </w:p>
    <w:p>
      <w:pPr>
        <w:pStyle w:val="78"/>
        <w:tabs>
          <w:tab w:val="left" w:pos="360"/>
        </w:tabs>
        <w:spacing w:before="124" w:beforeLines="40" w:after="124" w:afterLines="40"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12.2建筑内部的非结构构件、设备及附属设施等连接牢固；</w:t>
      </w:r>
    </w:p>
    <w:p>
      <w:pPr>
        <w:pStyle w:val="78"/>
        <w:tabs>
          <w:tab w:val="left" w:pos="360"/>
        </w:tabs>
        <w:spacing w:before="124" w:beforeLines="40" w:after="124" w:afterLines="40"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12.3卫生间、浴室的楼、地面设置防水层，墙面、顶棚设置防潮层；</w:t>
      </w:r>
    </w:p>
    <w:p>
      <w:pPr>
        <w:pStyle w:val="78"/>
        <w:tabs>
          <w:tab w:val="left" w:pos="360"/>
        </w:tabs>
        <w:spacing w:before="124" w:beforeLines="40" w:after="124" w:afterLines="40"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12.4建筑室内公共区域考虑全龄化设计要求；</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701"/>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pStyle w:val="84"/>
              <w:spacing w:line="400" w:lineRule="exact"/>
              <w:rPr>
                <w:sz w:val="24"/>
              </w:rPr>
            </w:pPr>
            <w:r>
              <w:rPr>
                <w:rFonts w:hint="eastAsia"/>
                <w:sz w:val="24"/>
              </w:rPr>
              <w:t>条文来源</w:t>
            </w:r>
          </w:p>
        </w:tc>
        <w:tc>
          <w:tcPr>
            <w:tcW w:w="1985" w:type="dxa"/>
            <w:vMerge w:val="restart"/>
          </w:tcPr>
          <w:p>
            <w:pPr>
              <w:pStyle w:val="84"/>
              <w:spacing w:line="400" w:lineRule="exact"/>
              <w:rPr>
                <w:sz w:val="24"/>
              </w:rPr>
            </w:pPr>
            <w:r>
              <w:rPr>
                <w:rFonts w:hint="eastAsia"/>
                <w:sz w:val="24"/>
              </w:rPr>
              <w:t>GB/T 50378-2019</w:t>
            </w:r>
          </w:p>
        </w:tc>
        <w:tc>
          <w:tcPr>
            <w:tcW w:w="1701" w:type="dxa"/>
          </w:tcPr>
          <w:p>
            <w:pPr>
              <w:pStyle w:val="84"/>
              <w:spacing w:line="400" w:lineRule="exact"/>
              <w:rPr>
                <w:sz w:val="24"/>
              </w:rPr>
            </w:pPr>
            <w:r>
              <w:rPr>
                <w:rFonts w:hint="eastAsia"/>
                <w:sz w:val="24"/>
              </w:rPr>
              <w:t>4.1.3</w:t>
            </w:r>
          </w:p>
        </w:tc>
        <w:tc>
          <w:tcPr>
            <w:tcW w:w="4394" w:type="dxa"/>
            <w:vMerge w:val="restart"/>
          </w:tcPr>
          <w:p>
            <w:pPr>
              <w:pStyle w:val="84"/>
              <w:spacing w:line="400" w:lineRule="exact"/>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pStyle w:val="84"/>
              <w:spacing w:line="400" w:lineRule="exact"/>
              <w:rPr>
                <w:sz w:val="24"/>
              </w:rPr>
            </w:pPr>
          </w:p>
        </w:tc>
        <w:tc>
          <w:tcPr>
            <w:tcW w:w="1985" w:type="dxa"/>
            <w:vMerge w:val="continue"/>
          </w:tcPr>
          <w:p>
            <w:pPr>
              <w:pStyle w:val="84"/>
              <w:spacing w:line="400" w:lineRule="exact"/>
              <w:rPr>
                <w:sz w:val="24"/>
              </w:rPr>
            </w:pPr>
          </w:p>
        </w:tc>
        <w:tc>
          <w:tcPr>
            <w:tcW w:w="1701" w:type="dxa"/>
          </w:tcPr>
          <w:p>
            <w:pPr>
              <w:pStyle w:val="84"/>
              <w:spacing w:line="400" w:lineRule="exact"/>
              <w:rPr>
                <w:sz w:val="24"/>
              </w:rPr>
            </w:pPr>
            <w:r>
              <w:rPr>
                <w:rFonts w:hint="eastAsia"/>
                <w:sz w:val="24"/>
              </w:rPr>
              <w:t>4.1.4</w:t>
            </w:r>
          </w:p>
        </w:tc>
        <w:tc>
          <w:tcPr>
            <w:tcW w:w="4394" w:type="dxa"/>
            <w:vMerge w:val="continue"/>
          </w:tcPr>
          <w:p>
            <w:pPr>
              <w:pStyle w:val="84"/>
              <w:spacing w:line="400" w:lineRule="exac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4" w:type="dxa"/>
            <w:vMerge w:val="continue"/>
          </w:tcPr>
          <w:p>
            <w:pPr>
              <w:pStyle w:val="84"/>
              <w:spacing w:line="400" w:lineRule="exact"/>
              <w:rPr>
                <w:sz w:val="24"/>
              </w:rPr>
            </w:pPr>
          </w:p>
        </w:tc>
        <w:tc>
          <w:tcPr>
            <w:tcW w:w="1985" w:type="dxa"/>
            <w:vMerge w:val="continue"/>
          </w:tcPr>
          <w:p>
            <w:pPr>
              <w:pStyle w:val="84"/>
              <w:spacing w:line="400" w:lineRule="exact"/>
              <w:rPr>
                <w:sz w:val="24"/>
              </w:rPr>
            </w:pPr>
          </w:p>
        </w:tc>
        <w:tc>
          <w:tcPr>
            <w:tcW w:w="1701" w:type="dxa"/>
          </w:tcPr>
          <w:p>
            <w:pPr>
              <w:pStyle w:val="84"/>
              <w:spacing w:line="400" w:lineRule="exact"/>
              <w:rPr>
                <w:sz w:val="24"/>
              </w:rPr>
            </w:pPr>
            <w:r>
              <w:rPr>
                <w:rFonts w:hint="eastAsia"/>
                <w:sz w:val="24"/>
              </w:rPr>
              <w:t>4.1.6</w:t>
            </w:r>
          </w:p>
        </w:tc>
        <w:tc>
          <w:tcPr>
            <w:tcW w:w="4394" w:type="dxa"/>
            <w:vMerge w:val="continue"/>
          </w:tcPr>
          <w:p>
            <w:pPr>
              <w:pStyle w:val="84"/>
              <w:spacing w:line="400" w:lineRule="exac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400" w:lineRule="exact"/>
              <w:rPr>
                <w:sz w:val="24"/>
              </w:rPr>
            </w:pPr>
          </w:p>
        </w:tc>
        <w:tc>
          <w:tcPr>
            <w:tcW w:w="1985" w:type="dxa"/>
            <w:vMerge w:val="restart"/>
          </w:tcPr>
          <w:p>
            <w:pPr>
              <w:pStyle w:val="84"/>
              <w:spacing w:line="400" w:lineRule="exact"/>
              <w:rPr>
                <w:sz w:val="24"/>
              </w:rPr>
            </w:pPr>
            <w:r>
              <w:rPr>
                <w:rFonts w:hint="eastAsia"/>
                <w:sz w:val="24"/>
              </w:rPr>
              <w:t>DB33/1092-2021</w:t>
            </w:r>
          </w:p>
        </w:tc>
        <w:tc>
          <w:tcPr>
            <w:tcW w:w="1701" w:type="dxa"/>
          </w:tcPr>
          <w:p>
            <w:pPr>
              <w:pStyle w:val="84"/>
              <w:spacing w:line="400" w:lineRule="exact"/>
              <w:rPr>
                <w:sz w:val="24"/>
              </w:rPr>
            </w:pPr>
            <w:r>
              <w:rPr>
                <w:rFonts w:hint="eastAsia"/>
                <w:sz w:val="24"/>
              </w:rPr>
              <w:t>5.1.5-3</w:t>
            </w:r>
          </w:p>
        </w:tc>
        <w:tc>
          <w:tcPr>
            <w:tcW w:w="4394" w:type="dxa"/>
            <w:vMerge w:val="restart"/>
          </w:tcPr>
          <w:p>
            <w:pPr>
              <w:pStyle w:val="84"/>
              <w:spacing w:line="400" w:lineRule="exact"/>
              <w:rPr>
                <w:sz w:val="24"/>
              </w:rPr>
            </w:pPr>
            <w:r>
              <w:rPr>
                <w:rFonts w:hint="eastAsia"/>
                <w:sz w:val="24"/>
              </w:rPr>
              <w:t>基本要求</w:t>
            </w:r>
          </w:p>
          <w:p>
            <w:pPr>
              <w:pStyle w:val="84"/>
              <w:spacing w:line="400" w:lineRule="exac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400" w:lineRule="exact"/>
              <w:rPr>
                <w:sz w:val="24"/>
              </w:rPr>
            </w:pPr>
          </w:p>
        </w:tc>
        <w:tc>
          <w:tcPr>
            <w:tcW w:w="1985" w:type="dxa"/>
            <w:vMerge w:val="continue"/>
          </w:tcPr>
          <w:p>
            <w:pPr>
              <w:pStyle w:val="84"/>
              <w:spacing w:line="400" w:lineRule="exact"/>
              <w:rPr>
                <w:sz w:val="24"/>
              </w:rPr>
            </w:pPr>
          </w:p>
        </w:tc>
        <w:tc>
          <w:tcPr>
            <w:tcW w:w="1701" w:type="dxa"/>
          </w:tcPr>
          <w:p>
            <w:pPr>
              <w:pStyle w:val="84"/>
              <w:spacing w:line="400" w:lineRule="exact"/>
              <w:rPr>
                <w:sz w:val="24"/>
              </w:rPr>
            </w:pPr>
            <w:r>
              <w:rPr>
                <w:rFonts w:hint="eastAsia"/>
                <w:sz w:val="24"/>
              </w:rPr>
              <w:t>5.1.6-3</w:t>
            </w:r>
          </w:p>
        </w:tc>
        <w:tc>
          <w:tcPr>
            <w:tcW w:w="4394" w:type="dxa"/>
            <w:vMerge w:val="continue"/>
          </w:tcPr>
          <w:p>
            <w:pPr>
              <w:pStyle w:val="84"/>
              <w:spacing w:line="400" w:lineRule="exac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400" w:lineRule="exact"/>
              <w:rPr>
                <w:sz w:val="24"/>
              </w:rPr>
            </w:pPr>
          </w:p>
        </w:tc>
        <w:tc>
          <w:tcPr>
            <w:tcW w:w="1985" w:type="dxa"/>
            <w:vMerge w:val="continue"/>
          </w:tcPr>
          <w:p>
            <w:pPr>
              <w:pStyle w:val="84"/>
              <w:spacing w:line="400" w:lineRule="exact"/>
              <w:rPr>
                <w:sz w:val="24"/>
              </w:rPr>
            </w:pPr>
          </w:p>
        </w:tc>
        <w:tc>
          <w:tcPr>
            <w:tcW w:w="1701" w:type="dxa"/>
          </w:tcPr>
          <w:p>
            <w:pPr>
              <w:pStyle w:val="84"/>
              <w:spacing w:line="400" w:lineRule="exact"/>
              <w:rPr>
                <w:sz w:val="24"/>
              </w:rPr>
            </w:pPr>
            <w:r>
              <w:rPr>
                <w:rFonts w:hint="eastAsia"/>
                <w:sz w:val="24"/>
              </w:rPr>
              <w:t>5.1.13</w:t>
            </w:r>
          </w:p>
        </w:tc>
        <w:tc>
          <w:tcPr>
            <w:tcW w:w="4394" w:type="dxa"/>
            <w:vMerge w:val="continue"/>
          </w:tcPr>
          <w:p>
            <w:pPr>
              <w:pStyle w:val="84"/>
              <w:spacing w:line="400" w:lineRule="exac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400" w:lineRule="exact"/>
              <w:rPr>
                <w:sz w:val="24"/>
              </w:rPr>
            </w:pPr>
          </w:p>
        </w:tc>
        <w:tc>
          <w:tcPr>
            <w:tcW w:w="1985" w:type="dxa"/>
            <w:vMerge w:val="continue"/>
          </w:tcPr>
          <w:p>
            <w:pPr>
              <w:pStyle w:val="84"/>
              <w:spacing w:line="400" w:lineRule="exact"/>
              <w:rPr>
                <w:sz w:val="24"/>
              </w:rPr>
            </w:pPr>
          </w:p>
        </w:tc>
        <w:tc>
          <w:tcPr>
            <w:tcW w:w="1701" w:type="dxa"/>
          </w:tcPr>
          <w:p>
            <w:pPr>
              <w:pStyle w:val="84"/>
              <w:spacing w:line="400" w:lineRule="exact"/>
              <w:rPr>
                <w:sz w:val="24"/>
              </w:rPr>
            </w:pPr>
            <w:r>
              <w:rPr>
                <w:rFonts w:hint="eastAsia"/>
                <w:sz w:val="24"/>
              </w:rPr>
              <w:t>5.3.14</w:t>
            </w:r>
          </w:p>
        </w:tc>
        <w:tc>
          <w:tcPr>
            <w:tcW w:w="4394" w:type="dxa"/>
          </w:tcPr>
          <w:p>
            <w:pPr>
              <w:pStyle w:val="84"/>
              <w:spacing w:line="400" w:lineRule="exact"/>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设计人员应根据设计说明、计算书和结构设计大样等，按照项目实际，填写此项内容。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建筑的公共区域充分考虑墙面或者易接触面不应有明显棱角或尖锐突出物，保证使用者，特别是行动不便的老人、残疾人、儿童行走安全；</w:t>
            </w:r>
          </w:p>
          <w:p>
            <w:pPr>
              <w:pStyle w:val="84"/>
              <w:spacing w:line="360" w:lineRule="auto"/>
              <w:jc w:val="left"/>
              <w:rPr>
                <w:sz w:val="24"/>
              </w:rPr>
            </w:pPr>
            <w:r>
              <w:rPr>
                <w:rFonts w:hint="eastAsia"/>
                <w:sz w:val="24"/>
              </w:rPr>
              <w:t>在电梯的设计中，可容纳担架的电梯能保证建筑使用者出现突发病症时，更方便地利用垂直交通。</w:t>
            </w:r>
          </w:p>
        </w:tc>
      </w:tr>
    </w:tbl>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12.5采取措施提高阳台、外窗、窗台、防护栏杆等安全防护水平；</w:t>
      </w:r>
    </w:p>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12.6建筑物主要出入口均设外墙饰面、门窗玻璃意外脱落的防护措施；</w:t>
      </w:r>
    </w:p>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12.7建筑设计采用具有安全防护功能的产品或配件；</w:t>
      </w:r>
    </w:p>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12.8玻璃幕墙设计采用安全防护的措施；</w:t>
      </w:r>
    </w:p>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12.9党政机关办公楼、医院门诊急诊楼和病房楼，未在二层及以上部位采用玻璃幕墙；中小学校、托儿所、幼儿园、青少年宫、老年人照料设施，未在二层及以上部位采用玻璃幕墙或石材幕墙；</w:t>
      </w:r>
    </w:p>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12.10室内场所楼地面设置防滑措施；</w:t>
      </w:r>
    </w:p>
    <w:p>
      <w:pPr>
        <w:pStyle w:val="78"/>
        <w:tabs>
          <w:tab w:val="left" w:pos="360"/>
        </w:tabs>
        <w:spacing w:before="124" w:beforeLines="40" w:after="124" w:afterLines="40"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12.11建筑内特定部位具有安全防护的警示标识和安全引导标识系统；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559"/>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GB/T 50378-2019</w:t>
            </w:r>
          </w:p>
        </w:tc>
        <w:tc>
          <w:tcPr>
            <w:tcW w:w="1559" w:type="dxa"/>
          </w:tcPr>
          <w:p>
            <w:pPr>
              <w:pStyle w:val="84"/>
              <w:spacing w:line="360" w:lineRule="auto"/>
              <w:rPr>
                <w:sz w:val="24"/>
              </w:rPr>
            </w:pPr>
            <w:r>
              <w:rPr>
                <w:rFonts w:hint="eastAsia"/>
                <w:sz w:val="24"/>
              </w:rPr>
              <w:t>4.1.8</w:t>
            </w:r>
          </w:p>
        </w:tc>
        <w:tc>
          <w:tcPr>
            <w:tcW w:w="4536" w:type="dxa"/>
          </w:tcPr>
          <w:p>
            <w:pPr>
              <w:pStyle w:val="84"/>
              <w:spacing w:line="360" w:lineRule="auto"/>
              <w:rPr>
                <w:sz w:val="24"/>
              </w:rPr>
            </w:pPr>
            <w:r>
              <w:rPr>
                <w:rFonts w:hint="eastAsia"/>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restart"/>
          </w:tcPr>
          <w:p>
            <w:pPr>
              <w:pStyle w:val="84"/>
              <w:spacing w:line="360" w:lineRule="auto"/>
              <w:rPr>
                <w:sz w:val="24"/>
              </w:rPr>
            </w:pPr>
            <w:r>
              <w:rPr>
                <w:rFonts w:hint="eastAsia"/>
                <w:sz w:val="24"/>
              </w:rPr>
              <w:t>4.2.2</w:t>
            </w:r>
          </w:p>
        </w:tc>
        <w:tc>
          <w:tcPr>
            <w:tcW w:w="4536" w:type="dxa"/>
          </w:tcPr>
          <w:p>
            <w:pPr>
              <w:pStyle w:val="84"/>
              <w:spacing w:line="360" w:lineRule="auto"/>
              <w:rPr>
                <w:sz w:val="24"/>
              </w:rPr>
            </w:pPr>
            <w:r>
              <w:rPr>
                <w:rFonts w:hint="eastAsia"/>
                <w:sz w:val="24"/>
              </w:rPr>
              <w:t>采取措施提高阳台、外窗、窗台、防护栏杆等安全防护水平，得5分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建筑物出入口均设外墙饰面、门窗玻璃意外脱落的防护措施，并与人员通行区域的遮阳、遮风或挡雨措施结合，得5分；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利用场地或景观形成可降低坠物风险的缓冲区、隔离带，得5分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restart"/>
          </w:tcPr>
          <w:p>
            <w:pPr>
              <w:pStyle w:val="84"/>
              <w:spacing w:line="360" w:lineRule="auto"/>
              <w:rPr>
                <w:sz w:val="24"/>
              </w:rPr>
            </w:pPr>
            <w:r>
              <w:rPr>
                <w:rFonts w:hint="eastAsia"/>
                <w:sz w:val="24"/>
              </w:rPr>
              <w:t>4.2.3</w:t>
            </w:r>
          </w:p>
        </w:tc>
        <w:tc>
          <w:tcPr>
            <w:tcW w:w="4536" w:type="dxa"/>
          </w:tcPr>
          <w:p>
            <w:pPr>
              <w:pStyle w:val="84"/>
              <w:spacing w:line="360" w:lineRule="auto"/>
              <w:rPr>
                <w:sz w:val="24"/>
              </w:rPr>
            </w:pPr>
            <w:r>
              <w:rPr>
                <w:rFonts w:hint="eastAsia"/>
                <w:sz w:val="24"/>
              </w:rPr>
              <w:t>采用具有安全防护功能的玻璃，得5分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采用具备防夹功能的门窗，得5分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restart"/>
          </w:tcPr>
          <w:p>
            <w:pPr>
              <w:pStyle w:val="84"/>
              <w:spacing w:line="360" w:lineRule="auto"/>
              <w:rPr>
                <w:sz w:val="24"/>
              </w:rPr>
            </w:pPr>
            <w:r>
              <w:rPr>
                <w:rFonts w:hint="eastAsia"/>
                <w:sz w:val="24"/>
              </w:rPr>
              <w:t>4.2.4</w:t>
            </w:r>
          </w:p>
        </w:tc>
        <w:tc>
          <w:tcPr>
            <w:tcW w:w="4536" w:type="dxa"/>
          </w:tcPr>
          <w:p>
            <w:pPr>
              <w:pStyle w:val="84"/>
              <w:spacing w:line="360" w:lineRule="auto"/>
              <w:rPr>
                <w:sz w:val="24"/>
              </w:rPr>
            </w:pPr>
            <w:r>
              <w:rPr>
                <w:rFonts w:hint="eastAsia"/>
                <w:sz w:val="24"/>
              </w:rPr>
              <w:t>建筑出入口及平台、公共走廊、电梯门厅、厨房、浴室、卫生间等设置防滑措施，防滑等级不低于Bd 、Bw 级得3分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建筑室内外活动场所采用防滑地面，防滑等级达到Ad、Aw 级，得4分；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建筑坡道、楼梯踏步防滑等级达到Ad、Aw级或按水平地面等级提高一级，并采用防滑条等防滑构造技术措施，得3分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1559" w:type="dxa"/>
          </w:tcPr>
          <w:p>
            <w:pPr>
              <w:pStyle w:val="84"/>
              <w:spacing w:line="360" w:lineRule="auto"/>
              <w:rPr>
                <w:sz w:val="24"/>
              </w:rPr>
            </w:pPr>
            <w:r>
              <w:rPr>
                <w:rFonts w:hint="eastAsia"/>
                <w:sz w:val="24"/>
              </w:rPr>
              <w:t>5.1.8</w:t>
            </w:r>
          </w:p>
        </w:tc>
        <w:tc>
          <w:tcPr>
            <w:tcW w:w="4536" w:type="dxa"/>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5.2.13</w:t>
            </w:r>
          </w:p>
        </w:tc>
        <w:tc>
          <w:tcPr>
            <w:tcW w:w="4536" w:type="dxa"/>
            <w:vMerge w:val="restart"/>
          </w:tcPr>
          <w:p>
            <w:pPr>
              <w:pStyle w:val="84"/>
              <w:spacing w:line="360" w:lineRule="auto"/>
              <w:rPr>
                <w:sz w:val="24"/>
              </w:rPr>
            </w:pPr>
            <w:r>
              <w:rPr>
                <w:rFonts w:hint="eastAsia"/>
                <w:sz w:val="24"/>
              </w:rPr>
              <w:t>一星设计要求</w:t>
            </w:r>
          </w:p>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5.2.15</w:t>
            </w:r>
          </w:p>
        </w:tc>
        <w:tc>
          <w:tcPr>
            <w:tcW w:w="4536"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5.2.34</w:t>
            </w:r>
          </w:p>
        </w:tc>
        <w:tc>
          <w:tcPr>
            <w:tcW w:w="4536"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5.2.35</w:t>
            </w:r>
          </w:p>
        </w:tc>
        <w:tc>
          <w:tcPr>
            <w:tcW w:w="4536"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5.2.36</w:t>
            </w:r>
          </w:p>
        </w:tc>
        <w:tc>
          <w:tcPr>
            <w:tcW w:w="4536"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设计人员应根据建筑设计说明、标示系统设计与设置说明、建筑施工图、室外场地设计图、防水和防潮构造措施和说明等，按照项目实际，填写此项内容。</w:t>
            </w:r>
          </w:p>
          <w:p>
            <w:pPr>
              <w:pStyle w:val="84"/>
              <w:spacing w:line="360" w:lineRule="auto"/>
              <w:ind w:firstLine="480" w:firstLineChars="200"/>
              <w:jc w:val="left"/>
              <w:rPr>
                <w:sz w:val="24"/>
              </w:rPr>
            </w:pPr>
            <w:r>
              <w:rPr>
                <w:rFonts w:hint="eastAsia"/>
                <w:sz w:val="24"/>
              </w:rPr>
              <w:t>选取装饰装修材料或产品时应有对应的图纸及说明。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对于人流量大、门窗开合频繁的民用建筑的公共区域，采用可调力度的闭门器或具有缓冲功能的延时闭门器等措施，防止夹人上人事故的发生。主要部位包括但不限于电梯门、大堂入口门、旋转门、推拉门窗等。</w:t>
            </w:r>
          </w:p>
        </w:tc>
      </w:tr>
    </w:tbl>
    <w:p>
      <w:pPr>
        <w:pStyle w:val="78"/>
        <w:tabs>
          <w:tab w:val="left" w:pos="360"/>
        </w:tabs>
        <w:spacing w:before="124" w:beforeLines="40" w:after="124" w:afterLines="40"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12.12建筑中频繁使用的活动配件应选用长寿命产品；</w:t>
      </w:r>
    </w:p>
    <w:p>
      <w:pPr>
        <w:pStyle w:val="78"/>
        <w:tabs>
          <w:tab w:val="left" w:pos="360"/>
        </w:tabs>
        <w:spacing w:before="124" w:beforeLines="40" w:after="124" w:afterLines="40"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12.13装饰装修建筑材料的选用；</w:t>
      </w:r>
    </w:p>
    <w:p>
      <w:pPr>
        <w:pStyle w:val="78"/>
        <w:tabs>
          <w:tab w:val="left" w:pos="360"/>
        </w:tabs>
        <w:spacing w:before="124" w:beforeLines="40" w:after="124" w:afterLines="40" w:line="360" w:lineRule="auto"/>
        <w:ind w:firstLine="0" w:firstLineChars="0"/>
        <w:rPr>
          <w:rFonts w:asciiTheme="minorEastAsia" w:hAnsiTheme="minorEastAsia" w:eastAsiaTheme="minorEastAsia"/>
          <w:sz w:val="24"/>
        </w:rPr>
      </w:pPr>
      <w:r>
        <w:rPr>
          <w:rFonts w:hint="eastAsia" w:asciiTheme="minorEastAsia" w:hAnsiTheme="minorEastAsia" w:eastAsiaTheme="minorEastAsia"/>
          <w:sz w:val="24"/>
        </w:rPr>
        <w:t>12.14建筑中可变换功能的室内空间采用可重复使用的隔断（墙）的比例；</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559"/>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GB/T 50378-2019</w:t>
            </w:r>
          </w:p>
        </w:tc>
        <w:tc>
          <w:tcPr>
            <w:tcW w:w="1559" w:type="dxa"/>
            <w:vMerge w:val="restart"/>
          </w:tcPr>
          <w:p>
            <w:pPr>
              <w:pStyle w:val="84"/>
              <w:spacing w:line="360" w:lineRule="auto"/>
              <w:rPr>
                <w:sz w:val="24"/>
              </w:rPr>
            </w:pPr>
            <w:r>
              <w:rPr>
                <w:rFonts w:hint="eastAsia"/>
                <w:sz w:val="24"/>
              </w:rPr>
              <w:t>4.2.7</w:t>
            </w:r>
          </w:p>
        </w:tc>
        <w:tc>
          <w:tcPr>
            <w:tcW w:w="4536" w:type="dxa"/>
          </w:tcPr>
          <w:p>
            <w:pPr>
              <w:pStyle w:val="84"/>
              <w:spacing w:line="360" w:lineRule="auto"/>
              <w:rPr>
                <w:sz w:val="24"/>
              </w:rPr>
            </w:pPr>
            <w:r>
              <w:rPr>
                <w:rFonts w:hint="eastAsia"/>
                <w:sz w:val="24"/>
              </w:rPr>
              <w:t>使用耐腐蚀、抗老化、耐久性能好的管材、管线、管件，得5分；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活动配件选用长寿命产品，并考虑部品组合的同寿命性；不同使用寿命的部品组合时，采用便千分别拆换、更新和升级的构造，得5分。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restart"/>
          </w:tcPr>
          <w:p>
            <w:pPr>
              <w:pStyle w:val="84"/>
              <w:spacing w:line="360" w:lineRule="auto"/>
              <w:rPr>
                <w:sz w:val="24"/>
              </w:rPr>
            </w:pPr>
            <w:r>
              <w:rPr>
                <w:rFonts w:hint="eastAsia"/>
                <w:sz w:val="24"/>
              </w:rPr>
              <w:t>4.2.9</w:t>
            </w:r>
          </w:p>
        </w:tc>
        <w:tc>
          <w:tcPr>
            <w:tcW w:w="4536" w:type="dxa"/>
          </w:tcPr>
          <w:p>
            <w:pPr>
              <w:pStyle w:val="84"/>
              <w:spacing w:line="360" w:lineRule="auto"/>
              <w:rPr>
                <w:sz w:val="24"/>
              </w:rPr>
            </w:pPr>
            <w:r>
              <w:rPr>
                <w:rFonts w:hint="eastAsia"/>
                <w:sz w:val="24"/>
              </w:rPr>
              <w:t>采用耐久性好的外饰面材料，得3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采用耐久性好的防水和密封材料，得3分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vMerge w:val="continue"/>
          </w:tcPr>
          <w:p>
            <w:pPr>
              <w:pStyle w:val="84"/>
              <w:spacing w:line="360" w:lineRule="auto"/>
              <w:rPr>
                <w:sz w:val="24"/>
              </w:rPr>
            </w:pPr>
          </w:p>
        </w:tc>
        <w:tc>
          <w:tcPr>
            <w:tcW w:w="4536" w:type="dxa"/>
          </w:tcPr>
          <w:p>
            <w:pPr>
              <w:pStyle w:val="84"/>
              <w:spacing w:line="360" w:lineRule="auto"/>
              <w:rPr>
                <w:sz w:val="24"/>
              </w:rPr>
            </w:pPr>
            <w:r>
              <w:rPr>
                <w:rFonts w:hint="eastAsia"/>
                <w:sz w:val="24"/>
              </w:rPr>
              <w:t>采用耐久性好、易维护的室内装饰装修材料，得3分。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1559" w:type="dxa"/>
          </w:tcPr>
          <w:p>
            <w:pPr>
              <w:pStyle w:val="84"/>
              <w:spacing w:line="360" w:lineRule="auto"/>
              <w:rPr>
                <w:sz w:val="24"/>
              </w:rPr>
            </w:pPr>
            <w:r>
              <w:rPr>
                <w:rFonts w:hint="eastAsia"/>
                <w:sz w:val="24"/>
              </w:rPr>
              <w:t>5.2.32</w:t>
            </w:r>
          </w:p>
        </w:tc>
        <w:tc>
          <w:tcPr>
            <w:tcW w:w="4536" w:type="dxa"/>
            <w:vMerge w:val="restart"/>
          </w:tcPr>
          <w:p>
            <w:pPr>
              <w:pStyle w:val="84"/>
              <w:spacing w:line="360" w:lineRule="auto"/>
              <w:rPr>
                <w:sz w:val="24"/>
              </w:rPr>
            </w:pPr>
            <w:r>
              <w:rPr>
                <w:rFonts w:hint="eastAsia"/>
                <w:sz w:val="24"/>
              </w:rPr>
              <w:t>一星设计要求</w:t>
            </w:r>
          </w:p>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5.2.33</w:t>
            </w:r>
          </w:p>
        </w:tc>
        <w:tc>
          <w:tcPr>
            <w:tcW w:w="4536" w:type="dxa"/>
            <w:vMerge w:val="continue"/>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5.3.13</w:t>
            </w:r>
          </w:p>
        </w:tc>
        <w:tc>
          <w:tcPr>
            <w:tcW w:w="4536" w:type="dxa"/>
          </w:tcPr>
          <w:p>
            <w:pPr>
              <w:pStyle w:val="84"/>
              <w:spacing w:line="360" w:lineRule="auto"/>
              <w:rPr>
                <w:sz w:val="24"/>
              </w:rPr>
            </w:pPr>
            <w:r>
              <w:rPr>
                <w:rFonts w:hint="eastAsia"/>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1559" w:type="dxa"/>
          </w:tcPr>
          <w:p>
            <w:pPr>
              <w:pStyle w:val="84"/>
              <w:spacing w:line="360" w:lineRule="auto"/>
              <w:rPr>
                <w:sz w:val="24"/>
              </w:rPr>
            </w:pPr>
            <w:r>
              <w:rPr>
                <w:rFonts w:hint="eastAsia"/>
                <w:sz w:val="24"/>
              </w:rPr>
              <w:t>5.4.18</w:t>
            </w:r>
          </w:p>
        </w:tc>
        <w:tc>
          <w:tcPr>
            <w:tcW w:w="4536" w:type="dxa"/>
          </w:tcPr>
          <w:p>
            <w:pPr>
              <w:pStyle w:val="84"/>
              <w:spacing w:line="360" w:lineRule="auto"/>
              <w:rPr>
                <w:sz w:val="24"/>
              </w:rPr>
            </w:pPr>
            <w:r>
              <w:rPr>
                <w:rFonts w:hint="eastAsia"/>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400" w:lineRule="exact"/>
              <w:ind w:firstLine="480" w:firstLineChars="200"/>
              <w:jc w:val="left"/>
              <w:rPr>
                <w:sz w:val="24"/>
              </w:rPr>
            </w:pPr>
            <w:r>
              <w:rPr>
                <w:rFonts w:hint="eastAsia"/>
                <w:sz w:val="24"/>
              </w:rPr>
              <w:t>设计人员应根据建筑、给水排水、电气、燃气、装修等专业设计说明，建筑施工图、装修材料表和装修施工图中的装修材料种类及技术要求说明。按照项目实际，填写此项内容。</w:t>
            </w:r>
          </w:p>
          <w:p>
            <w:pPr>
              <w:pStyle w:val="84"/>
              <w:spacing w:line="400" w:lineRule="exact"/>
              <w:ind w:firstLine="480" w:firstLineChars="200"/>
              <w:jc w:val="left"/>
              <w:rPr>
                <w:sz w:val="24"/>
              </w:rPr>
            </w:pPr>
            <w:r>
              <w:rPr>
                <w:rFonts w:hint="eastAsia"/>
                <w:sz w:val="24"/>
              </w:rPr>
              <w:t>选取装饰装修材料或产品时应有对应的图纸及说明。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400" w:lineRule="exact"/>
              <w:ind w:firstLine="480" w:firstLineChars="200"/>
              <w:jc w:val="left"/>
              <w:rPr>
                <w:sz w:val="24"/>
              </w:rPr>
            </w:pPr>
            <w:r>
              <w:rPr>
                <w:rFonts w:hint="eastAsia"/>
                <w:sz w:val="24"/>
              </w:rPr>
              <w:t>活动配件指建筑的各种五金配件、管道阀门、开关龙头等，考虑选用长寿命的优质产品，且构造上易于更换。同时还应考虑为维护、更换操作提供方便条件。</w:t>
            </w:r>
          </w:p>
          <w:p>
            <w:pPr>
              <w:pStyle w:val="84"/>
              <w:spacing w:line="400" w:lineRule="exact"/>
              <w:ind w:firstLine="480" w:firstLineChars="200"/>
              <w:jc w:val="left"/>
              <w:rPr>
                <w:sz w:val="24"/>
              </w:rPr>
            </w:pPr>
            <w:r>
              <w:rPr>
                <w:rFonts w:hint="eastAsia"/>
                <w:sz w:val="24"/>
              </w:rPr>
              <w:t>商店建筑是指商店建筑群、商店建筑单体或综合建筑中的商店区域。</w:t>
            </w:r>
          </w:p>
          <w:p>
            <w:pPr>
              <w:pStyle w:val="84"/>
              <w:spacing w:line="400" w:lineRule="exact"/>
              <w:ind w:firstLine="480" w:firstLineChars="200"/>
              <w:jc w:val="left"/>
              <w:rPr>
                <w:sz w:val="24"/>
              </w:rPr>
            </w:pPr>
            <w:r>
              <w:rPr>
                <w:rFonts w:hint="eastAsia"/>
                <w:sz w:val="24"/>
              </w:rPr>
              <w:t>除走廊、楼梯、电梯井、卫生间、设备机房、公共管井以外的地上室内空间均应视为“可变换功能的室内空间”，有特殊隔声、防护及特殊工艺需求的空间不计入。此外，作为商业、办公用途的地下空间也应视为“可变换功能的室内空间”，其它用途的地下空间可不计入。</w:t>
            </w:r>
          </w:p>
        </w:tc>
      </w:tr>
    </w:tbl>
    <w:p>
      <w:pPr>
        <w:pStyle w:val="78"/>
        <w:tabs>
          <w:tab w:val="left" w:pos="360"/>
        </w:tabs>
        <w:spacing w:before="124" w:beforeLines="40" w:after="124" w:afterLines="40" w:line="360" w:lineRule="auto"/>
        <w:ind w:firstLine="0" w:firstLineChars="0"/>
        <w:rPr>
          <w:rFonts w:asciiTheme="minorEastAsia" w:hAnsiTheme="minorEastAsia" w:eastAsiaTheme="minorEastAsia"/>
          <w:b/>
          <w:sz w:val="24"/>
        </w:rPr>
      </w:pPr>
    </w:p>
    <w:p>
      <w:pPr>
        <w:pStyle w:val="78"/>
        <w:tabs>
          <w:tab w:val="left" w:pos="360"/>
        </w:tabs>
        <w:spacing w:before="124" w:beforeLines="40" w:after="124" w:afterLines="40" w:line="360" w:lineRule="auto"/>
        <w:ind w:firstLine="0" w:firstLineChars="0"/>
        <w:rPr>
          <w:rFonts w:asciiTheme="minorEastAsia" w:hAnsiTheme="minorEastAsia" w:eastAsiaTheme="minorEastAsia"/>
          <w:b/>
          <w:sz w:val="24"/>
        </w:rPr>
      </w:pPr>
      <w:r>
        <w:rPr>
          <w:rFonts w:hint="eastAsia" w:asciiTheme="minorEastAsia" w:hAnsiTheme="minorEastAsia" w:eastAsiaTheme="minorEastAsia"/>
          <w:b/>
          <w:sz w:val="24"/>
        </w:rPr>
        <w:t>13. 应用建筑信息模型（BIM）技术：</w:t>
      </w:r>
    </w:p>
    <w:p>
      <w:pPr>
        <w:spacing w:line="360" w:lineRule="auto"/>
        <w:ind w:firstLine="420"/>
        <w:rPr>
          <w:rFonts w:ascii="Times New Roman"/>
          <w:b/>
          <w:bCs/>
          <w:kern w:val="0"/>
          <w:sz w:val="24"/>
        </w:rPr>
      </w:pPr>
      <w:r>
        <w:rPr>
          <w:rFonts w:hint="eastAsia"/>
          <w:sz w:val="24"/>
        </w:rPr>
        <w:t>应用建筑信息模型（BIM）技术：</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1701"/>
        <w:gridCol w:w="4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1701" w:type="dxa"/>
          </w:tcPr>
          <w:p>
            <w:pPr>
              <w:pStyle w:val="84"/>
              <w:spacing w:line="360" w:lineRule="auto"/>
              <w:rPr>
                <w:sz w:val="24"/>
              </w:rPr>
            </w:pPr>
            <w:r>
              <w:rPr>
                <w:rFonts w:hint="eastAsia"/>
                <w:sz w:val="24"/>
              </w:rPr>
              <w:t>9.2.6条</w:t>
            </w:r>
          </w:p>
        </w:tc>
        <w:tc>
          <w:tcPr>
            <w:tcW w:w="4253" w:type="dxa"/>
          </w:tcPr>
          <w:p>
            <w:pPr>
              <w:pStyle w:val="84"/>
              <w:spacing w:line="360" w:lineRule="auto"/>
              <w:rPr>
                <w:sz w:val="24"/>
              </w:rPr>
            </w:pPr>
            <w:r>
              <w:rPr>
                <w:rFonts w:hint="eastAsia"/>
                <w:sz w:val="24"/>
              </w:rPr>
              <w:t>5~15分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1701" w:type="dxa"/>
          </w:tcPr>
          <w:p>
            <w:pPr>
              <w:pStyle w:val="84"/>
              <w:spacing w:line="360" w:lineRule="auto"/>
              <w:rPr>
                <w:sz w:val="24"/>
              </w:rPr>
            </w:pPr>
            <w:r>
              <w:rPr>
                <w:rFonts w:hint="eastAsia"/>
                <w:sz w:val="24"/>
              </w:rPr>
              <w:t>3.0.13</w:t>
            </w:r>
          </w:p>
        </w:tc>
        <w:tc>
          <w:tcPr>
            <w:tcW w:w="4253" w:type="dxa"/>
          </w:tcPr>
          <w:p>
            <w:pPr>
              <w:pStyle w:val="84"/>
              <w:spacing w:line="360" w:lineRule="auto"/>
              <w:rPr>
                <w:sz w:val="24"/>
              </w:rPr>
            </w:pPr>
            <w:r>
              <w:rPr>
                <w:rFonts w:hint="eastAsia"/>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400" w:lineRule="exact"/>
              <w:ind w:firstLine="480" w:firstLineChars="200"/>
              <w:jc w:val="left"/>
              <w:rPr>
                <w:sz w:val="24"/>
              </w:rPr>
            </w:pPr>
            <w:r>
              <w:rPr>
                <w:rFonts w:hint="eastAsia"/>
                <w:sz w:val="24"/>
              </w:rPr>
              <w:t>设计人员应根据相关施工图、BIM技术分析报告等，按照项目实际，填写此项内容。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400" w:lineRule="exact"/>
              <w:ind w:firstLine="480" w:firstLineChars="200"/>
              <w:jc w:val="left"/>
              <w:rPr>
                <w:sz w:val="24"/>
              </w:rPr>
            </w:pPr>
            <w:r>
              <w:rPr>
                <w:rFonts w:hint="eastAsia"/>
                <w:sz w:val="24"/>
              </w:rPr>
              <w:t>BIM 中至少应包含规划、建筑、结构、给水排水、暖通、电气等6大专业相关信息。</w:t>
            </w:r>
          </w:p>
        </w:tc>
      </w:tr>
    </w:tbl>
    <w:p>
      <w:pPr>
        <w:pStyle w:val="271"/>
        <w:spacing w:line="360" w:lineRule="auto"/>
        <w:ind w:left="360" w:firstLine="0" w:firstLineChars="0"/>
        <w:rPr>
          <w:rFonts w:asciiTheme="minorEastAsia" w:hAnsiTheme="minorEastAsia" w:eastAsiaTheme="minorEastAsia"/>
          <w:sz w:val="24"/>
        </w:rPr>
      </w:pPr>
    </w:p>
    <w:p>
      <w:pPr>
        <w:pStyle w:val="78"/>
        <w:tabs>
          <w:tab w:val="left" w:pos="360"/>
        </w:tabs>
        <w:spacing w:before="124" w:beforeLines="40" w:after="124" w:afterLines="40" w:line="360" w:lineRule="auto"/>
        <w:ind w:firstLine="0" w:firstLineChars="0"/>
        <w:rPr>
          <w:rFonts w:asciiTheme="minorEastAsia" w:hAnsiTheme="minorEastAsia" w:eastAsiaTheme="minorEastAsia"/>
          <w:b/>
          <w:sz w:val="24"/>
        </w:rPr>
      </w:pPr>
      <w:r>
        <w:rPr>
          <w:rFonts w:hint="eastAsia" w:asciiTheme="minorEastAsia" w:hAnsiTheme="minorEastAsia" w:eastAsiaTheme="minorEastAsia"/>
          <w:b/>
          <w:sz w:val="24"/>
        </w:rPr>
        <w:t>14</w:t>
      </w:r>
      <w:r>
        <w:rPr>
          <w:rFonts w:asciiTheme="minorEastAsia" w:hAnsiTheme="minorEastAsia" w:eastAsiaTheme="minorEastAsia"/>
          <w:b/>
          <w:sz w:val="24"/>
        </w:rPr>
        <w:t>.</w:t>
      </w:r>
      <w:r>
        <w:rPr>
          <w:rFonts w:hint="eastAsia" w:asciiTheme="minorEastAsia" w:hAnsiTheme="minorEastAsia" w:eastAsiaTheme="minorEastAsia"/>
          <w:b/>
          <w:sz w:val="24"/>
        </w:rPr>
        <w:t>其他需要说明的内容（含其他绿色建筑提高与创新内容）：</w:t>
      </w:r>
    </w:p>
    <w:p>
      <w:pPr>
        <w:spacing w:line="360" w:lineRule="auto"/>
        <w:ind w:firstLine="420"/>
        <w:rPr>
          <w:rFonts w:hAnsi="宋体"/>
          <w:sz w:val="24"/>
        </w:rPr>
      </w:pPr>
      <w:r>
        <w:rPr>
          <w:rFonts w:hint="eastAsia" w:asciiTheme="minorEastAsia" w:hAnsiTheme="minorEastAsia" w:eastAsiaTheme="minorEastAsia"/>
          <w:sz w:val="24"/>
        </w:rPr>
        <w:t>指设计项目无法在上述专篇选项中体现的特殊情况或未注明的内容，可在此栏中进行补充说明。</w:t>
      </w:r>
      <w:r>
        <w:rPr>
          <w:rFonts w:hint="eastAsia" w:hAnsi="宋体"/>
          <w:sz w:val="24"/>
        </w:rPr>
        <w:t>此外涉及提高和创新项的内容，在此处进行说明。</w:t>
      </w:r>
    </w:p>
    <w:p>
      <w:pPr>
        <w:spacing w:line="360" w:lineRule="auto"/>
        <w:ind w:firstLine="420"/>
        <w:rPr>
          <w:rFonts w:asciiTheme="minorEastAsia" w:hAnsiTheme="minorEastAsia" w:eastAsiaTheme="minorEastAsia"/>
          <w:sz w:val="24"/>
        </w:rPr>
      </w:pPr>
    </w:p>
    <w:p>
      <w:pPr>
        <w:pStyle w:val="267"/>
      </w:pPr>
      <w:r>
        <w:rPr>
          <w:rFonts w:hint="eastAsia"/>
        </w:rPr>
        <w:t>（三）围护结构构造措施</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 浙江省公共建筑节能设计表：</w:t>
      </w:r>
    </w:p>
    <w:p>
      <w:pPr>
        <w:pStyle w:val="271"/>
        <w:numPr>
          <w:ilvl w:val="0"/>
          <w:numId w:val="63"/>
        </w:numPr>
        <w:spacing w:line="360" w:lineRule="auto"/>
        <w:ind w:left="780" w:hanging="420" w:firstLineChars="0"/>
        <w:rPr>
          <w:rFonts w:asciiTheme="minorEastAsia" w:hAnsiTheme="minorEastAsia" w:eastAsiaTheme="minorEastAsia"/>
          <w:sz w:val="24"/>
        </w:rPr>
      </w:pPr>
      <w:r>
        <w:rPr>
          <w:rFonts w:hint="eastAsia" w:asciiTheme="minorEastAsia" w:hAnsiTheme="minorEastAsia" w:eastAsiaTheme="minorEastAsia"/>
          <w:sz w:val="24"/>
        </w:rPr>
        <w:t>项目包含多个单体时（且计算书不同时），不同单体应分别填写；</w:t>
      </w:r>
    </w:p>
    <w:p>
      <w:pPr>
        <w:pStyle w:val="271"/>
        <w:numPr>
          <w:ilvl w:val="0"/>
          <w:numId w:val="63"/>
        </w:numPr>
        <w:spacing w:line="360" w:lineRule="auto"/>
        <w:ind w:left="780" w:hanging="420" w:firstLineChars="0"/>
        <w:rPr>
          <w:rFonts w:asciiTheme="minorEastAsia" w:hAnsiTheme="minorEastAsia" w:eastAsiaTheme="minorEastAsia"/>
          <w:sz w:val="24"/>
        </w:rPr>
      </w:pPr>
      <w:r>
        <w:rPr>
          <w:rFonts w:hint="eastAsia" w:asciiTheme="minorEastAsia" w:hAnsiTheme="minorEastAsia" w:eastAsiaTheme="minorEastAsia"/>
          <w:sz w:val="24"/>
        </w:rPr>
        <w:t>节能设计表内容应与节能评估报告及计算书内容保持一致。</w:t>
      </w:r>
    </w:p>
    <w:p>
      <w:pPr>
        <w:pStyle w:val="271"/>
        <w:numPr>
          <w:ilvl w:val="0"/>
          <w:numId w:val="63"/>
        </w:numPr>
        <w:spacing w:line="360" w:lineRule="auto"/>
        <w:ind w:left="780" w:hanging="420" w:firstLineChars="0"/>
        <w:rPr>
          <w:rFonts w:asciiTheme="minorEastAsia" w:hAnsiTheme="minorEastAsia" w:eastAsiaTheme="minorEastAsia"/>
          <w:sz w:val="24"/>
        </w:rPr>
      </w:pPr>
      <w:r>
        <w:rPr>
          <w:rFonts w:hint="eastAsia" w:asciiTheme="minorEastAsia" w:hAnsiTheme="minorEastAsia" w:eastAsiaTheme="minorEastAsia"/>
          <w:sz w:val="24"/>
        </w:rPr>
        <w:t>居住建筑涉及底层商业服务网点和公建配套部分建筑总面积大于300m2时按照公共建筑节能设计标准执行。</w:t>
      </w:r>
    </w:p>
    <w:p>
      <w:pPr>
        <w:pStyle w:val="271"/>
        <w:numPr>
          <w:ilvl w:val="0"/>
          <w:numId w:val="63"/>
        </w:numPr>
        <w:spacing w:line="360" w:lineRule="auto"/>
        <w:ind w:left="780" w:hanging="420" w:firstLineChars="0"/>
        <w:rPr>
          <w:rFonts w:asciiTheme="minorEastAsia" w:hAnsiTheme="minorEastAsia" w:eastAsiaTheme="minorEastAsia"/>
          <w:sz w:val="24"/>
        </w:rPr>
      </w:pPr>
      <w:r>
        <w:rPr>
          <w:rFonts w:hint="eastAsia" w:asciiTheme="minorEastAsia" w:hAnsiTheme="minorEastAsia" w:eastAsiaTheme="minorEastAsia"/>
          <w:sz w:val="24"/>
        </w:rPr>
        <w:t>保温材料热工参数应按国家和地方相关标准规定取值。</w:t>
      </w:r>
    </w:p>
    <w:p>
      <w:pPr>
        <w:pStyle w:val="271"/>
        <w:numPr>
          <w:ilvl w:val="0"/>
          <w:numId w:val="63"/>
        </w:numPr>
        <w:spacing w:line="360" w:lineRule="auto"/>
        <w:ind w:left="780" w:hanging="420" w:firstLineChars="0"/>
        <w:rPr>
          <w:rFonts w:asciiTheme="minorEastAsia" w:hAnsiTheme="minorEastAsia" w:eastAsiaTheme="minorEastAsia"/>
          <w:sz w:val="24"/>
        </w:rPr>
      </w:pPr>
      <w:r>
        <w:rPr>
          <w:rFonts w:hint="eastAsia" w:asciiTheme="minorEastAsia" w:hAnsiTheme="minorEastAsia" w:eastAsiaTheme="minorEastAsia"/>
          <w:sz w:val="24"/>
        </w:rPr>
        <w:t>建筑节能材料和设备应符合《浙江省建设领域推广应用技术公告》和《浙江省建设领域淘汰和限制使用技术公告》的规定要求。</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2. 项目选用保温形式、建筑节能材料及热工参数参考依据：</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 xml:space="preserve">   可从项目节能计算书中提取相关数据，但必须注明参数来源或依据；并与图纸相关内容一致。</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3. 项目选用外门窗、透光幕墙热工参数参考依据：</w:t>
      </w:r>
    </w:p>
    <w:p>
      <w:pPr>
        <w:spacing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rPr>
        <w:t>可从项目节能计算书中提取相关数据，但必须注明参数来源或依据；并与图纸相关内容一致。</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4. 项目主要围护结构保温构造做法（分层描述、或节点详图、或图集索引等）：</w:t>
      </w:r>
    </w:p>
    <w:p>
      <w:pPr>
        <w:spacing w:line="360" w:lineRule="auto"/>
        <w:ind w:firstLine="240" w:firstLineChars="100"/>
        <w:rPr>
          <w:rFonts w:asciiTheme="minorEastAsia" w:hAnsiTheme="minorEastAsia" w:eastAsiaTheme="minorEastAsia"/>
          <w:sz w:val="24"/>
        </w:rPr>
        <w:sectPr>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sz w:val="24"/>
        </w:rPr>
        <w:t>应按设计选用的保温节能构造形式，分层描述；提供相关部位或重点部位的节点详图，也可注明选用的标准图集名称与详图索引；</w:t>
      </w:r>
    </w:p>
    <w:p>
      <w:pPr>
        <w:pStyle w:val="4"/>
        <w:jc w:val="center"/>
      </w:pPr>
      <w:bookmarkStart w:id="33" w:name="_Toc113028986"/>
      <w:bookmarkStart w:id="34" w:name="_Toc109325936"/>
      <w:r>
        <w:t>3</w:t>
      </w:r>
      <w:r>
        <w:rPr>
          <w:rFonts w:hint="eastAsia"/>
        </w:rPr>
        <w:t>.</w:t>
      </w:r>
      <w:r>
        <w:t>3</w:t>
      </w:r>
      <w:r>
        <w:rPr>
          <w:rFonts w:hint="eastAsia"/>
        </w:rPr>
        <w:t xml:space="preserve"> 结构专业填写说明</w:t>
      </w:r>
      <w:bookmarkEnd w:id="33"/>
      <w:bookmarkEnd w:id="34"/>
    </w:p>
    <w:p>
      <w:pPr>
        <w:spacing w:line="360" w:lineRule="auto"/>
        <w:ind w:firstLine="420"/>
        <w:rPr>
          <w:rFonts w:asciiTheme="minorEastAsia" w:hAnsiTheme="minorEastAsia" w:eastAsiaTheme="minorEastAsia"/>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一、结构主要设计依据: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项应包括项目进行建筑绿色与节能设计时所遵循的主要设计依据。包括法律法规、政策文件及现行国家与地方的标准、规范；还包括项目已取得的节能审查意见书及其附件：节能评估报告书（表）和专家评审意见；</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二、结构</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jc w:val="left"/>
        <w:rPr>
          <w:rFonts w:ascii="Times New Roman" w:cs="宋体"/>
          <w:color w:val="000000"/>
          <w:kern w:val="0"/>
          <w:sz w:val="24"/>
        </w:rPr>
      </w:pPr>
      <w:r>
        <w:rPr>
          <w:rFonts w:ascii="Times New Roman" w:cs="宋体"/>
          <w:color w:val="000000"/>
          <w:kern w:val="0"/>
          <w:sz w:val="24"/>
        </w:rPr>
        <w:t>1</w:t>
      </w:r>
      <w:r>
        <w:rPr>
          <w:rFonts w:hint="eastAsia" w:ascii="Times New Roman" w:cs="宋体"/>
          <w:color w:val="000000"/>
          <w:kern w:val="0"/>
          <w:sz w:val="24"/>
        </w:rPr>
        <w:t>、</w:t>
      </w:r>
      <w:r>
        <w:rPr>
          <w:rFonts w:ascii="Times New Roman" w:cs="宋体"/>
          <w:color w:val="000000"/>
          <w:kern w:val="0"/>
          <w:sz w:val="24"/>
        </w:rPr>
        <w:t>为方便设计人员</w:t>
      </w:r>
      <w:r>
        <w:rPr>
          <w:rFonts w:hint="eastAsia" w:ascii="Times New Roman" w:cs="宋体"/>
          <w:color w:val="000000"/>
          <w:kern w:val="0"/>
          <w:sz w:val="24"/>
        </w:rPr>
        <w:t>更准确</w:t>
      </w:r>
      <w:r>
        <w:rPr>
          <w:rFonts w:ascii="Times New Roman" w:cs="宋体"/>
          <w:color w:val="000000"/>
          <w:kern w:val="0"/>
          <w:sz w:val="24"/>
        </w:rPr>
        <w:t>理解</w:t>
      </w:r>
      <w:r>
        <w:rPr>
          <w:rFonts w:hint="eastAsia" w:ascii="Times New Roman" w:cs="宋体"/>
          <w:color w:val="000000"/>
          <w:kern w:val="0"/>
          <w:sz w:val="24"/>
        </w:rPr>
        <w:t>专篇的填写目的与要求，本说明对专篇中列入的每项条款均以表格形式进行了说明。填写说明主要包含三部分内容，分别为：条文来源、依据材料、备注。其中：“条文来源”主要注明条款依据浙江省《绿色建筑设计标准》 DB33/1092-2021（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“DB33/1092-20</w:t>
      </w:r>
      <w:r>
        <w:rPr>
          <w:rFonts w:ascii="Times New Roman" w:cs="宋体"/>
          <w:color w:val="000000"/>
          <w:kern w:val="0"/>
          <w:sz w:val="24"/>
        </w:rPr>
        <w:t>21</w:t>
      </w:r>
      <w:r>
        <w:rPr>
          <w:rFonts w:hint="eastAsia" w:ascii="Times New Roman" w:cs="宋体"/>
          <w:color w:val="000000"/>
          <w:kern w:val="0"/>
          <w:sz w:val="24"/>
        </w:rPr>
        <w:t>”）、浙江省《装配式建筑评价标准》DB33/T1165-2019（</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“DB33/T1165-2019”）、国家标准《绿色建筑评价标准》GB/T50378-2019（</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“GB/T50378-2019”）、国家标准《装配式建筑评价标准》GB/T51129-2017（</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“GB/T51129-2017”）的出处与条文编号；“依据材料”是明确</w:t>
      </w:r>
      <w:r>
        <w:rPr>
          <w:rFonts w:ascii="Times New Roman" w:cs="宋体"/>
          <w:color w:val="000000"/>
          <w:kern w:val="0"/>
          <w:sz w:val="24"/>
        </w:rPr>
        <w:t>设计人员</w:t>
      </w:r>
      <w:r>
        <w:rPr>
          <w:rFonts w:hint="eastAsia" w:ascii="Times New Roman" w:cs="宋体"/>
          <w:color w:val="000000"/>
          <w:kern w:val="0"/>
          <w:sz w:val="24"/>
        </w:rPr>
        <w:t>填写各条款时，所</w:t>
      </w:r>
      <w:r>
        <w:rPr>
          <w:rFonts w:ascii="Times New Roman" w:cs="宋体"/>
          <w:color w:val="000000"/>
          <w:kern w:val="0"/>
          <w:sz w:val="24"/>
        </w:rPr>
        <w:t>依据</w:t>
      </w:r>
      <w:r>
        <w:rPr>
          <w:rFonts w:hint="eastAsia" w:ascii="Times New Roman" w:cs="宋体"/>
          <w:color w:val="000000"/>
          <w:kern w:val="0"/>
          <w:sz w:val="24"/>
        </w:rPr>
        <w:t>的相应</w:t>
      </w:r>
      <w:r>
        <w:rPr>
          <w:rFonts w:ascii="Times New Roman" w:cs="宋体"/>
          <w:color w:val="000000"/>
          <w:kern w:val="0"/>
          <w:sz w:val="24"/>
        </w:rPr>
        <w:t>基础资料</w:t>
      </w:r>
      <w:r>
        <w:rPr>
          <w:rFonts w:hint="eastAsia" w:ascii="Times New Roman" w:cs="宋体"/>
          <w:color w:val="000000"/>
          <w:kern w:val="0"/>
          <w:sz w:val="24"/>
        </w:rPr>
        <w:t>、设计文件等相关内容；“备注”是对条款填写中需要注意与重点核查的内容进行详细说明，或对相关条文进行解释和补充。</w:t>
      </w:r>
    </w:p>
    <w:p>
      <w:pPr>
        <w:pStyle w:val="17"/>
        <w:spacing w:line="360" w:lineRule="auto"/>
        <w:ind w:firstLine="42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◇条款说明</w:t>
      </w:r>
    </w:p>
    <w:p>
      <w:pPr>
        <w:pStyle w:val="17"/>
        <w:spacing w:line="360" w:lineRule="auto"/>
        <w:ind w:firstLine="482"/>
        <w:rPr>
          <w:rFonts w:asciiTheme="minorEastAsia" w:hAnsiTheme="minorEastAsia" w:eastAsiaTheme="minorEastAsia"/>
          <w:sz w:val="24"/>
        </w:rPr>
      </w:pPr>
      <w:r>
        <w:rPr>
          <w:rFonts w:hint="eastAsia" w:asciiTheme="minorEastAsia" w:hAnsiTheme="minorEastAsia" w:eastAsiaTheme="minorEastAsia"/>
          <w:b/>
          <w:sz w:val="24"/>
          <w:lang w:val="en-GB"/>
        </w:rPr>
        <w:t>控制项内容：</w:t>
      </w:r>
      <w:r>
        <w:rPr>
          <w:rFonts w:hint="eastAsia" w:asciiTheme="minorEastAsia" w:hAnsiTheme="minorEastAsia" w:eastAsiaTheme="minorEastAsia"/>
          <w:sz w:val="24"/>
        </w:rPr>
        <w:t>本栏为GB/T 50378-201</w:t>
      </w:r>
      <w:r>
        <w:rPr>
          <w:rFonts w:asciiTheme="minorEastAsia" w:hAnsiTheme="minorEastAsia" w:eastAsiaTheme="minorEastAsia"/>
          <w:sz w:val="24"/>
        </w:rPr>
        <w:t>9</w:t>
      </w:r>
      <w:r>
        <w:rPr>
          <w:rFonts w:hint="eastAsia" w:asciiTheme="minorEastAsia" w:hAnsiTheme="minorEastAsia" w:eastAsiaTheme="minorEastAsia"/>
          <w:sz w:val="24"/>
        </w:rPr>
        <w:t>中的控制项要求和</w:t>
      </w:r>
      <w:r>
        <w:rPr>
          <w:rFonts w:asciiTheme="minorEastAsia" w:hAnsiTheme="minorEastAsia" w:eastAsiaTheme="minorEastAsia"/>
          <w:sz w:val="24"/>
        </w:rPr>
        <w:t>浙江省《</w:t>
      </w:r>
      <w:r>
        <w:rPr>
          <w:rFonts w:hint="eastAsia" w:asciiTheme="minorEastAsia" w:hAnsiTheme="minorEastAsia" w:eastAsiaTheme="minorEastAsia"/>
          <w:sz w:val="24"/>
        </w:rPr>
        <w:t>绿色</w:t>
      </w:r>
      <w:r>
        <w:rPr>
          <w:rFonts w:asciiTheme="minorEastAsia" w:hAnsiTheme="minorEastAsia" w:eastAsiaTheme="minorEastAsia"/>
          <w:sz w:val="24"/>
        </w:rPr>
        <w:t>建筑条例》</w:t>
      </w:r>
      <w:r>
        <w:rPr>
          <w:rFonts w:hint="eastAsia" w:asciiTheme="minorEastAsia" w:hAnsiTheme="minorEastAsia" w:eastAsiaTheme="minorEastAsia"/>
          <w:sz w:val="24"/>
        </w:rPr>
        <w:t>要求</w:t>
      </w:r>
      <w:r>
        <w:rPr>
          <w:rFonts w:asciiTheme="minorEastAsia" w:hAnsiTheme="minorEastAsia" w:eastAsiaTheme="minorEastAsia"/>
          <w:sz w:val="24"/>
        </w:rPr>
        <w:t>，</w:t>
      </w:r>
      <w:r>
        <w:rPr>
          <w:rFonts w:hint="eastAsia" w:asciiTheme="minorEastAsia" w:hAnsiTheme="minorEastAsia" w:eastAsiaTheme="minorEastAsia"/>
          <w:sz w:val="24"/>
        </w:rPr>
        <w:t>是绿色建筑设计的强制性控制内容，必须逐条满足。</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1、</w:t>
      </w:r>
      <w:r>
        <w:rPr>
          <w:rFonts w:hint="eastAsia" w:asciiTheme="minorEastAsia" w:hAnsiTheme="minorEastAsia" w:eastAsiaTheme="minorEastAsia"/>
          <w:sz w:val="24"/>
        </w:rPr>
        <w:t>严禁</w:t>
      </w:r>
      <w:r>
        <w:rPr>
          <w:rFonts w:asciiTheme="minorEastAsia" w:hAnsiTheme="minorEastAsia" w:eastAsiaTheme="minorEastAsia"/>
          <w:sz w:val="24"/>
        </w:rPr>
        <w:t>采用国家和</w:t>
      </w:r>
      <w:r>
        <w:rPr>
          <w:rFonts w:hint="eastAsia" w:asciiTheme="minorEastAsia" w:hAnsiTheme="minorEastAsia" w:eastAsiaTheme="minorEastAsia"/>
          <w:sz w:val="24"/>
        </w:rPr>
        <w:t>地方明令</w:t>
      </w:r>
      <w:r>
        <w:rPr>
          <w:rFonts w:asciiTheme="minorEastAsia" w:hAnsiTheme="minorEastAsia" w:eastAsiaTheme="minorEastAsia"/>
          <w:sz w:val="24"/>
        </w:rPr>
        <w:t>禁止使用或淘汰的材料</w:t>
      </w:r>
      <w:r>
        <w:rPr>
          <w:rFonts w:hint="eastAsia" w:asciiTheme="minorEastAsia" w:hAnsiTheme="minorEastAsia" w:eastAsiaTheme="minorEastAsia"/>
          <w:sz w:val="24"/>
        </w:rPr>
        <w:t>和产</w:t>
      </w:r>
      <w:r>
        <w:rPr>
          <w:rFonts w:asciiTheme="minorEastAsia" w:hAnsiTheme="minorEastAsia" w:eastAsiaTheme="minorEastAsia"/>
          <w:sz w:val="24"/>
        </w:rPr>
        <w:t>品</w:t>
      </w:r>
      <w:r>
        <w:rPr>
          <w:rFonts w:hint="eastAsia" w:asciiTheme="minorEastAsia" w:hAnsiTheme="minorEastAsia" w:eastAsiaTheme="minorEastAsia"/>
          <w:sz w:val="24"/>
          <w:lang w:val="en-GB"/>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43"/>
        <w:gridCol w:w="2647"/>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tcPr>
          <w:p>
            <w:pPr>
              <w:pStyle w:val="84"/>
              <w:spacing w:line="360" w:lineRule="auto"/>
              <w:rPr>
                <w:sz w:val="24"/>
              </w:rPr>
            </w:pPr>
            <w:r>
              <w:rPr>
                <w:rFonts w:hint="eastAsia"/>
                <w:sz w:val="24"/>
              </w:rPr>
              <w:t>条文来源</w:t>
            </w:r>
          </w:p>
        </w:tc>
        <w:tc>
          <w:tcPr>
            <w:tcW w:w="1843"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6.1.8.1条</w:t>
            </w:r>
          </w:p>
        </w:tc>
        <w:tc>
          <w:tcPr>
            <w:tcW w:w="3590"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设计人员应对照项目设计文件，根据项目实际选材情况填写本条内容。</w:t>
            </w:r>
          </w:p>
          <w:p>
            <w:pPr>
              <w:pStyle w:val="84"/>
              <w:spacing w:line="360" w:lineRule="auto"/>
              <w:ind w:firstLine="480" w:firstLineChars="200"/>
              <w:jc w:val="left"/>
              <w:rPr>
                <w:sz w:val="24"/>
              </w:rPr>
            </w:pPr>
            <w:r>
              <w:rPr>
                <w:rFonts w:hint="eastAsia"/>
                <w:sz w:val="24"/>
              </w:rPr>
              <w:t>设计人员在具体判断时，可查阅国家和浙江省向社会公布的限制、禁止使用的建材及制品目录。</w:t>
            </w:r>
          </w:p>
          <w:p>
            <w:pPr>
              <w:pStyle w:val="84"/>
              <w:spacing w:line="360" w:lineRule="auto"/>
              <w:ind w:firstLine="480" w:firstLineChars="200"/>
              <w:jc w:val="left"/>
              <w:rPr>
                <w:sz w:val="24"/>
              </w:rPr>
            </w:pPr>
            <w:r>
              <w:rPr>
                <w:rFonts w:hint="eastAsia"/>
                <w:sz w:val="24"/>
              </w:rPr>
              <w:t>此条款为DB33/1092-2021一般规定，必须达标。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GB/T50378-2019未涉及本条款内容。</w:t>
            </w:r>
          </w:p>
        </w:tc>
      </w:tr>
    </w:tbl>
    <w:p>
      <w:pPr>
        <w:pStyle w:val="17"/>
        <w:spacing w:line="360" w:lineRule="auto"/>
        <w:ind w:firstLine="360"/>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2、混凝土结构中梁、柱、剪力墙等构件的受力普通钢筋采用不低于400MPa级的热扎带肋钢筋；</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7.2.15.1-1）条</w:t>
            </w:r>
          </w:p>
        </w:tc>
        <w:tc>
          <w:tcPr>
            <w:tcW w:w="3448" w:type="dxa"/>
          </w:tcPr>
          <w:p>
            <w:pPr>
              <w:pStyle w:val="84"/>
              <w:spacing w:line="360" w:lineRule="auto"/>
              <w:rPr>
                <w:sz w:val="24"/>
              </w:rPr>
            </w:pPr>
            <w:r>
              <w:rPr>
                <w:rFonts w:hint="eastAsia"/>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6.1.8.4条</w:t>
            </w:r>
          </w:p>
        </w:tc>
        <w:tc>
          <w:tcPr>
            <w:tcW w:w="3448"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6.2.4.1条</w:t>
            </w:r>
          </w:p>
        </w:tc>
        <w:tc>
          <w:tcPr>
            <w:tcW w:w="3448"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设计人员应对照项目设计文件，根据项目实际选用钢筋情况填写本条内容。</w:t>
            </w:r>
          </w:p>
          <w:p>
            <w:pPr>
              <w:pStyle w:val="84"/>
              <w:spacing w:line="360" w:lineRule="auto"/>
              <w:ind w:firstLine="480" w:firstLineChars="200"/>
              <w:jc w:val="left"/>
              <w:rPr>
                <w:sz w:val="24"/>
              </w:rPr>
            </w:pPr>
            <w:r>
              <w:rPr>
                <w:rFonts w:hint="eastAsia"/>
                <w:sz w:val="24"/>
              </w:rPr>
              <w:t xml:space="preserve">此条款为DB33/1092-2021一般规定，必须达标。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GB/T50378-2019未将本条内容列入控制项，对高强钢筋的用量只提出具体的用量比例要求，作为评分项列入第7.2.15条之1-1）款，此项要求在DB33/1092-2021放在第6.2.4条第1款中体现。</w:t>
            </w:r>
          </w:p>
        </w:tc>
      </w:tr>
    </w:tbl>
    <w:p>
      <w:pPr>
        <w:pStyle w:val="17"/>
        <w:spacing w:line="360" w:lineRule="auto"/>
        <w:ind w:firstLine="360"/>
        <w:rPr>
          <w:rFonts w:asciiTheme="minorEastAsia" w:hAnsiTheme="minorEastAsia" w:eastAsiaTheme="minorEastAsia"/>
          <w:sz w:val="24"/>
          <w:lang w:val="en-GB"/>
        </w:rPr>
      </w:pPr>
    </w:p>
    <w:p>
      <w:pPr>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3、</w:t>
      </w:r>
      <w:r>
        <w:rPr>
          <w:rFonts w:asciiTheme="minorEastAsia" w:hAnsiTheme="minorEastAsia" w:eastAsiaTheme="minorEastAsia"/>
          <w:sz w:val="24"/>
        </w:rPr>
        <w:t>选择建设场地时，应满足现行国家标准《建筑抗震设计规范》GB50011的相关要求</w:t>
      </w:r>
      <w:r>
        <w:rPr>
          <w:rFonts w:hint="eastAsia" w:asciiTheme="minorEastAsia" w:hAnsiTheme="minorEastAsia" w:eastAsiaTheme="minorEastAsia"/>
          <w:sz w:val="24"/>
          <w:lang w:val="en-GB"/>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1938"/>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552" w:type="dxa"/>
          </w:tcPr>
          <w:p>
            <w:pPr>
              <w:pStyle w:val="84"/>
              <w:spacing w:line="360" w:lineRule="auto"/>
              <w:rPr>
                <w:sz w:val="24"/>
              </w:rPr>
            </w:pPr>
            <w:r>
              <w:rPr>
                <w:rFonts w:hint="eastAsia"/>
                <w:sz w:val="24"/>
              </w:rPr>
              <w:t>GB/T 50378-2019</w:t>
            </w:r>
          </w:p>
        </w:tc>
        <w:tc>
          <w:tcPr>
            <w:tcW w:w="1938" w:type="dxa"/>
          </w:tcPr>
          <w:p>
            <w:pPr>
              <w:pStyle w:val="84"/>
              <w:spacing w:line="360" w:lineRule="auto"/>
              <w:rPr>
                <w:sz w:val="24"/>
              </w:rPr>
            </w:pPr>
            <w:r>
              <w:rPr>
                <w:rFonts w:hint="eastAsia"/>
                <w:sz w:val="24"/>
              </w:rPr>
              <w:t>4.1.1条</w:t>
            </w:r>
          </w:p>
        </w:tc>
        <w:tc>
          <w:tcPr>
            <w:tcW w:w="3590" w:type="dxa"/>
          </w:tcPr>
          <w:p>
            <w:pPr>
              <w:pStyle w:val="84"/>
              <w:spacing w:line="360" w:lineRule="auto"/>
              <w:rPr>
                <w:sz w:val="24"/>
              </w:rPr>
            </w:pPr>
            <w:r>
              <w:rPr>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552" w:type="dxa"/>
          </w:tcPr>
          <w:p>
            <w:pPr>
              <w:pStyle w:val="84"/>
              <w:spacing w:line="360" w:lineRule="auto"/>
              <w:rPr>
                <w:sz w:val="24"/>
              </w:rPr>
            </w:pPr>
            <w:r>
              <w:rPr>
                <w:rFonts w:hint="eastAsia"/>
                <w:sz w:val="24"/>
              </w:rPr>
              <w:t>DB33/1092-2021</w:t>
            </w:r>
          </w:p>
        </w:tc>
        <w:tc>
          <w:tcPr>
            <w:tcW w:w="1938" w:type="dxa"/>
          </w:tcPr>
          <w:p>
            <w:pPr>
              <w:pStyle w:val="84"/>
              <w:spacing w:line="360" w:lineRule="auto"/>
              <w:rPr>
                <w:sz w:val="24"/>
              </w:rPr>
            </w:pPr>
            <w:r>
              <w:rPr>
                <w:rFonts w:hint="eastAsia"/>
                <w:sz w:val="24"/>
              </w:rPr>
              <w:t>6.1.2条</w:t>
            </w:r>
          </w:p>
        </w:tc>
        <w:tc>
          <w:tcPr>
            <w:tcW w:w="3590"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sz w:val="24"/>
              </w:rPr>
              <w:t>设计人员应对照国家标准《建筑抗震设计规范》GB50011的相关要求</w:t>
            </w:r>
            <w:r>
              <w:rPr>
                <w:rFonts w:hint="eastAsia"/>
                <w:sz w:val="24"/>
              </w:rPr>
              <w:t>，</w:t>
            </w:r>
            <w:r>
              <w:rPr>
                <w:sz w:val="24"/>
              </w:rPr>
              <w:t>依据项目区位图</w:t>
            </w:r>
            <w:r>
              <w:rPr>
                <w:rFonts w:hint="eastAsia"/>
                <w:sz w:val="24"/>
              </w:rPr>
              <w:t>、</w:t>
            </w:r>
            <w:r>
              <w:rPr>
                <w:sz w:val="24"/>
              </w:rPr>
              <w:t>场地地形图</w:t>
            </w:r>
            <w:r>
              <w:rPr>
                <w:rFonts w:hint="eastAsia"/>
                <w:sz w:val="24"/>
              </w:rPr>
              <w:t>、</w:t>
            </w:r>
            <w:r>
              <w:rPr>
                <w:sz w:val="24"/>
              </w:rPr>
              <w:t>工程地质勘察报告</w:t>
            </w:r>
            <w:r>
              <w:rPr>
                <w:rFonts w:hint="eastAsia"/>
                <w:sz w:val="24"/>
              </w:rPr>
              <w:t>、</w:t>
            </w:r>
            <w:r>
              <w:rPr>
                <w:sz w:val="24"/>
              </w:rPr>
              <w:t>环评报告</w:t>
            </w:r>
            <w:r>
              <w:rPr>
                <w:rFonts w:hint="eastAsia"/>
                <w:sz w:val="24"/>
              </w:rPr>
              <w:t>、</w:t>
            </w:r>
            <w:r>
              <w:rPr>
                <w:sz w:val="24"/>
              </w:rPr>
              <w:t>相关检测报告或论证报告等</w:t>
            </w:r>
            <w:r>
              <w:rPr>
                <w:rFonts w:hint="eastAsia"/>
                <w:sz w:val="24"/>
              </w:rPr>
              <w:t>，评估项目选址的合理性。</w:t>
            </w:r>
          </w:p>
          <w:p>
            <w:pPr>
              <w:pStyle w:val="84"/>
              <w:spacing w:line="360" w:lineRule="auto"/>
              <w:jc w:val="left"/>
              <w:rPr>
                <w:sz w:val="24"/>
              </w:rPr>
            </w:pPr>
            <w:r>
              <w:rPr>
                <w:rFonts w:hint="eastAsia"/>
                <w:sz w:val="24"/>
              </w:rPr>
              <w:t>此条款为GB/T 50378-2019控制项、DB33/1092-2021一般规定，必须达标。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GB/T50378-2019第4.1.1条还涉及对于场地的危险化学品、易燃易爆危险源、电磁辐射、含氡土壤等要求，就结构专业而言，项目选址的合理性执行</w:t>
            </w:r>
            <w:r>
              <w:rPr>
                <w:sz w:val="24"/>
              </w:rPr>
              <w:t>国家标准《建筑抗震设计规范》GB50011的相关要求</w:t>
            </w:r>
            <w:r>
              <w:rPr>
                <w:rFonts w:hint="eastAsia"/>
                <w:sz w:val="24"/>
              </w:rPr>
              <w:t>。</w:t>
            </w:r>
          </w:p>
        </w:tc>
      </w:tr>
    </w:tbl>
    <w:p>
      <w:pPr>
        <w:spacing w:line="360" w:lineRule="auto"/>
        <w:ind w:firstLine="360"/>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4、</w:t>
      </w:r>
      <w:r>
        <w:rPr>
          <w:rFonts w:hint="eastAsia" w:asciiTheme="minorEastAsia" w:hAnsiTheme="minorEastAsia" w:eastAsiaTheme="minorEastAsia"/>
          <w:sz w:val="24"/>
        </w:rPr>
        <w:t>建筑结构应满足承载力、变形和建筑使用功能的要求，结构构件的耐久性应满足相应设计使用年限的要求；</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222"/>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268" w:type="dxa"/>
          </w:tcPr>
          <w:p>
            <w:pPr>
              <w:pStyle w:val="84"/>
              <w:spacing w:line="360" w:lineRule="auto"/>
              <w:rPr>
                <w:sz w:val="24"/>
              </w:rPr>
            </w:pPr>
            <w:r>
              <w:rPr>
                <w:rFonts w:hint="eastAsia"/>
                <w:sz w:val="24"/>
              </w:rPr>
              <w:t>GB/T 50378-2019</w:t>
            </w:r>
          </w:p>
        </w:tc>
        <w:tc>
          <w:tcPr>
            <w:tcW w:w="2222" w:type="dxa"/>
          </w:tcPr>
          <w:p>
            <w:pPr>
              <w:pStyle w:val="84"/>
              <w:spacing w:line="360" w:lineRule="auto"/>
              <w:rPr>
                <w:sz w:val="24"/>
              </w:rPr>
            </w:pPr>
            <w:r>
              <w:rPr>
                <w:rFonts w:hint="eastAsia"/>
                <w:sz w:val="24"/>
              </w:rPr>
              <w:t>4.1.2条</w:t>
            </w:r>
          </w:p>
        </w:tc>
        <w:tc>
          <w:tcPr>
            <w:tcW w:w="3590" w:type="dxa"/>
          </w:tcPr>
          <w:p>
            <w:pPr>
              <w:pStyle w:val="84"/>
              <w:spacing w:line="360" w:lineRule="auto"/>
              <w:rPr>
                <w:sz w:val="24"/>
              </w:rPr>
            </w:pPr>
            <w:r>
              <w:rPr>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268" w:type="dxa"/>
          </w:tcPr>
          <w:p>
            <w:pPr>
              <w:pStyle w:val="84"/>
              <w:spacing w:line="360" w:lineRule="auto"/>
              <w:rPr>
                <w:sz w:val="24"/>
              </w:rPr>
            </w:pPr>
            <w:r>
              <w:rPr>
                <w:rFonts w:hint="eastAsia"/>
                <w:sz w:val="24"/>
              </w:rPr>
              <w:t>DB33/1092-2021</w:t>
            </w:r>
          </w:p>
        </w:tc>
        <w:tc>
          <w:tcPr>
            <w:tcW w:w="2222" w:type="dxa"/>
          </w:tcPr>
          <w:p>
            <w:pPr>
              <w:pStyle w:val="84"/>
              <w:spacing w:line="360" w:lineRule="auto"/>
              <w:rPr>
                <w:sz w:val="24"/>
              </w:rPr>
            </w:pPr>
            <w:r>
              <w:rPr>
                <w:rFonts w:hint="eastAsia"/>
                <w:sz w:val="24"/>
              </w:rPr>
              <w:t>6.1.3条</w:t>
            </w:r>
          </w:p>
        </w:tc>
        <w:tc>
          <w:tcPr>
            <w:tcW w:w="3590"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sz w:val="24"/>
              </w:rPr>
              <w:t>设计人员应依据项目设计文件</w:t>
            </w:r>
            <w:r>
              <w:rPr>
                <w:rFonts w:hint="eastAsia"/>
                <w:sz w:val="24"/>
              </w:rPr>
              <w:t>（包括设计说明、计算书、施工图等），对照相关国家和地方现行标准的要求填写本条内容。</w:t>
            </w:r>
          </w:p>
          <w:p>
            <w:pPr>
              <w:pStyle w:val="84"/>
              <w:spacing w:line="360" w:lineRule="auto"/>
              <w:ind w:firstLine="480" w:firstLineChars="200"/>
              <w:jc w:val="left"/>
              <w:rPr>
                <w:sz w:val="24"/>
              </w:rPr>
            </w:pPr>
            <w:r>
              <w:rPr>
                <w:rFonts w:hint="eastAsia"/>
                <w:sz w:val="24"/>
              </w:rPr>
              <w:t>此条款为GB/T 50378-2019控制项、DB33/1092-2021一般规定，必须达标。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GB/T50378-2019第4.1.2条还涉及结构专业以外的其它内容，结构专业可从承载力、变形、使用功能、耐久性四个维度对设计项目进行综合评判。</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5、</w:t>
      </w:r>
      <w:r>
        <w:rPr>
          <w:rFonts w:hint="eastAsia" w:asciiTheme="minorEastAsia" w:hAnsiTheme="minorEastAsia" w:eastAsiaTheme="minorEastAsia"/>
          <w:sz w:val="24"/>
        </w:rPr>
        <w:t>非结构构件与建筑结构应牢固连接，并能适应主体结构变形；</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410" w:type="dxa"/>
          </w:tcPr>
          <w:p>
            <w:pPr>
              <w:pStyle w:val="84"/>
              <w:spacing w:line="360" w:lineRule="auto"/>
              <w:rPr>
                <w:sz w:val="24"/>
              </w:rPr>
            </w:pPr>
            <w:r>
              <w:rPr>
                <w:rFonts w:hint="eastAsia"/>
                <w:sz w:val="24"/>
              </w:rPr>
              <w:t>GB/T 50378-2019</w:t>
            </w:r>
          </w:p>
        </w:tc>
        <w:tc>
          <w:tcPr>
            <w:tcW w:w="2080" w:type="dxa"/>
          </w:tcPr>
          <w:p>
            <w:pPr>
              <w:pStyle w:val="84"/>
              <w:spacing w:line="360" w:lineRule="auto"/>
              <w:rPr>
                <w:sz w:val="24"/>
              </w:rPr>
            </w:pPr>
            <w:r>
              <w:rPr>
                <w:rFonts w:hint="eastAsia"/>
                <w:sz w:val="24"/>
              </w:rPr>
              <w:t>4.1.4条</w:t>
            </w:r>
          </w:p>
        </w:tc>
        <w:tc>
          <w:tcPr>
            <w:tcW w:w="3590" w:type="dxa"/>
          </w:tcPr>
          <w:p>
            <w:pPr>
              <w:pStyle w:val="84"/>
              <w:spacing w:line="360" w:lineRule="auto"/>
              <w:rPr>
                <w:sz w:val="24"/>
              </w:rPr>
            </w:pPr>
            <w:r>
              <w:rPr>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410" w:type="dxa"/>
          </w:tcPr>
          <w:p>
            <w:pPr>
              <w:pStyle w:val="84"/>
              <w:spacing w:line="360" w:lineRule="auto"/>
              <w:rPr>
                <w:sz w:val="24"/>
              </w:rPr>
            </w:pPr>
            <w:r>
              <w:rPr>
                <w:rFonts w:hint="eastAsia"/>
                <w:sz w:val="24"/>
              </w:rPr>
              <w:t>DB33/1092-2021</w:t>
            </w:r>
          </w:p>
        </w:tc>
        <w:tc>
          <w:tcPr>
            <w:tcW w:w="2080" w:type="dxa"/>
          </w:tcPr>
          <w:p>
            <w:pPr>
              <w:pStyle w:val="84"/>
              <w:spacing w:line="360" w:lineRule="auto"/>
              <w:rPr>
                <w:sz w:val="24"/>
              </w:rPr>
            </w:pPr>
            <w:r>
              <w:rPr>
                <w:rFonts w:hint="eastAsia"/>
                <w:sz w:val="24"/>
              </w:rPr>
              <w:t>6.1.7条</w:t>
            </w:r>
          </w:p>
        </w:tc>
        <w:tc>
          <w:tcPr>
            <w:tcW w:w="3590"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sz w:val="24"/>
              </w:rPr>
              <w:t>设计人员</w:t>
            </w:r>
            <w:r>
              <w:rPr>
                <w:rFonts w:hint="eastAsia"/>
                <w:sz w:val="24"/>
              </w:rPr>
              <w:t>根据设计总说明、各连接件、配件、预埋件的材料及力学性能要求等、关键连接构件计算书、连接节点大样图等设计文件，设备及附属实施的布置图及设计说明等的具体情况填写本条内容。</w:t>
            </w:r>
          </w:p>
          <w:p>
            <w:pPr>
              <w:pStyle w:val="84"/>
              <w:spacing w:line="360" w:lineRule="auto"/>
              <w:ind w:firstLine="480" w:firstLineChars="200"/>
              <w:jc w:val="left"/>
              <w:rPr>
                <w:sz w:val="24"/>
              </w:rPr>
            </w:pPr>
            <w:r>
              <w:rPr>
                <w:rFonts w:hint="eastAsia"/>
                <w:sz w:val="24"/>
              </w:rPr>
              <w:t>此条款为GB/T 50378-2019控制项、DB33/1092-2021一般规定，必须达标。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GB/T 50378-2019第4.1.4条对非结构构件的描述不够全面，本条要求按DB33/1092-2021进行编排。</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6、</w:t>
      </w:r>
      <w:r>
        <w:rPr>
          <w:rFonts w:asciiTheme="minorEastAsia" w:hAnsiTheme="minorEastAsia" w:eastAsiaTheme="minorEastAsia"/>
          <w:sz w:val="24"/>
        </w:rPr>
        <w:t>结构方案应满足抗震概念设计的要求，不应采用严重不规则的结构方案，对于特别不规则的结构应合理确定抗震性能目标</w:t>
      </w:r>
      <w:r>
        <w:rPr>
          <w:rFonts w:hint="eastAsia" w:asciiTheme="minorEastAsia" w:hAnsiTheme="minorEastAsia" w:eastAsiaTheme="minorEastAsia"/>
          <w:sz w:val="24"/>
        </w:rPr>
        <w:t>；</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7.1.8条</w:t>
            </w:r>
          </w:p>
        </w:tc>
        <w:tc>
          <w:tcPr>
            <w:tcW w:w="3448" w:type="dxa"/>
          </w:tcPr>
          <w:p>
            <w:pPr>
              <w:pStyle w:val="84"/>
              <w:spacing w:line="360" w:lineRule="auto"/>
              <w:rPr>
                <w:sz w:val="24"/>
              </w:rPr>
            </w:pPr>
            <w:r>
              <w:rPr>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DB33/1092-20211</w:t>
            </w:r>
          </w:p>
        </w:tc>
        <w:tc>
          <w:tcPr>
            <w:tcW w:w="2647" w:type="dxa"/>
          </w:tcPr>
          <w:p>
            <w:pPr>
              <w:pStyle w:val="84"/>
              <w:spacing w:line="360" w:lineRule="auto"/>
              <w:rPr>
                <w:sz w:val="24"/>
              </w:rPr>
            </w:pPr>
            <w:r>
              <w:rPr>
                <w:rFonts w:hint="eastAsia"/>
                <w:sz w:val="24"/>
              </w:rPr>
              <w:t>6.1.5条</w:t>
            </w:r>
          </w:p>
        </w:tc>
        <w:tc>
          <w:tcPr>
            <w:tcW w:w="3448"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设计人员应对照项目施工图，对项目实际采用的结构体系，根据现行国家标准《建筑抗震设计规范》GB50011的有关规定进行划分。结构规则性主要分为：规则、不规则、特别不规则、严重不规则四类。</w:t>
            </w:r>
          </w:p>
          <w:p>
            <w:pPr>
              <w:pStyle w:val="84"/>
              <w:spacing w:line="360" w:lineRule="auto"/>
              <w:ind w:firstLine="480" w:firstLineChars="200"/>
              <w:jc w:val="left"/>
              <w:rPr>
                <w:sz w:val="24"/>
              </w:rPr>
            </w:pPr>
            <w:r>
              <w:rPr>
                <w:rFonts w:hint="eastAsia"/>
                <w:sz w:val="24"/>
              </w:rPr>
              <w:t>此条款为GB/T 50378-2019控制项、DB33/1092-2021一般规定，必须达标。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结构方案应尽量采用平面、竖向规则的方案，满足抗震概念设计的要求。对于特别不规则的结构应合理确定抗震性能目标，不应采用严重不规则的结构方案。</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7、</w:t>
      </w:r>
      <w:r>
        <w:rPr>
          <w:rFonts w:hint="eastAsia" w:asciiTheme="minorEastAsia" w:hAnsiTheme="minorEastAsia" w:eastAsiaTheme="minorEastAsia"/>
          <w:sz w:val="24"/>
        </w:rPr>
        <w:t>500km以内生产的建筑材料重量占建筑材料总重量的比例应大于60%；</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7.1.10.1条</w:t>
            </w:r>
          </w:p>
        </w:tc>
        <w:tc>
          <w:tcPr>
            <w:tcW w:w="3448" w:type="dxa"/>
          </w:tcPr>
          <w:p>
            <w:pPr>
              <w:pStyle w:val="84"/>
              <w:spacing w:line="360" w:lineRule="auto"/>
              <w:rPr>
                <w:sz w:val="24"/>
              </w:rPr>
            </w:pPr>
            <w:r>
              <w:rPr>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 xml:space="preserve">6.1.8.2条 </w:t>
            </w:r>
          </w:p>
        </w:tc>
        <w:tc>
          <w:tcPr>
            <w:tcW w:w="3448" w:type="dxa"/>
          </w:tcPr>
          <w:p>
            <w:pPr>
              <w:pStyle w:val="84"/>
              <w:spacing w:line="360" w:lineRule="auto"/>
              <w:rPr>
                <w:sz w:val="24"/>
              </w:rPr>
            </w:pPr>
            <w:r>
              <w:rPr>
                <w:rFonts w:hint="eastAsia"/>
                <w:sz w:val="24"/>
              </w:rPr>
              <w:t xml:space="preserve">一般规定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6.3.3条</w:t>
            </w:r>
          </w:p>
        </w:tc>
        <w:tc>
          <w:tcPr>
            <w:tcW w:w="3448" w:type="dxa"/>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6.4.4条</w:t>
            </w:r>
          </w:p>
        </w:tc>
        <w:tc>
          <w:tcPr>
            <w:tcW w:w="3448"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设计阶段预评估时本条不参评。考虑到此条款为GB/T 50378-2019控制项、DB/1092-2020一般规定内容，专篇中仍予以保留，</w:t>
            </w:r>
            <w:r>
              <w:rPr>
                <w:sz w:val="24"/>
              </w:rPr>
              <w:t>设计人员在设计选材时</w:t>
            </w:r>
            <w:r>
              <w:rPr>
                <w:rFonts w:hint="eastAsia"/>
                <w:sz w:val="24"/>
              </w:rPr>
              <w:t>，</w:t>
            </w:r>
            <w:r>
              <w:rPr>
                <w:sz w:val="24"/>
              </w:rPr>
              <w:t>应调研所选择建筑结构材料的供应现状</w:t>
            </w:r>
            <w:r>
              <w:rPr>
                <w:rFonts w:hint="eastAsia"/>
                <w:sz w:val="24"/>
              </w:rPr>
              <w:t>，尽可能选择本地化建材。</w:t>
            </w:r>
          </w:p>
          <w:p>
            <w:pPr>
              <w:pStyle w:val="84"/>
              <w:spacing w:line="360" w:lineRule="auto"/>
              <w:ind w:firstLine="480" w:firstLineChars="200"/>
              <w:jc w:val="left"/>
              <w:rPr>
                <w:sz w:val="24"/>
              </w:rPr>
            </w:pPr>
            <w:r>
              <w:rPr>
                <w:rFonts w:hint="eastAsia"/>
                <w:sz w:val="24"/>
              </w:rPr>
              <w:t>此条款为GB/T 50378-2019控制项、DB33/1092-2021一般规定，必须达标。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sz w:val="24"/>
              </w:rPr>
              <w:t>鼓励选用本地化建材</w:t>
            </w:r>
            <w:r>
              <w:rPr>
                <w:rFonts w:hint="eastAsia"/>
                <w:sz w:val="24"/>
              </w:rPr>
              <w:t>，</w:t>
            </w:r>
            <w:r>
              <w:rPr>
                <w:sz w:val="24"/>
              </w:rPr>
              <w:t>是减少运输过程的资源和能源消耗</w:t>
            </w:r>
            <w:r>
              <w:rPr>
                <w:rFonts w:hint="eastAsia"/>
                <w:sz w:val="24"/>
              </w:rPr>
              <w:t>、</w:t>
            </w:r>
            <w:r>
              <w:rPr>
                <w:sz w:val="24"/>
              </w:rPr>
              <w:t>降低环境污染的重要手段</w:t>
            </w:r>
            <w:r>
              <w:rPr>
                <w:rFonts w:hint="eastAsia"/>
                <w:sz w:val="24"/>
              </w:rPr>
              <w:t>。此处的本地化建筑材料是指最后一个生产工厂或场地到施工现场的运输距离。特殊地区因客观原因无法达到者提供相关说明，本条可不参评。</w:t>
            </w:r>
          </w:p>
          <w:p>
            <w:pPr>
              <w:pStyle w:val="84"/>
              <w:spacing w:line="360" w:lineRule="auto"/>
              <w:ind w:firstLine="480" w:firstLineChars="200"/>
              <w:jc w:val="left"/>
              <w:rPr>
                <w:sz w:val="24"/>
              </w:rPr>
            </w:pPr>
            <w:r>
              <w:rPr>
                <w:rFonts w:hint="eastAsia"/>
                <w:sz w:val="24"/>
              </w:rPr>
              <w:t>DB33/1092-2021第6.3.3、6.4.4条涉及本条文的递增要求。</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8、</w:t>
      </w:r>
      <w:r>
        <w:rPr>
          <w:rFonts w:hint="eastAsia" w:asciiTheme="minorEastAsia" w:hAnsiTheme="minorEastAsia" w:eastAsiaTheme="minorEastAsia"/>
          <w:sz w:val="24"/>
        </w:rPr>
        <w:t>现浇混凝土应采用预拌混凝土，建筑砂浆应采用预拌砂浆；</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7.1.10.2条</w:t>
            </w:r>
          </w:p>
        </w:tc>
        <w:tc>
          <w:tcPr>
            <w:tcW w:w="3590" w:type="dxa"/>
          </w:tcPr>
          <w:p>
            <w:pPr>
              <w:pStyle w:val="84"/>
              <w:spacing w:line="360" w:lineRule="auto"/>
              <w:rPr>
                <w:sz w:val="24"/>
              </w:rPr>
            </w:pPr>
            <w:r>
              <w:rPr>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6.1.8.3条</w:t>
            </w:r>
          </w:p>
        </w:tc>
        <w:tc>
          <w:tcPr>
            <w:tcW w:w="3590"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设计人员应对照项目设计总说明，根据项目实际填写本条内容。</w:t>
            </w:r>
          </w:p>
          <w:p>
            <w:pPr>
              <w:pStyle w:val="84"/>
              <w:spacing w:line="360" w:lineRule="auto"/>
              <w:ind w:firstLine="480" w:firstLineChars="200"/>
              <w:jc w:val="left"/>
              <w:rPr>
                <w:sz w:val="24"/>
              </w:rPr>
            </w:pPr>
            <w:r>
              <w:rPr>
                <w:rFonts w:hint="eastAsia"/>
                <w:sz w:val="24"/>
              </w:rPr>
              <w:t>《浙江省绿色建筑条例》第三十二条要求，“民用建筑应当按照国家和省有关规定使用预拌砂浆、预拌混凝土、高强钢筋和新型墙体材料，推广应用高性能混凝土”，所以在施工图设计说明中应明确采用预拌混凝土、预拌砂浆。</w:t>
            </w:r>
          </w:p>
          <w:p>
            <w:pPr>
              <w:pStyle w:val="84"/>
              <w:spacing w:line="360" w:lineRule="auto"/>
              <w:ind w:firstLine="480" w:firstLineChars="200"/>
              <w:jc w:val="left"/>
              <w:rPr>
                <w:sz w:val="24"/>
              </w:rPr>
            </w:pPr>
            <w:r>
              <w:rPr>
                <w:rFonts w:hint="eastAsia"/>
                <w:sz w:val="24"/>
              </w:rPr>
              <w:t>此条款为GB/T 50378-2019控制项、DB33/1092-2021一般规定，必须达标。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sz w:val="24"/>
              </w:rPr>
              <w:t>与现场搅拌混凝土相比，预拌混凝土产品性能稳定，易于保证工程质量，且采用预拌混凝土能够减少施工现场噪声和粉尘污染，节约能源、资源，减少材料损耗。</w:t>
            </w:r>
          </w:p>
          <w:p>
            <w:pPr>
              <w:pStyle w:val="84"/>
              <w:spacing w:line="360" w:lineRule="auto"/>
              <w:ind w:firstLine="480" w:firstLineChars="200"/>
              <w:jc w:val="left"/>
              <w:rPr>
                <w:sz w:val="24"/>
              </w:rPr>
            </w:pPr>
            <w:r>
              <w:rPr>
                <w:sz w:val="24"/>
              </w:rPr>
              <w:t>预拌砂浆包括干拌砂浆和湿拌砂浆，由专业化工厂生产，在生产时添加各种外加剂，能保证砂浆性能且质量稳定。同时，预拌砂浆可以利用工业固体废弃物制造成人工机制砂石代替天然砂石，既可以回收利用废弃物，减少原材料消耗，又可以减少对环境的破坏。</w:t>
            </w:r>
          </w:p>
          <w:p>
            <w:pPr>
              <w:pStyle w:val="84"/>
              <w:spacing w:line="360" w:lineRule="auto"/>
              <w:ind w:firstLine="480" w:firstLineChars="200"/>
              <w:jc w:val="left"/>
              <w:rPr>
                <w:sz w:val="24"/>
              </w:rPr>
            </w:pPr>
            <w:r>
              <w:rPr>
                <w:rFonts w:hint="eastAsia"/>
                <w:sz w:val="24"/>
              </w:rPr>
              <w:t>若项目所在地无预拌混凝土或预拌砂浆采购来源者提供相关说明，本条可不参评。</w:t>
            </w:r>
          </w:p>
        </w:tc>
      </w:tr>
    </w:tbl>
    <w:p>
      <w:pPr>
        <w:spacing w:line="360" w:lineRule="auto"/>
        <w:rPr>
          <w:rFonts w:asciiTheme="minorEastAsia" w:hAnsiTheme="minorEastAsia" w:eastAsiaTheme="minorEastAsia"/>
          <w:sz w:val="24"/>
        </w:rPr>
      </w:pPr>
    </w:p>
    <w:p>
      <w:pPr>
        <w:pStyle w:val="17"/>
        <w:spacing w:line="360" w:lineRule="auto"/>
        <w:ind w:firstLine="482"/>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w:t>
      </w:r>
      <w:r>
        <w:rPr>
          <w:rFonts w:asciiTheme="minorEastAsia" w:hAnsiTheme="minorEastAsia" w:eastAsiaTheme="minorEastAsia"/>
          <w:b/>
          <w:sz w:val="24"/>
          <w:lang w:val="en-GB"/>
        </w:rPr>
        <w:t>内容：</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1、对结构体系、基础形式、结构布置及构件截面、结构材料与构件进行优化设计；</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3260"/>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restart"/>
          </w:tcPr>
          <w:p>
            <w:pPr>
              <w:pStyle w:val="84"/>
              <w:spacing w:line="360" w:lineRule="auto"/>
              <w:rPr>
                <w:sz w:val="24"/>
              </w:rPr>
            </w:pPr>
            <w:r>
              <w:rPr>
                <w:rFonts w:hint="eastAsia"/>
                <w:sz w:val="24"/>
              </w:rPr>
              <w:t>条文来源</w:t>
            </w:r>
          </w:p>
        </w:tc>
        <w:tc>
          <w:tcPr>
            <w:tcW w:w="1985" w:type="dxa"/>
            <w:vMerge w:val="restart"/>
          </w:tcPr>
          <w:p>
            <w:pPr>
              <w:pStyle w:val="84"/>
              <w:spacing w:line="360" w:lineRule="auto"/>
              <w:rPr>
                <w:sz w:val="24"/>
              </w:rPr>
            </w:pPr>
            <w:r>
              <w:rPr>
                <w:rFonts w:hint="eastAsia"/>
                <w:sz w:val="24"/>
              </w:rPr>
              <w:t>DB33/1092-2021</w:t>
            </w:r>
          </w:p>
        </w:tc>
        <w:tc>
          <w:tcPr>
            <w:tcW w:w="3260" w:type="dxa"/>
          </w:tcPr>
          <w:p>
            <w:pPr>
              <w:pStyle w:val="84"/>
              <w:spacing w:line="360" w:lineRule="auto"/>
              <w:rPr>
                <w:sz w:val="24"/>
              </w:rPr>
            </w:pPr>
            <w:r>
              <w:rPr>
                <w:rFonts w:hint="eastAsia"/>
                <w:sz w:val="24"/>
              </w:rPr>
              <w:t>6.1.6条</w:t>
            </w:r>
          </w:p>
        </w:tc>
        <w:tc>
          <w:tcPr>
            <w:tcW w:w="2977"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3260" w:type="dxa"/>
          </w:tcPr>
          <w:p>
            <w:pPr>
              <w:pStyle w:val="84"/>
              <w:spacing w:line="360" w:lineRule="auto"/>
              <w:rPr>
                <w:sz w:val="24"/>
              </w:rPr>
            </w:pPr>
            <w:r>
              <w:rPr>
                <w:rFonts w:hint="eastAsia"/>
                <w:sz w:val="24"/>
              </w:rPr>
              <w:t>6.2.1、6.2.2、6.2.3、6.2.4条</w:t>
            </w:r>
          </w:p>
        </w:tc>
        <w:tc>
          <w:tcPr>
            <w:tcW w:w="2977" w:type="dxa"/>
          </w:tcPr>
          <w:p>
            <w:pPr>
              <w:pStyle w:val="84"/>
              <w:spacing w:line="360" w:lineRule="auto"/>
              <w:rPr>
                <w:sz w:val="24"/>
              </w:rPr>
            </w:pPr>
            <w:r>
              <w:rPr>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jc w:val="left"/>
              <w:rPr>
                <w:sz w:val="24"/>
              </w:rPr>
            </w:pPr>
            <w:r>
              <w:rPr>
                <w:rFonts w:hint="eastAsia"/>
                <w:sz w:val="24"/>
              </w:rPr>
              <w:t>设计人员应对照项目施工图、计算书，根据项目实际填写本条内容。</w:t>
            </w:r>
          </w:p>
          <w:p>
            <w:pPr>
              <w:pStyle w:val="84"/>
              <w:spacing w:line="360" w:lineRule="auto"/>
              <w:jc w:val="left"/>
              <w:rPr>
                <w:sz w:val="24"/>
              </w:rPr>
            </w:pPr>
            <w:r>
              <w:rPr>
                <w:rFonts w:hint="eastAsia"/>
                <w:sz w:val="24"/>
              </w:rPr>
              <w:t>对结构体系、基础形式、结构布置及构件截面、结构材料与构件进行优化设计，主要按以下四个方面进行综合考虑：</w:t>
            </w:r>
          </w:p>
          <w:p>
            <w:pPr>
              <w:pStyle w:val="84"/>
              <w:spacing w:line="360" w:lineRule="auto"/>
              <w:jc w:val="left"/>
              <w:rPr>
                <w:sz w:val="24"/>
              </w:rPr>
            </w:pPr>
            <w:r>
              <w:rPr>
                <w:rFonts w:hint="eastAsia"/>
                <w:sz w:val="24"/>
              </w:rPr>
              <w:t>一、</w:t>
            </w:r>
            <w:r>
              <w:rPr>
                <w:sz w:val="24"/>
              </w:rPr>
              <w:t>结构体系应进行优化设计，并符合下列要求：</w:t>
            </w:r>
          </w:p>
          <w:p>
            <w:pPr>
              <w:pStyle w:val="84"/>
              <w:spacing w:line="360" w:lineRule="auto"/>
              <w:jc w:val="left"/>
              <w:rPr>
                <w:sz w:val="24"/>
              </w:rPr>
            </w:pPr>
            <w:r>
              <w:rPr>
                <w:sz w:val="24"/>
              </w:rPr>
              <w:t>1</w:t>
            </w:r>
            <w:r>
              <w:rPr>
                <w:rFonts w:hint="eastAsia"/>
                <w:sz w:val="24"/>
              </w:rPr>
              <w:t xml:space="preserve"> </w:t>
            </w:r>
            <w:r>
              <w:rPr>
                <w:sz w:val="24"/>
              </w:rPr>
              <w:t>应根据受力特点选择材料用量较少的结构体系；</w:t>
            </w:r>
          </w:p>
          <w:p>
            <w:pPr>
              <w:pStyle w:val="84"/>
              <w:spacing w:line="360" w:lineRule="auto"/>
              <w:jc w:val="left"/>
              <w:rPr>
                <w:sz w:val="24"/>
              </w:rPr>
            </w:pPr>
            <w:r>
              <w:rPr>
                <w:sz w:val="24"/>
              </w:rPr>
              <w:t>2</w:t>
            </w:r>
            <w:r>
              <w:rPr>
                <w:rFonts w:hint="eastAsia"/>
                <w:sz w:val="24"/>
              </w:rPr>
              <w:t xml:space="preserve"> </w:t>
            </w:r>
            <w:r>
              <w:rPr>
                <w:sz w:val="24"/>
              </w:rPr>
              <w:t>不宜采用因建筑形体不规则而形成的超限结构；</w:t>
            </w:r>
          </w:p>
          <w:p>
            <w:pPr>
              <w:pStyle w:val="84"/>
              <w:spacing w:line="360" w:lineRule="auto"/>
              <w:jc w:val="left"/>
              <w:rPr>
                <w:sz w:val="24"/>
              </w:rPr>
            </w:pPr>
            <w:r>
              <w:rPr>
                <w:sz w:val="24"/>
              </w:rPr>
              <w:t>3</w:t>
            </w:r>
            <w:r>
              <w:rPr>
                <w:rFonts w:hint="eastAsia"/>
                <w:sz w:val="24"/>
              </w:rPr>
              <w:t xml:space="preserve"> </w:t>
            </w:r>
            <w:r>
              <w:rPr>
                <w:sz w:val="24"/>
              </w:rPr>
              <w:t>在高层和大跨度结构中，宜优先采用钢结构、钢与混凝土混合结构、预应力结构等结构体系；</w:t>
            </w:r>
          </w:p>
          <w:p>
            <w:pPr>
              <w:pStyle w:val="84"/>
              <w:spacing w:line="360" w:lineRule="auto"/>
              <w:jc w:val="left"/>
              <w:rPr>
                <w:sz w:val="24"/>
              </w:rPr>
            </w:pPr>
            <w:r>
              <w:rPr>
                <w:rFonts w:hint="eastAsia"/>
                <w:sz w:val="24"/>
              </w:rPr>
              <w:t>4宜采用符合工业化建造要求的结构体系与建筑构件；</w:t>
            </w:r>
          </w:p>
          <w:p>
            <w:pPr>
              <w:pStyle w:val="84"/>
              <w:spacing w:line="360" w:lineRule="auto"/>
              <w:jc w:val="left"/>
              <w:rPr>
                <w:sz w:val="24"/>
              </w:rPr>
            </w:pPr>
            <w:r>
              <w:rPr>
                <w:sz w:val="24"/>
              </w:rPr>
              <w:t>5</w:t>
            </w:r>
            <w:r>
              <w:rPr>
                <w:rFonts w:hint="eastAsia"/>
                <w:sz w:val="24"/>
              </w:rPr>
              <w:t xml:space="preserve"> 宜采用基于性能的抗震设计并合理提高建筑的抗震性能。</w:t>
            </w:r>
          </w:p>
          <w:p>
            <w:pPr>
              <w:pStyle w:val="84"/>
              <w:spacing w:line="360" w:lineRule="auto"/>
              <w:jc w:val="left"/>
              <w:rPr>
                <w:sz w:val="24"/>
              </w:rPr>
            </w:pPr>
            <w:r>
              <w:rPr>
                <w:rFonts w:hint="eastAsia"/>
                <w:sz w:val="24"/>
              </w:rPr>
              <w:t>二、</w:t>
            </w:r>
            <w:r>
              <w:rPr>
                <w:sz w:val="24"/>
              </w:rPr>
              <w:t>地基基础应进行优化设计</w:t>
            </w:r>
            <w:r>
              <w:rPr>
                <w:rFonts w:hint="eastAsia"/>
                <w:sz w:val="24"/>
              </w:rPr>
              <w:t>，</w:t>
            </w:r>
            <w:r>
              <w:rPr>
                <w:sz w:val="24"/>
              </w:rPr>
              <w:t>并满足下列要求：</w:t>
            </w:r>
          </w:p>
          <w:p>
            <w:pPr>
              <w:pStyle w:val="84"/>
              <w:spacing w:line="360" w:lineRule="auto"/>
              <w:jc w:val="left"/>
              <w:rPr>
                <w:sz w:val="24"/>
              </w:rPr>
            </w:pPr>
            <w:r>
              <w:rPr>
                <w:rFonts w:hint="eastAsia"/>
                <w:sz w:val="24"/>
              </w:rPr>
              <w:t>1</w:t>
            </w:r>
            <w:r>
              <w:rPr>
                <w:sz w:val="24"/>
              </w:rPr>
              <w:t>地基基础设计应结合建筑所在地实际情况、上部结构特点及使用要求，综合考虑施工条件、场地环境和工程造价等因素，优先采用环境影响小、质量有保证、施工可实现、节约材料的基础形式</w:t>
            </w:r>
            <w:r>
              <w:rPr>
                <w:rFonts w:hint="eastAsia"/>
                <w:sz w:val="24"/>
              </w:rPr>
              <w:t>；</w:t>
            </w:r>
          </w:p>
          <w:p>
            <w:pPr>
              <w:pStyle w:val="84"/>
              <w:spacing w:line="360" w:lineRule="auto"/>
              <w:jc w:val="left"/>
              <w:rPr>
                <w:sz w:val="24"/>
              </w:rPr>
            </w:pPr>
            <w:r>
              <w:rPr>
                <w:rFonts w:hint="eastAsia"/>
                <w:sz w:val="24"/>
              </w:rPr>
              <w:t>2</w:t>
            </w:r>
            <w:r>
              <w:rPr>
                <w:sz w:val="24"/>
              </w:rPr>
              <w:t>高层建筑宜考虑地基基础与上部结构的共同作用，进行协同设计；</w:t>
            </w:r>
          </w:p>
          <w:p>
            <w:pPr>
              <w:pStyle w:val="84"/>
              <w:spacing w:line="360" w:lineRule="auto"/>
              <w:jc w:val="left"/>
              <w:rPr>
                <w:sz w:val="24"/>
              </w:rPr>
            </w:pPr>
            <w:r>
              <w:rPr>
                <w:rFonts w:hint="eastAsia"/>
                <w:sz w:val="24"/>
              </w:rPr>
              <w:t>3</w:t>
            </w:r>
            <w:r>
              <w:rPr>
                <w:sz w:val="24"/>
              </w:rPr>
              <w:t>桩基础沉降控制时，宜考虑承台、桩与土的协同作用；</w:t>
            </w:r>
          </w:p>
          <w:p>
            <w:pPr>
              <w:pStyle w:val="84"/>
              <w:spacing w:line="360" w:lineRule="auto"/>
              <w:jc w:val="left"/>
              <w:rPr>
                <w:sz w:val="24"/>
              </w:rPr>
            </w:pPr>
            <w:r>
              <w:rPr>
                <w:rFonts w:hint="eastAsia"/>
                <w:sz w:val="24"/>
              </w:rPr>
              <w:t>4</w:t>
            </w:r>
            <w:r>
              <w:rPr>
                <w:sz w:val="24"/>
              </w:rPr>
              <w:t>筏板基础宜根据桩、土协同计算结果进行优化设计</w:t>
            </w:r>
            <w:r>
              <w:rPr>
                <w:rFonts w:hint="eastAsia"/>
                <w:sz w:val="24"/>
              </w:rPr>
              <w:t>；</w:t>
            </w:r>
          </w:p>
          <w:p>
            <w:pPr>
              <w:pStyle w:val="84"/>
              <w:spacing w:line="360" w:lineRule="auto"/>
              <w:jc w:val="left"/>
              <w:rPr>
                <w:sz w:val="24"/>
              </w:rPr>
            </w:pPr>
            <w:r>
              <w:rPr>
                <w:rFonts w:hint="eastAsia"/>
                <w:sz w:val="24"/>
              </w:rPr>
              <w:t>5场地土条件及周边环境合适时，桩基宜优先采用预制桩，钻孔灌注桩宜通过采用后注浆技术提高桩基承载力；</w:t>
            </w:r>
          </w:p>
          <w:p>
            <w:pPr>
              <w:pStyle w:val="84"/>
              <w:spacing w:line="360" w:lineRule="auto"/>
              <w:jc w:val="left"/>
              <w:rPr>
                <w:sz w:val="24"/>
              </w:rPr>
            </w:pPr>
            <w:r>
              <w:rPr>
                <w:rFonts w:hint="eastAsia"/>
                <w:sz w:val="24"/>
              </w:rPr>
              <w:t>6宜通过先期试桩确定单桩承载力特征值；</w:t>
            </w:r>
          </w:p>
          <w:p>
            <w:pPr>
              <w:pStyle w:val="84"/>
              <w:spacing w:line="360" w:lineRule="auto"/>
              <w:jc w:val="left"/>
              <w:rPr>
                <w:sz w:val="24"/>
              </w:rPr>
            </w:pPr>
            <w:r>
              <w:rPr>
                <w:rFonts w:hint="eastAsia"/>
                <w:sz w:val="24"/>
              </w:rPr>
              <w:t>7对于抗压设计为主的基础，当建筑设置地下室时宜合理考虑地下水的有利作用。</w:t>
            </w:r>
          </w:p>
          <w:p>
            <w:pPr>
              <w:pStyle w:val="84"/>
              <w:spacing w:line="360" w:lineRule="auto"/>
              <w:jc w:val="left"/>
              <w:rPr>
                <w:sz w:val="24"/>
              </w:rPr>
            </w:pPr>
            <w:r>
              <w:rPr>
                <w:rFonts w:hint="eastAsia"/>
                <w:sz w:val="24"/>
              </w:rPr>
              <w:t>三、</w:t>
            </w:r>
            <w:r>
              <w:rPr>
                <w:sz w:val="24"/>
              </w:rPr>
              <w:t>结构布置及构件截面应进行优化设计</w:t>
            </w:r>
            <w:r>
              <w:rPr>
                <w:rFonts w:hint="eastAsia"/>
                <w:sz w:val="24"/>
              </w:rPr>
              <w:t>，</w:t>
            </w:r>
            <w:r>
              <w:rPr>
                <w:sz w:val="24"/>
              </w:rPr>
              <w:t>并应符合下列要求：</w:t>
            </w:r>
          </w:p>
          <w:p>
            <w:pPr>
              <w:pStyle w:val="84"/>
              <w:spacing w:line="360" w:lineRule="auto"/>
              <w:jc w:val="left"/>
              <w:rPr>
                <w:sz w:val="24"/>
              </w:rPr>
            </w:pPr>
            <w:r>
              <w:rPr>
                <w:sz w:val="24"/>
              </w:rPr>
              <w:t>1高层结构的竖向构件和大跨度结构的水平构件应进行截面优化设计；</w:t>
            </w:r>
          </w:p>
          <w:p>
            <w:pPr>
              <w:pStyle w:val="84"/>
              <w:spacing w:line="360" w:lineRule="auto"/>
              <w:jc w:val="left"/>
              <w:rPr>
                <w:sz w:val="24"/>
              </w:rPr>
            </w:pPr>
            <w:r>
              <w:rPr>
                <w:sz w:val="24"/>
              </w:rPr>
              <w:t>2大跨度混凝土楼盖结构宜合理采用预应力楼盖及现浇混凝土空心楼板等技术；</w:t>
            </w:r>
          </w:p>
          <w:p>
            <w:pPr>
              <w:pStyle w:val="84"/>
              <w:spacing w:line="360" w:lineRule="auto"/>
              <w:jc w:val="left"/>
              <w:rPr>
                <w:sz w:val="24"/>
              </w:rPr>
            </w:pPr>
            <w:r>
              <w:rPr>
                <w:rFonts w:hint="eastAsia"/>
                <w:sz w:val="24"/>
              </w:rPr>
              <w:t xml:space="preserve">3 </w:t>
            </w:r>
            <w:r>
              <w:rPr>
                <w:sz w:val="24"/>
              </w:rPr>
              <w:t>由强度控制的钢结构构件优先选用高强钢材</w:t>
            </w:r>
            <w:r>
              <w:rPr>
                <w:rFonts w:hint="eastAsia"/>
                <w:sz w:val="24"/>
              </w:rPr>
              <w:t>；</w:t>
            </w:r>
            <w:r>
              <w:rPr>
                <w:sz w:val="24"/>
              </w:rPr>
              <w:t>由刚度控制的钢结构优先调整构件布置和构件截面</w:t>
            </w:r>
            <w:r>
              <w:rPr>
                <w:rFonts w:hint="eastAsia"/>
                <w:sz w:val="24"/>
              </w:rPr>
              <w:t>；</w:t>
            </w:r>
          </w:p>
          <w:p>
            <w:pPr>
              <w:pStyle w:val="84"/>
              <w:spacing w:line="360" w:lineRule="auto"/>
              <w:jc w:val="left"/>
              <w:rPr>
                <w:sz w:val="24"/>
              </w:rPr>
            </w:pPr>
            <w:r>
              <w:rPr>
                <w:sz w:val="24"/>
              </w:rPr>
              <w:t>4</w:t>
            </w:r>
            <w:r>
              <w:rPr>
                <w:rFonts w:hint="eastAsia"/>
                <w:sz w:val="24"/>
              </w:rPr>
              <w:t xml:space="preserve"> 采用钢结构楼盖时，宜合理采用组合梁设计；</w:t>
            </w:r>
          </w:p>
          <w:p>
            <w:pPr>
              <w:pStyle w:val="84"/>
              <w:spacing w:line="360" w:lineRule="auto"/>
              <w:jc w:val="left"/>
              <w:rPr>
                <w:sz w:val="24"/>
              </w:rPr>
            </w:pPr>
            <w:r>
              <w:rPr>
                <w:sz w:val="24"/>
              </w:rPr>
              <w:t>5</w:t>
            </w:r>
            <w:r>
              <w:rPr>
                <w:rFonts w:hint="eastAsia"/>
                <w:sz w:val="24"/>
              </w:rPr>
              <w:t xml:space="preserve"> 建筑结构与建筑设备管线宜分离布置。</w:t>
            </w:r>
          </w:p>
          <w:p>
            <w:pPr>
              <w:pStyle w:val="84"/>
              <w:spacing w:line="360" w:lineRule="auto"/>
              <w:jc w:val="left"/>
              <w:rPr>
                <w:sz w:val="24"/>
              </w:rPr>
            </w:pPr>
            <w:r>
              <w:rPr>
                <w:rFonts w:hint="eastAsia"/>
                <w:sz w:val="24"/>
              </w:rPr>
              <w:t>四、应合理选用建筑结构材料与构件，并符合下列规定：</w:t>
            </w:r>
          </w:p>
          <w:p>
            <w:pPr>
              <w:pStyle w:val="84"/>
              <w:spacing w:line="360" w:lineRule="auto"/>
              <w:jc w:val="left"/>
              <w:rPr>
                <w:sz w:val="24"/>
              </w:rPr>
            </w:pPr>
            <w:r>
              <w:rPr>
                <w:sz w:val="24"/>
              </w:rPr>
              <w:t>1 钢筋混凝土结构或混合结构中混凝土部分，400MPa级及以上受力普通钢筋占受力普通钢筋总量的比例不应小于</w:t>
            </w:r>
            <w:r>
              <w:rPr>
                <w:rFonts w:hint="eastAsia"/>
                <w:sz w:val="24"/>
              </w:rPr>
              <w:t>85</w:t>
            </w:r>
            <w:r>
              <w:rPr>
                <w:sz w:val="24"/>
              </w:rPr>
              <w:t>%；</w:t>
            </w:r>
          </w:p>
          <w:p>
            <w:pPr>
              <w:pStyle w:val="84"/>
              <w:spacing w:line="360" w:lineRule="auto"/>
              <w:jc w:val="left"/>
              <w:rPr>
                <w:sz w:val="24"/>
              </w:rPr>
            </w:pPr>
            <w:r>
              <w:rPr>
                <w:sz w:val="24"/>
              </w:rPr>
              <w:t>2</w:t>
            </w:r>
            <w:r>
              <w:rPr>
                <w:rFonts w:hint="eastAsia"/>
                <w:sz w:val="24"/>
              </w:rPr>
              <w:t xml:space="preserve"> </w:t>
            </w:r>
            <w:r>
              <w:rPr>
                <w:sz w:val="24"/>
              </w:rPr>
              <w:t>高层钢结构或高层混合结构中钢结构部分，Q3</w:t>
            </w:r>
            <w:r>
              <w:rPr>
                <w:rFonts w:hint="eastAsia"/>
                <w:sz w:val="24"/>
              </w:rPr>
              <w:t>5</w:t>
            </w:r>
            <w:r>
              <w:rPr>
                <w:sz w:val="24"/>
              </w:rPr>
              <w:t>5及以上高强钢材用量占钢材总量的比例不应小于50%；</w:t>
            </w:r>
          </w:p>
          <w:p>
            <w:pPr>
              <w:pStyle w:val="84"/>
              <w:spacing w:line="360" w:lineRule="auto"/>
              <w:jc w:val="left"/>
              <w:rPr>
                <w:sz w:val="24"/>
              </w:rPr>
            </w:pPr>
            <w:r>
              <w:rPr>
                <w:sz w:val="24"/>
              </w:rPr>
              <w:t>3 100米以上高层钢筋混凝土结构中竖向承重结构采用强度等级不小于C50混凝土用量占竖向承重结构中混凝土总量的比例不</w:t>
            </w:r>
            <w:r>
              <w:rPr>
                <w:rFonts w:hint="eastAsia"/>
                <w:sz w:val="24"/>
              </w:rPr>
              <w:t>宜</w:t>
            </w:r>
            <w:r>
              <w:rPr>
                <w:sz w:val="24"/>
              </w:rPr>
              <w:t>小于50%</w:t>
            </w:r>
            <w:r>
              <w:rPr>
                <w:rFonts w:hint="eastAsia"/>
                <w:sz w:val="24"/>
              </w:rPr>
              <w:t>；</w:t>
            </w:r>
          </w:p>
          <w:p>
            <w:pPr>
              <w:pStyle w:val="84"/>
              <w:spacing w:line="360" w:lineRule="auto"/>
              <w:jc w:val="left"/>
              <w:rPr>
                <w:sz w:val="24"/>
              </w:rPr>
            </w:pPr>
            <w:r>
              <w:rPr>
                <w:rFonts w:hint="eastAsia"/>
                <w:sz w:val="24"/>
              </w:rPr>
              <w:t>4 钢结构现场连接、拼接节点宜采用螺栓连接等非现场焊接的节点形式；</w:t>
            </w:r>
          </w:p>
          <w:p>
            <w:pPr>
              <w:pStyle w:val="84"/>
              <w:spacing w:line="360" w:lineRule="auto"/>
              <w:jc w:val="left"/>
              <w:rPr>
                <w:sz w:val="24"/>
              </w:rPr>
            </w:pPr>
            <w:r>
              <w:rPr>
                <w:sz w:val="24"/>
              </w:rPr>
              <w:t>5</w:t>
            </w:r>
            <w:r>
              <w:rPr>
                <w:rFonts w:hint="eastAsia"/>
                <w:sz w:val="24"/>
              </w:rPr>
              <w:t>钢结构施工时宜采用免支撑的楼屋面板。</w:t>
            </w:r>
          </w:p>
          <w:p>
            <w:pPr>
              <w:pStyle w:val="84"/>
              <w:spacing w:line="360" w:lineRule="auto"/>
              <w:jc w:val="left"/>
              <w:rPr>
                <w:sz w:val="24"/>
              </w:rPr>
            </w:pPr>
            <w:r>
              <w:rPr>
                <w:rFonts w:hint="eastAsia"/>
                <w:sz w:val="24"/>
              </w:rPr>
              <w:t>此条款为DB33/1092-2021一般规定，必须达标。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jc w:val="left"/>
              <w:rPr>
                <w:sz w:val="24"/>
              </w:rPr>
            </w:pPr>
            <w:r>
              <w:rPr>
                <w:rFonts w:hint="eastAsia"/>
                <w:sz w:val="24"/>
              </w:rPr>
              <w:t>对于结构优化设计，GB/T 50378-2019没有专门条文涉及，本条款主要参照DB33/1092-2021进行编制。</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2、采用基于性能的抗震设计并合理提高建筑的抗震性能；</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4.2.1条</w:t>
            </w:r>
          </w:p>
        </w:tc>
        <w:tc>
          <w:tcPr>
            <w:tcW w:w="3449"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6.2.1.5条</w:t>
            </w:r>
          </w:p>
        </w:tc>
        <w:tc>
          <w:tcPr>
            <w:tcW w:w="344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sz w:val="24"/>
              </w:rPr>
              <w:t>设计人员应对照项目设计文件</w:t>
            </w:r>
            <w:r>
              <w:rPr>
                <w:rFonts w:hint="eastAsia"/>
                <w:sz w:val="24"/>
              </w:rPr>
              <w:t>、</w:t>
            </w:r>
            <w:r>
              <w:rPr>
                <w:sz w:val="24"/>
              </w:rPr>
              <w:t>结构计算文件等</w:t>
            </w:r>
            <w:r>
              <w:rPr>
                <w:rFonts w:hint="eastAsia"/>
                <w:sz w:val="24"/>
              </w:rPr>
              <w:t>，根据项目实际填写本条内容。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sz w:val="24"/>
              </w:rPr>
              <w:t>本条实际操作时</w:t>
            </w:r>
            <w:r>
              <w:rPr>
                <w:rFonts w:hint="eastAsia"/>
                <w:sz w:val="24"/>
              </w:rPr>
              <w:t>，</w:t>
            </w:r>
            <w:r>
              <w:rPr>
                <w:sz w:val="24"/>
              </w:rPr>
              <w:t>在确保建筑结构满足</w:t>
            </w:r>
            <w:r>
              <w:rPr>
                <w:rFonts w:hint="eastAsia"/>
                <w:sz w:val="24"/>
              </w:rPr>
              <w:t>“小震不坏、中震可修、大震不倒”一般情况的性能要求前提下，根据项目实际，可以考虑对整体结构、局部结构或者关键构件及节点按更高的抗震性能目标进行设计，或者采取措施减少地震作用。局部部位或者关键构件及节点可根据建筑平面、立面的规则性及构件的重要性选取，采取的措施包括设隔震支座（垫）、消能减震支撑、阻尼器等。本条分值为10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3、建筑结构与建筑设备管线分离布置；</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4.2.6.2条</w:t>
            </w:r>
          </w:p>
        </w:tc>
        <w:tc>
          <w:tcPr>
            <w:tcW w:w="3449"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6.2.3.5条</w:t>
            </w:r>
          </w:p>
        </w:tc>
        <w:tc>
          <w:tcPr>
            <w:tcW w:w="3449"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设计人员应对照建筑、结构、设备及装修相关设计说明及设计文件，根据项目实际填写本条内容。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rFonts w:hint="eastAsia"/>
                <w:sz w:val="24"/>
              </w:rPr>
              <w:t>管线与结构、墙体的寿命不同，给建筑全寿命期的使用和维护带来了很大的困难。建筑结构与设备管线分离设计，可有利于建筑的耐久性。</w:t>
            </w:r>
          </w:p>
          <w:p>
            <w:pPr>
              <w:pStyle w:val="84"/>
              <w:spacing w:line="360" w:lineRule="auto"/>
              <w:ind w:firstLine="480" w:firstLineChars="200"/>
              <w:jc w:val="left"/>
              <w:rPr>
                <w:sz w:val="24"/>
              </w:rPr>
            </w:pPr>
            <w:r>
              <w:rPr>
                <w:sz w:val="24"/>
              </w:rPr>
              <w:t>管线分离是建筑结构体中不埋设设备及管线</w:t>
            </w:r>
            <w:r>
              <w:rPr>
                <w:rFonts w:hint="eastAsia"/>
                <w:sz w:val="24"/>
              </w:rPr>
              <w:t>，</w:t>
            </w:r>
            <w:r>
              <w:rPr>
                <w:sz w:val="24"/>
              </w:rPr>
              <w:t>将设备及管线与建筑结构体相分离的方式</w:t>
            </w:r>
            <w:r>
              <w:rPr>
                <w:rFonts w:hint="eastAsia"/>
                <w:sz w:val="24"/>
              </w:rPr>
              <w:t>。</w:t>
            </w:r>
            <w:r>
              <w:rPr>
                <w:sz w:val="24"/>
              </w:rPr>
              <w:t>建筑结构不仅仅指建筑结构主体</w:t>
            </w:r>
            <w:r>
              <w:rPr>
                <w:rFonts w:hint="eastAsia"/>
                <w:sz w:val="24"/>
              </w:rPr>
              <w:t>，</w:t>
            </w:r>
            <w:r>
              <w:rPr>
                <w:sz w:val="24"/>
              </w:rPr>
              <w:t>还包括外围护结构和公共管井等可保持长久不变的部分</w:t>
            </w:r>
            <w:r>
              <w:rPr>
                <w:rFonts w:hint="eastAsia"/>
                <w:sz w:val="24"/>
              </w:rPr>
              <w:t>。本条分值为7分。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4、按100年进行耐久性设计；</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4.2.8.1条</w:t>
            </w:r>
          </w:p>
        </w:tc>
        <w:tc>
          <w:tcPr>
            <w:tcW w:w="3449"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DB33/1092-2020</w:t>
            </w:r>
          </w:p>
        </w:tc>
        <w:tc>
          <w:tcPr>
            <w:tcW w:w="2647" w:type="dxa"/>
          </w:tcPr>
          <w:p>
            <w:pPr>
              <w:pStyle w:val="84"/>
              <w:spacing w:line="360" w:lineRule="auto"/>
              <w:rPr>
                <w:sz w:val="24"/>
              </w:rPr>
            </w:pPr>
            <w:r>
              <w:rPr>
                <w:rFonts w:hint="eastAsia"/>
                <w:sz w:val="24"/>
              </w:rPr>
              <w:t>6.4.1.1条</w:t>
            </w:r>
          </w:p>
        </w:tc>
        <w:tc>
          <w:tcPr>
            <w:tcW w:w="344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rFonts w:hint="eastAsia"/>
                <w:sz w:val="24"/>
              </w:rPr>
              <w:t>2014版《评价标准》对于本条款的评分只涉及高耐久性混凝土、耐候结构钢和耐候性防腐涂料，这些材料一般只用在特殊环境和特殊的气候条件下，一般的民用建筑不宜涉及，所以此条款一般难以得分。 GB/T 50378-2019增加了按100年耐久性设计和提高钢筋保护层厚度的得分项，实际可操作性较强。</w:t>
            </w:r>
          </w:p>
          <w:p>
            <w:pPr>
              <w:pStyle w:val="84"/>
              <w:spacing w:line="360" w:lineRule="auto"/>
              <w:ind w:firstLine="480" w:firstLineChars="200"/>
              <w:jc w:val="left"/>
              <w:rPr>
                <w:sz w:val="24"/>
              </w:rPr>
            </w:pPr>
            <w:r>
              <w:rPr>
                <w:rFonts w:hint="eastAsia"/>
                <w:sz w:val="24"/>
              </w:rPr>
              <w:t>本条分值为10分。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5、对于混凝土构件，提高钢筋保护层厚度或采用高耐久混凝土；</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4.2.8.2-1）条</w:t>
            </w:r>
          </w:p>
        </w:tc>
        <w:tc>
          <w:tcPr>
            <w:tcW w:w="3449"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6.4.1.2条</w:t>
            </w:r>
          </w:p>
        </w:tc>
        <w:tc>
          <w:tcPr>
            <w:tcW w:w="344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rFonts w:hint="eastAsia"/>
                <w:sz w:val="24"/>
              </w:rPr>
              <w:t>2014版《评价标准》对于本条款的评分只涉及高耐久性混凝土、耐候结构钢和耐候性防腐涂料，这些材料一般只用在特殊环境和特殊的气候条件下，一般的民用建筑不宜涉及，所以此条款一般难以得分。 GB/T 50378-2019增加了按100年耐久性设计和提高钢筋保护层厚度的得分项，实际可操作性较强。</w:t>
            </w:r>
          </w:p>
          <w:p>
            <w:pPr>
              <w:pStyle w:val="84"/>
              <w:spacing w:line="360" w:lineRule="auto"/>
              <w:ind w:firstLine="480" w:firstLineChars="200"/>
              <w:jc w:val="left"/>
              <w:rPr>
                <w:sz w:val="24"/>
              </w:rPr>
            </w:pPr>
            <w:r>
              <w:rPr>
                <w:rFonts w:hint="eastAsia"/>
                <w:sz w:val="24"/>
              </w:rPr>
              <w:t>本条中对钢筋保护层厚度的增加值指不小于5mm。</w:t>
            </w:r>
          </w:p>
          <w:p>
            <w:pPr>
              <w:pStyle w:val="84"/>
              <w:spacing w:line="360" w:lineRule="auto"/>
              <w:ind w:firstLine="480" w:firstLineChars="200"/>
              <w:jc w:val="left"/>
              <w:rPr>
                <w:sz w:val="24"/>
              </w:rPr>
            </w:pPr>
            <w:r>
              <w:rPr>
                <w:rFonts w:hint="eastAsia"/>
                <w:sz w:val="24"/>
              </w:rPr>
              <w:t>高耐久性混凝土指满足设计要求下，结合具体应用环境，对抗渗性能、抗硫酸盐侵蚀性能、抗氯离子渗透性能、抗碳化性能及早期抗裂性能等耐久性指标提出合理要求的混凝土。</w:t>
            </w:r>
          </w:p>
          <w:p>
            <w:pPr>
              <w:pStyle w:val="84"/>
              <w:spacing w:line="360" w:lineRule="auto"/>
              <w:ind w:firstLine="480" w:firstLineChars="200"/>
              <w:jc w:val="left"/>
              <w:rPr>
                <w:sz w:val="24"/>
              </w:rPr>
            </w:pPr>
            <w:r>
              <w:rPr>
                <w:rFonts w:hint="eastAsia"/>
                <w:sz w:val="24"/>
              </w:rPr>
              <w:t>条款中的“未涉及”是指本项目未涉及混凝土构件。对于采用多种类型构件的建筑，得分按照材料用量比例计算，最终得分应在分别对应每种材料的评分后，按照材料质量进行加权平均计算。</w:t>
            </w:r>
          </w:p>
          <w:p>
            <w:pPr>
              <w:pStyle w:val="84"/>
              <w:spacing w:line="360" w:lineRule="auto"/>
              <w:ind w:firstLine="480" w:firstLineChars="200"/>
              <w:jc w:val="left"/>
              <w:rPr>
                <w:sz w:val="24"/>
              </w:rPr>
            </w:pPr>
            <w:r>
              <w:rPr>
                <w:rFonts w:hint="eastAsia"/>
                <w:sz w:val="24"/>
              </w:rPr>
              <w:t>本条分值为10分。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6、</w:t>
      </w:r>
      <w:r>
        <w:rPr>
          <w:rFonts w:asciiTheme="minorEastAsia" w:hAnsiTheme="minorEastAsia" w:eastAsiaTheme="minorEastAsia"/>
          <w:sz w:val="24"/>
          <w:lang w:val="en-GB"/>
        </w:rPr>
        <w:t>对于钢</w:t>
      </w:r>
      <w:r>
        <w:rPr>
          <w:rFonts w:hint="eastAsia" w:asciiTheme="minorEastAsia" w:hAnsiTheme="minorEastAsia" w:eastAsiaTheme="minorEastAsia"/>
          <w:sz w:val="24"/>
          <w:lang w:val="en-GB"/>
        </w:rPr>
        <w:t>构件，</w:t>
      </w:r>
      <w:r>
        <w:rPr>
          <w:rFonts w:asciiTheme="minorEastAsia" w:hAnsiTheme="minorEastAsia" w:eastAsiaTheme="minorEastAsia"/>
          <w:sz w:val="24"/>
          <w:lang w:val="en-GB"/>
        </w:rPr>
        <w:t>采用耐候结构钢或耐候</w:t>
      </w:r>
      <w:r>
        <w:rPr>
          <w:rFonts w:hint="eastAsia" w:asciiTheme="minorEastAsia" w:hAnsiTheme="minorEastAsia" w:eastAsiaTheme="minorEastAsia"/>
          <w:sz w:val="24"/>
          <w:lang w:val="en-GB"/>
        </w:rPr>
        <w:t>型</w:t>
      </w:r>
      <w:r>
        <w:rPr>
          <w:rFonts w:asciiTheme="minorEastAsia" w:hAnsiTheme="minorEastAsia" w:eastAsiaTheme="minorEastAsia"/>
          <w:sz w:val="24"/>
          <w:lang w:val="en-GB"/>
        </w:rPr>
        <w:t>防腐涂料</w:t>
      </w:r>
      <w:r>
        <w:rPr>
          <w:rFonts w:hint="eastAsia" w:asciiTheme="minorEastAsia" w:hAnsiTheme="minorEastAsia" w:eastAsiaTheme="minorEastAsia"/>
          <w:sz w:val="24"/>
          <w:lang w:val="en-GB"/>
        </w:rPr>
        <w:t>；</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4.2.8.2-2）条</w:t>
            </w:r>
          </w:p>
        </w:tc>
        <w:tc>
          <w:tcPr>
            <w:tcW w:w="3449"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6.4.1.3条</w:t>
            </w:r>
          </w:p>
        </w:tc>
        <w:tc>
          <w:tcPr>
            <w:tcW w:w="3449"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rFonts w:hint="eastAsia"/>
                <w:sz w:val="24"/>
              </w:rPr>
              <w:t>耐候结构钢是指符合现行国家标准《耐候结构钢》GB/T4171要求的钢材；耐候型防腐涂料是指符合现行行业标准《建筑用钢结构防腐涂料》JG/T224的Ⅱ型面漆和长效型底漆。</w:t>
            </w:r>
          </w:p>
          <w:p>
            <w:pPr>
              <w:pStyle w:val="84"/>
              <w:spacing w:line="360" w:lineRule="auto"/>
              <w:ind w:firstLine="480" w:firstLineChars="200"/>
              <w:jc w:val="left"/>
              <w:rPr>
                <w:sz w:val="24"/>
              </w:rPr>
            </w:pPr>
            <w:r>
              <w:rPr>
                <w:rFonts w:hint="eastAsia"/>
                <w:sz w:val="24"/>
              </w:rPr>
              <w:t>条款中的“未涉及”是指本项目未涉及钢构件。对于采用多种类型构件的建筑，得分按照材料用量比例计算，最终得分应在分别对应每种材料的评分后，按照材料质量进行加权平均计算。</w:t>
            </w:r>
          </w:p>
          <w:p>
            <w:pPr>
              <w:pStyle w:val="84"/>
              <w:spacing w:line="360" w:lineRule="auto"/>
              <w:ind w:firstLine="480" w:firstLineChars="200"/>
              <w:jc w:val="left"/>
              <w:rPr>
                <w:sz w:val="24"/>
              </w:rPr>
            </w:pPr>
            <w:r>
              <w:rPr>
                <w:rFonts w:hint="eastAsia"/>
                <w:sz w:val="24"/>
              </w:rPr>
              <w:t>本条分值为10分。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7、对于木构件，采用防腐木材、耐久木材或耐久木制品；</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4.2.8.2-3）条</w:t>
            </w:r>
          </w:p>
        </w:tc>
        <w:tc>
          <w:tcPr>
            <w:tcW w:w="3590"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6.4.1.4条</w:t>
            </w:r>
          </w:p>
        </w:tc>
        <w:tc>
          <w:tcPr>
            <w:tcW w:w="3590"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rFonts w:hint="eastAsia"/>
                <w:sz w:val="24"/>
              </w:rPr>
              <w:t>多高层木结构建筑采用的结构木材可分为方木、原木、规格材、层板胶合木、正交胶合木、结构复合木材、木基结构板材以及其他结构用锯材，其材质等级应符合现行国家标准《木结构设计标准》GB50005的有关规定。所有在室外使用，或与土壤直接接触的木构件，应采用防腐木材。在不直接接触土壤的情况下，可采用其他耐久木材或耐久木制品。</w:t>
            </w:r>
          </w:p>
          <w:p>
            <w:pPr>
              <w:pStyle w:val="84"/>
              <w:spacing w:line="360" w:lineRule="auto"/>
              <w:ind w:firstLine="480" w:firstLineChars="200"/>
              <w:jc w:val="left"/>
              <w:rPr>
                <w:sz w:val="24"/>
              </w:rPr>
            </w:pPr>
            <w:r>
              <w:rPr>
                <w:rFonts w:hint="eastAsia"/>
                <w:sz w:val="24"/>
              </w:rPr>
              <w:t>条款中的“未涉及”是指本项目未涉及木构件。对于采用多种类型构件的建筑，得分按照材料用量比例计算，最终得分应在分别对应每种材料的评分后，按照材料质量进行加权平均计算。</w:t>
            </w:r>
          </w:p>
          <w:p>
            <w:pPr>
              <w:pStyle w:val="84"/>
              <w:spacing w:line="360" w:lineRule="auto"/>
              <w:ind w:firstLine="480" w:firstLineChars="200"/>
              <w:jc w:val="left"/>
              <w:rPr>
                <w:sz w:val="24"/>
              </w:rPr>
            </w:pPr>
            <w:r>
              <w:rPr>
                <w:rFonts w:hint="eastAsia"/>
                <w:sz w:val="24"/>
              </w:rPr>
              <w:t>本条分值为10分。</w:t>
            </w:r>
          </w:p>
        </w:tc>
      </w:tr>
    </w:tbl>
    <w:p>
      <w:pPr>
        <w:pStyle w:val="17"/>
        <w:spacing w:line="360" w:lineRule="auto"/>
        <w:ind w:firstLine="420"/>
        <w:rPr>
          <w:rFonts w:asciiTheme="minorEastAsia" w:hAnsiTheme="minorEastAsia" w:eastAsiaTheme="minorEastAsia"/>
          <w:sz w:val="24"/>
          <w:lang w:val="en-GB"/>
        </w:rPr>
      </w:pP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lang w:val="en-GB"/>
        </w:rPr>
        <w:t>8、合理选用建筑结构材料与构件；</w:t>
      </w:r>
    </w:p>
    <w:tbl>
      <w:tblPr>
        <w:tblStyle w:val="4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7.2.15条</w:t>
            </w:r>
          </w:p>
        </w:tc>
        <w:tc>
          <w:tcPr>
            <w:tcW w:w="3590"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6.2.4条</w:t>
            </w:r>
          </w:p>
        </w:tc>
        <w:tc>
          <w:tcPr>
            <w:tcW w:w="3590"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6.4.3条</w:t>
            </w:r>
          </w:p>
        </w:tc>
        <w:tc>
          <w:tcPr>
            <w:tcW w:w="3590"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222" w:type="dxa"/>
            <w:gridSpan w:val="3"/>
          </w:tcPr>
          <w:p>
            <w:pPr>
              <w:pStyle w:val="84"/>
              <w:spacing w:line="360" w:lineRule="auto"/>
              <w:ind w:firstLine="480" w:firstLineChars="200"/>
              <w:jc w:val="left"/>
              <w:rPr>
                <w:sz w:val="24"/>
              </w:rPr>
            </w:pPr>
            <w:r>
              <w:rPr>
                <w:rFonts w:hint="eastAsia"/>
                <w:sz w:val="24"/>
              </w:rPr>
              <w:t>设计人员依据设计说明、结构施工图、材料预算清单、各类材料用量比例计算书等，根据项目实际选材情况填写本条内容。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222" w:type="dxa"/>
            <w:gridSpan w:val="3"/>
          </w:tcPr>
          <w:p>
            <w:pPr>
              <w:pStyle w:val="84"/>
              <w:spacing w:line="360" w:lineRule="auto"/>
              <w:ind w:firstLine="480" w:firstLineChars="200"/>
              <w:jc w:val="left"/>
              <w:rPr>
                <w:sz w:val="24"/>
              </w:rPr>
            </w:pPr>
            <w:r>
              <w:rPr>
                <w:sz w:val="24"/>
              </w:rPr>
              <w:t>本条中建筑结构材料主要指</w:t>
            </w:r>
            <w:r>
              <w:rPr>
                <w:rFonts w:hint="eastAsia"/>
                <w:sz w:val="24"/>
              </w:rPr>
              <w:t>强度等级不小于400MPa级高强钢筋、强度等级不小于Q355高强钢材、强度等级不小于C50的高强混凝土。</w:t>
            </w:r>
          </w:p>
          <w:p>
            <w:pPr>
              <w:pStyle w:val="84"/>
              <w:spacing w:line="360" w:lineRule="auto"/>
              <w:ind w:firstLine="480" w:firstLineChars="200"/>
              <w:jc w:val="left"/>
              <w:rPr>
                <w:sz w:val="24"/>
              </w:rPr>
            </w:pPr>
            <w:r>
              <w:rPr>
                <w:rFonts w:hint="eastAsia"/>
                <w:sz w:val="24"/>
              </w:rPr>
              <w:t>施工时免支撑的楼屋面板包括各种类型的钢筋混凝土叠合板或预应力混凝土叠合板，对于楼屋面采用工具式脚手架与配套定型模板施工的，可达到免抹灰效果。</w:t>
            </w:r>
          </w:p>
          <w:p>
            <w:pPr>
              <w:pStyle w:val="84"/>
              <w:spacing w:line="360" w:lineRule="auto"/>
              <w:ind w:firstLine="480" w:firstLineChars="200"/>
              <w:jc w:val="left"/>
              <w:rPr>
                <w:sz w:val="24"/>
              </w:rPr>
            </w:pPr>
            <w:r>
              <w:rPr>
                <w:rFonts w:hint="eastAsia"/>
                <w:sz w:val="24"/>
              </w:rPr>
              <w:t>对于高强钢筋的应用比例，GB/T 50378-2019与DB33/1092-2021的计算口径有所区别，本专篇采用了DB33/1092-2021的计算方法，即为“受力普通钢筋”的应用比例。</w:t>
            </w:r>
          </w:p>
          <w:p>
            <w:pPr>
              <w:pStyle w:val="84"/>
              <w:spacing w:line="360" w:lineRule="auto"/>
              <w:ind w:firstLine="480" w:firstLineChars="200"/>
              <w:jc w:val="left"/>
              <w:rPr>
                <w:sz w:val="24"/>
              </w:rPr>
            </w:pPr>
            <w:r>
              <w:rPr>
                <w:rFonts w:hint="eastAsia"/>
                <w:sz w:val="24"/>
              </w:rPr>
              <w:t>对于高强混凝土的应用比例，GB/T 50378-2019与DB33/1092-2021的计算口径也有所区别，DB33/1092-2021加设了“100米以上高层”的前提，使高强混凝土的应用更加合理。本专篇采用了DB33/1092-2021的计算方法。</w:t>
            </w:r>
          </w:p>
          <w:p>
            <w:pPr>
              <w:pStyle w:val="84"/>
              <w:spacing w:line="360" w:lineRule="auto"/>
              <w:ind w:firstLine="480" w:firstLineChars="200"/>
              <w:jc w:val="left"/>
              <w:rPr>
                <w:sz w:val="24"/>
              </w:rPr>
            </w:pPr>
            <w:r>
              <w:rPr>
                <w:rFonts w:hint="eastAsia"/>
                <w:sz w:val="24"/>
              </w:rPr>
              <w:t>本条分值为10分。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9、采用可再利用材料和可再循环材料；</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7.2.17.1条</w:t>
            </w:r>
          </w:p>
        </w:tc>
        <w:tc>
          <w:tcPr>
            <w:tcW w:w="3448"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1985" w:type="dxa"/>
            <w:vMerge w:val="restart"/>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6.2.5.1条</w:t>
            </w:r>
          </w:p>
        </w:tc>
        <w:tc>
          <w:tcPr>
            <w:tcW w:w="3448"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6.4.5条</w:t>
            </w:r>
          </w:p>
        </w:tc>
        <w:tc>
          <w:tcPr>
            <w:tcW w:w="3448"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设计人员依据设计说明、施工图、工程概预算材料清单、各种材料用量比例计算书、各种建筑材料的使用部位及使用量一览表等，根据项目实际选材情况填写本条内容。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此条中所指的可再利用材料和可再循环材料为永久性安装在工程中的建筑材料，不包括电梯等设备。可再利用材料和可再循环材料主要指：（1）不改变材料的物质形态的情况下直接进行再利用，或经过简单组合、修复后可直接再利用的材料；（2）需要通过改变物质形态才能实现循环利用的材料；（3）既可以直接再利用又可以回炉后再循环利用的材料。</w:t>
            </w:r>
          </w:p>
          <w:p>
            <w:pPr>
              <w:pStyle w:val="84"/>
              <w:spacing w:line="360" w:lineRule="auto"/>
              <w:ind w:firstLine="480" w:firstLineChars="200"/>
              <w:jc w:val="left"/>
              <w:rPr>
                <w:sz w:val="24"/>
              </w:rPr>
            </w:pPr>
            <w:r>
              <w:rPr>
                <w:rFonts w:hint="eastAsia"/>
                <w:sz w:val="24"/>
              </w:rPr>
              <w:t>由于建筑类型的不同（住宅、公建），对采用可再利用和再循环材料的要求有所区别；</w:t>
            </w:r>
          </w:p>
          <w:p>
            <w:pPr>
              <w:pStyle w:val="84"/>
              <w:spacing w:line="360" w:lineRule="auto"/>
              <w:ind w:firstLine="480" w:firstLineChars="200"/>
              <w:jc w:val="left"/>
              <w:rPr>
                <w:sz w:val="24"/>
              </w:rPr>
            </w:pPr>
            <w:r>
              <w:rPr>
                <w:rFonts w:hint="eastAsia"/>
                <w:sz w:val="24"/>
              </w:rPr>
              <w:t>由于绿色建筑设计标识等级的不同（一星级、二星级、三星级），对可再利用和再循环材料的用量比例要求有所区别。</w:t>
            </w:r>
          </w:p>
          <w:p>
            <w:pPr>
              <w:pStyle w:val="84"/>
              <w:spacing w:line="360" w:lineRule="auto"/>
              <w:ind w:firstLine="480" w:firstLineChars="200"/>
              <w:jc w:val="left"/>
              <w:rPr>
                <w:sz w:val="24"/>
              </w:rPr>
            </w:pPr>
            <w:r>
              <w:rPr>
                <w:rFonts w:hint="eastAsia"/>
                <w:sz w:val="24"/>
              </w:rPr>
              <w:t>计算可再利用材料和再循环材料用量比例时，分子为申报项目各类可再利用材料和再循环材料重量之和，分母为全部建筑材料总重量。</w:t>
            </w:r>
          </w:p>
          <w:p>
            <w:pPr>
              <w:pStyle w:val="84"/>
              <w:spacing w:line="360" w:lineRule="auto"/>
              <w:ind w:firstLine="480" w:firstLineChars="200"/>
              <w:jc w:val="left"/>
              <w:rPr>
                <w:sz w:val="24"/>
              </w:rPr>
            </w:pPr>
            <w:r>
              <w:rPr>
                <w:rFonts w:hint="eastAsia"/>
                <w:sz w:val="24"/>
              </w:rPr>
              <w:t>本条分值为6分。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10、采用以各种废弃物为原料生产的建筑材料；</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7.2.17.2条</w:t>
            </w:r>
          </w:p>
        </w:tc>
        <w:tc>
          <w:tcPr>
            <w:tcW w:w="3448"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6.2.5.2条</w:t>
            </w:r>
          </w:p>
        </w:tc>
        <w:tc>
          <w:tcPr>
            <w:tcW w:w="3448"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设计人员依据设计说明、施工图、工程概预算材料清单、各种材料用量比例计算书、各种建筑材料的使用部位及使用量一览表等，根据项目实际选材情况填写本条内容。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以废弃物为原料生产的建筑材料，是指在满足安全和使用性能的前提下，使用废弃物等作为原材料生产出的建筑材料，其中废弃物主要包括建筑废弃物、工业废料和生活废弃物。在满足使用性能的前提下，鼓励利用建筑废弃混凝土生产再生骨料，制作成混凝土砌块、水泥制品或配制再生混凝土；鼓励利用工业废料、农作物秸秆、建筑垃圾、淤泥为原料制作成水泥、混凝土、墙体材料、保温材料等建筑材料；鼓励以工业副产品石膏制作成石膏制品；鼓励使用生活废弃物经处理后制成的建筑材料。</w:t>
            </w:r>
          </w:p>
          <w:p>
            <w:pPr>
              <w:pStyle w:val="84"/>
              <w:spacing w:line="360" w:lineRule="auto"/>
              <w:ind w:firstLine="480" w:firstLineChars="200"/>
              <w:jc w:val="left"/>
              <w:rPr>
                <w:sz w:val="24"/>
              </w:rPr>
            </w:pPr>
            <w:r>
              <w:rPr>
                <w:rFonts w:hint="eastAsia"/>
                <w:sz w:val="24"/>
              </w:rPr>
              <w:t>计算利废材料建材用量比例时，分子为某种利废建材重量，分母为该种利废建材所属的同类材料的总重量。</w:t>
            </w:r>
          </w:p>
          <w:p>
            <w:pPr>
              <w:pStyle w:val="84"/>
              <w:spacing w:line="360" w:lineRule="auto"/>
              <w:ind w:firstLine="480" w:firstLineChars="200"/>
              <w:jc w:val="left"/>
              <w:rPr>
                <w:sz w:val="24"/>
              </w:rPr>
            </w:pPr>
            <w:r>
              <w:rPr>
                <w:rFonts w:hint="eastAsia"/>
                <w:sz w:val="24"/>
              </w:rPr>
              <w:t>本条分值为6分。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11、采用绿色建材；</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7.2.18条</w:t>
            </w:r>
          </w:p>
        </w:tc>
        <w:tc>
          <w:tcPr>
            <w:tcW w:w="3307" w:type="dxa"/>
          </w:tcPr>
          <w:p>
            <w:pPr>
              <w:pStyle w:val="84"/>
              <w:spacing w:line="360" w:lineRule="auto"/>
              <w:rPr>
                <w:sz w:val="24"/>
              </w:rPr>
            </w:pPr>
            <w:r>
              <w:rPr>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2126" w:type="dxa"/>
            <w:vMerge w:val="restart"/>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6.2.5.5条</w:t>
            </w:r>
          </w:p>
        </w:tc>
        <w:tc>
          <w:tcPr>
            <w:tcW w:w="3307"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2126"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6.4.6条</w:t>
            </w:r>
          </w:p>
        </w:tc>
        <w:tc>
          <w:tcPr>
            <w:tcW w:w="3307"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sz w:val="24"/>
              </w:rPr>
              <w:t>设计人员依据设计说明</w:t>
            </w:r>
            <w:r>
              <w:rPr>
                <w:rFonts w:hint="eastAsia"/>
                <w:sz w:val="24"/>
              </w:rPr>
              <w:t>、</w:t>
            </w:r>
            <w:r>
              <w:rPr>
                <w:sz w:val="24"/>
              </w:rPr>
              <w:t>施工图</w:t>
            </w:r>
            <w:r>
              <w:rPr>
                <w:rFonts w:hint="eastAsia"/>
                <w:sz w:val="24"/>
              </w:rPr>
              <w:t>、</w:t>
            </w:r>
            <w:r>
              <w:rPr>
                <w:sz w:val="24"/>
              </w:rPr>
              <w:t>工程概预算材料清单等设计文件</w:t>
            </w:r>
            <w:r>
              <w:rPr>
                <w:rFonts w:hint="eastAsia"/>
                <w:sz w:val="24"/>
              </w:rPr>
              <w:t>，</w:t>
            </w:r>
            <w:r>
              <w:rPr>
                <w:sz w:val="24"/>
              </w:rPr>
              <w:t>绿色建材应用比例计算分析报告等</w:t>
            </w:r>
            <w:r>
              <w:rPr>
                <w:rFonts w:hint="eastAsia"/>
                <w:sz w:val="24"/>
              </w:rPr>
              <w:t>，根据项目实际选材情况填写本条内容。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sz w:val="24"/>
              </w:rPr>
              <w:t>本条所指绿色建材需通过相关评价论证</w:t>
            </w:r>
            <w:r>
              <w:rPr>
                <w:rFonts w:hint="eastAsia"/>
                <w:sz w:val="24"/>
              </w:rPr>
              <w:t>。</w:t>
            </w:r>
          </w:p>
          <w:p>
            <w:pPr>
              <w:pStyle w:val="84"/>
              <w:spacing w:line="360" w:lineRule="auto"/>
              <w:ind w:firstLine="480" w:firstLineChars="200"/>
              <w:jc w:val="left"/>
              <w:rPr>
                <w:sz w:val="24"/>
              </w:rPr>
            </w:pPr>
            <w:r>
              <w:rPr>
                <w:rFonts w:hint="eastAsia"/>
                <w:sz w:val="24"/>
              </w:rPr>
              <w:t>根据GB/T 50378-2019第7.2.18条条文说明，绿色建材计算项分为：主体结构、围护墙和内隔墙、装修材料、其它材料四种类型，本专篇结构专业主要涉及其中的主体结构、围护墙和内隔墙两种类型。</w:t>
            </w:r>
          </w:p>
          <w:p>
            <w:pPr>
              <w:pStyle w:val="84"/>
              <w:spacing w:line="360" w:lineRule="auto"/>
              <w:ind w:firstLine="480" w:firstLineChars="200"/>
              <w:jc w:val="left"/>
              <w:rPr>
                <w:sz w:val="24"/>
              </w:rPr>
            </w:pPr>
            <w:r>
              <w:rPr>
                <w:rFonts w:hint="eastAsia"/>
                <w:sz w:val="24"/>
              </w:rPr>
              <w:t>绿色建材使用比例计算表和计算公式参见GB/T 50378-2019第7.2.18条条文说明。</w:t>
            </w:r>
          </w:p>
          <w:p>
            <w:pPr>
              <w:pStyle w:val="84"/>
              <w:spacing w:line="360" w:lineRule="auto"/>
              <w:ind w:firstLine="480" w:firstLineChars="200"/>
              <w:jc w:val="left"/>
              <w:rPr>
                <w:sz w:val="24"/>
              </w:rPr>
            </w:pPr>
            <w:r>
              <w:rPr>
                <w:rFonts w:hint="eastAsia"/>
                <w:sz w:val="24"/>
              </w:rPr>
              <w:t>本条分值为12分。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12、采用符合工业化建造要求的结构体系与建筑构件；</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647"/>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50378-2019</w:t>
            </w:r>
          </w:p>
        </w:tc>
        <w:tc>
          <w:tcPr>
            <w:tcW w:w="2647" w:type="dxa"/>
          </w:tcPr>
          <w:p>
            <w:pPr>
              <w:pStyle w:val="84"/>
              <w:spacing w:line="360" w:lineRule="auto"/>
              <w:rPr>
                <w:sz w:val="24"/>
              </w:rPr>
            </w:pPr>
            <w:r>
              <w:rPr>
                <w:rFonts w:hint="eastAsia"/>
                <w:sz w:val="24"/>
              </w:rPr>
              <w:t>9.2.5条</w:t>
            </w:r>
          </w:p>
        </w:tc>
        <w:tc>
          <w:tcPr>
            <w:tcW w:w="3307" w:type="dxa"/>
          </w:tcPr>
          <w:p>
            <w:pPr>
              <w:pStyle w:val="84"/>
              <w:spacing w:line="360" w:lineRule="auto"/>
              <w:rPr>
                <w:sz w:val="24"/>
              </w:rPr>
            </w:pPr>
            <w:r>
              <w:rPr>
                <w:sz w:val="24"/>
              </w:rPr>
              <w:t>加分项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2126" w:type="dxa"/>
            <w:vMerge w:val="restart"/>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6.2.1.4条</w:t>
            </w:r>
          </w:p>
        </w:tc>
        <w:tc>
          <w:tcPr>
            <w:tcW w:w="3307" w:type="dxa"/>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2126" w:type="dxa"/>
            <w:vMerge w:val="continue"/>
          </w:tcPr>
          <w:p>
            <w:pPr>
              <w:pStyle w:val="84"/>
              <w:spacing w:line="360" w:lineRule="auto"/>
              <w:rPr>
                <w:sz w:val="24"/>
              </w:rPr>
            </w:pPr>
          </w:p>
        </w:tc>
        <w:tc>
          <w:tcPr>
            <w:tcW w:w="2647" w:type="dxa"/>
          </w:tcPr>
          <w:p>
            <w:pPr>
              <w:pStyle w:val="84"/>
              <w:spacing w:line="360" w:lineRule="auto"/>
              <w:rPr>
                <w:sz w:val="24"/>
              </w:rPr>
            </w:pPr>
            <w:r>
              <w:rPr>
                <w:rFonts w:hint="eastAsia"/>
                <w:sz w:val="24"/>
              </w:rPr>
              <w:t>6.4.2条</w:t>
            </w:r>
          </w:p>
        </w:tc>
        <w:tc>
          <w:tcPr>
            <w:tcW w:w="3307" w:type="dxa"/>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DB33/T1165-2019</w:t>
            </w:r>
          </w:p>
        </w:tc>
        <w:tc>
          <w:tcPr>
            <w:tcW w:w="2647" w:type="dxa"/>
          </w:tcPr>
          <w:p>
            <w:pPr>
              <w:pStyle w:val="84"/>
              <w:spacing w:line="360" w:lineRule="auto"/>
              <w:rPr>
                <w:sz w:val="24"/>
              </w:rPr>
            </w:pPr>
            <w:r>
              <w:rPr>
                <w:rFonts w:hint="eastAsia"/>
                <w:sz w:val="24"/>
              </w:rPr>
              <w:t>2.0.2条</w:t>
            </w:r>
          </w:p>
        </w:tc>
        <w:tc>
          <w:tcPr>
            <w:tcW w:w="3307" w:type="dxa"/>
          </w:tcPr>
          <w:p>
            <w:pPr>
              <w:pStyle w:val="84"/>
              <w:spacing w:line="360" w:lineRule="auto"/>
              <w:rPr>
                <w:sz w:val="24"/>
              </w:rPr>
            </w:pPr>
            <w:r>
              <w:rPr>
                <w:rFonts w:hint="eastAsia"/>
                <w:sz w:val="24"/>
              </w:rPr>
              <w:t>术语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设计人员应对照项目设计说明、施工图、计算书等，根据项目实际填写本条内容。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ind w:firstLine="480" w:firstLineChars="200"/>
              <w:jc w:val="left"/>
              <w:rPr>
                <w:sz w:val="24"/>
              </w:rPr>
            </w:pPr>
            <w:r>
              <w:rPr>
                <w:rFonts w:hint="eastAsia"/>
                <w:sz w:val="24"/>
              </w:rPr>
              <w:t>本条针对GB/T 50378-2019第9.2.5条加分项进行编制，考虑到GB/T 50378-2019的评价方式和计算口径与DB33/T1165-2019有区别，并基于本省在实际操作中设计人员和审查机构一般均以DB33/T1165-2019为依据，故在本专篇填写时，评价方式和计算口径按DB33/T1165-2019执行。</w:t>
            </w:r>
          </w:p>
          <w:p>
            <w:pPr>
              <w:pStyle w:val="84"/>
              <w:spacing w:line="360" w:lineRule="auto"/>
              <w:ind w:firstLine="480" w:firstLineChars="200"/>
              <w:jc w:val="left"/>
              <w:rPr>
                <w:sz w:val="24"/>
              </w:rPr>
            </w:pPr>
            <w:r>
              <w:rPr>
                <w:rFonts w:hint="eastAsia"/>
                <w:sz w:val="24"/>
              </w:rPr>
              <w:t>对于钢结构、木结构建筑，可认为条款直接满足；对于砌体结构建筑，本条款不填写；对于装配式混凝土结构，要求对照DB33/T1165-2019表4.0.1计算主体结构指标实际评价分值，并与其它专业涉及的评分模块汇总后计算出装配率，当装配率达到DB33/T1165-2019要求时，可以得10分。</w:t>
            </w:r>
          </w:p>
          <w:p>
            <w:pPr>
              <w:pStyle w:val="84"/>
              <w:spacing w:line="360" w:lineRule="auto"/>
              <w:ind w:firstLine="480" w:firstLineChars="200"/>
              <w:jc w:val="left"/>
              <w:rPr>
                <w:sz w:val="24"/>
              </w:rPr>
            </w:pPr>
            <w:r>
              <w:rPr>
                <w:rFonts w:hint="eastAsia"/>
                <w:sz w:val="24"/>
              </w:rPr>
              <w:t>本条分值为10分。</w:t>
            </w:r>
          </w:p>
        </w:tc>
      </w:tr>
    </w:tbl>
    <w:p>
      <w:pPr>
        <w:pStyle w:val="17"/>
        <w:spacing w:line="360" w:lineRule="auto"/>
        <w:ind w:firstLine="36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lang w:val="en-GB"/>
        </w:rPr>
      </w:pPr>
      <w:r>
        <w:rPr>
          <w:rFonts w:hint="eastAsia" w:asciiTheme="minorEastAsia" w:hAnsiTheme="minorEastAsia" w:eastAsiaTheme="minorEastAsia"/>
          <w:sz w:val="24"/>
          <w:lang w:val="en-GB"/>
        </w:rPr>
        <w:t>13：采取了与主体结构设计使用年限和使用环境相适应的结构耐久性设计措施；</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2647"/>
        <w:gridCol w:w="3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tcPr>
          <w:p>
            <w:pPr>
              <w:pStyle w:val="84"/>
              <w:spacing w:line="360" w:lineRule="auto"/>
              <w:rPr>
                <w:sz w:val="24"/>
              </w:rPr>
            </w:pPr>
            <w:r>
              <w:rPr>
                <w:sz w:val="24"/>
              </w:rPr>
              <w:t>条文来源</w:t>
            </w:r>
          </w:p>
        </w:tc>
        <w:tc>
          <w:tcPr>
            <w:tcW w:w="1985" w:type="dxa"/>
          </w:tcPr>
          <w:p>
            <w:pPr>
              <w:pStyle w:val="84"/>
              <w:spacing w:line="360" w:lineRule="auto"/>
              <w:rPr>
                <w:sz w:val="24"/>
              </w:rPr>
            </w:pPr>
            <w:r>
              <w:rPr>
                <w:rFonts w:hint="eastAsia"/>
                <w:sz w:val="24"/>
              </w:rPr>
              <w:t>DB33/1092-2021</w:t>
            </w:r>
          </w:p>
        </w:tc>
        <w:tc>
          <w:tcPr>
            <w:tcW w:w="2647" w:type="dxa"/>
          </w:tcPr>
          <w:p>
            <w:pPr>
              <w:pStyle w:val="84"/>
              <w:spacing w:line="360" w:lineRule="auto"/>
              <w:rPr>
                <w:sz w:val="24"/>
              </w:rPr>
            </w:pPr>
            <w:r>
              <w:rPr>
                <w:rFonts w:hint="eastAsia"/>
                <w:sz w:val="24"/>
              </w:rPr>
              <w:t>6.1.3条</w:t>
            </w:r>
          </w:p>
        </w:tc>
        <w:tc>
          <w:tcPr>
            <w:tcW w:w="3448" w:type="dxa"/>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8080" w:type="dxa"/>
            <w:gridSpan w:val="3"/>
          </w:tcPr>
          <w:p>
            <w:pPr>
              <w:pStyle w:val="84"/>
              <w:spacing w:line="360" w:lineRule="auto"/>
              <w:ind w:firstLine="480" w:firstLineChars="200"/>
              <w:jc w:val="left"/>
              <w:rPr>
                <w:sz w:val="24"/>
              </w:rPr>
            </w:pPr>
            <w:r>
              <w:rPr>
                <w:rFonts w:hint="eastAsia"/>
                <w:sz w:val="24"/>
              </w:rPr>
              <w:t>设计人员应对照项目设计文件、结构计算书，根据项目实际填写本条内容。</w:t>
            </w:r>
          </w:p>
          <w:p>
            <w:pPr>
              <w:pStyle w:val="84"/>
              <w:spacing w:line="360" w:lineRule="auto"/>
              <w:ind w:firstLine="480" w:firstLineChars="200"/>
              <w:jc w:val="left"/>
              <w:rPr>
                <w:sz w:val="24"/>
              </w:rPr>
            </w:pPr>
            <w:r>
              <w:rPr>
                <w:rFonts w:hint="eastAsia"/>
                <w:sz w:val="24"/>
              </w:rPr>
              <w:t>结构构件的抗力及耐久性应满足相应设计使用年限的要求，并根据使用环境确定相应的环境类别，采取相应的提高结构耐久性和防腐蚀措施。</w:t>
            </w:r>
          </w:p>
          <w:p>
            <w:pPr>
              <w:pStyle w:val="84"/>
              <w:spacing w:line="360" w:lineRule="auto"/>
              <w:ind w:firstLine="480" w:firstLineChars="200"/>
              <w:jc w:val="left"/>
              <w:rPr>
                <w:sz w:val="24"/>
              </w:rPr>
            </w:pPr>
            <w:r>
              <w:rPr>
                <w:rFonts w:hint="eastAsia"/>
                <w:sz w:val="24"/>
              </w:rPr>
              <w:t>此条款为DB33/1092-2021一般规定，必须达标。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8080" w:type="dxa"/>
            <w:gridSpan w:val="3"/>
          </w:tcPr>
          <w:p>
            <w:pPr>
              <w:pStyle w:val="84"/>
              <w:spacing w:line="360" w:lineRule="auto"/>
              <w:rPr>
                <w:sz w:val="24"/>
              </w:rPr>
            </w:pPr>
          </w:p>
        </w:tc>
      </w:tr>
    </w:tbl>
    <w:p>
      <w:pPr>
        <w:pStyle w:val="17"/>
        <w:spacing w:line="360" w:lineRule="auto"/>
        <w:ind w:firstLine="360"/>
        <w:rPr>
          <w:rFonts w:asciiTheme="minorEastAsia" w:hAnsiTheme="minorEastAsia" w:eastAsiaTheme="minorEastAsia"/>
          <w:sz w:val="24"/>
        </w:rPr>
      </w:pPr>
    </w:p>
    <w:p>
      <w:pPr>
        <w:spacing w:line="360" w:lineRule="auto"/>
        <w:ind w:firstLine="482"/>
        <w:rPr>
          <w:rFonts w:asciiTheme="minorEastAsia" w:hAnsiTheme="minorEastAsia" w:eastAsiaTheme="minorEastAsia"/>
          <w:b/>
          <w:bCs/>
          <w:kern w:val="0"/>
          <w:sz w:val="24"/>
        </w:rPr>
      </w:pPr>
    </w:p>
    <w:p>
      <w:pPr>
        <w:spacing w:line="360" w:lineRule="auto"/>
        <w:ind w:firstLine="482"/>
        <w:rPr>
          <w:rFonts w:asciiTheme="minorEastAsia" w:hAnsiTheme="minorEastAsia" w:eastAsiaTheme="minorEastAsia"/>
          <w:b/>
          <w:bCs/>
          <w:kern w:val="0"/>
          <w:sz w:val="24"/>
        </w:rPr>
      </w:pPr>
    </w:p>
    <w:p>
      <w:pPr>
        <w:spacing w:line="360" w:lineRule="auto"/>
        <w:ind w:firstLine="562"/>
        <w:jc w:val="center"/>
        <w:rPr>
          <w:rFonts w:asciiTheme="minorEastAsia" w:hAnsiTheme="minorEastAsia" w:eastAsiaTheme="minorEastAsia"/>
          <w:b/>
          <w:sz w:val="24"/>
        </w:rPr>
      </w:pPr>
    </w:p>
    <w:p>
      <w:pPr>
        <w:spacing w:line="360" w:lineRule="auto"/>
        <w:ind w:firstLine="562"/>
        <w:jc w:val="center"/>
        <w:rPr>
          <w:rFonts w:asciiTheme="minorEastAsia" w:hAnsiTheme="minorEastAsia" w:eastAsiaTheme="minorEastAsia"/>
          <w:b/>
          <w:sz w:val="24"/>
        </w:rPr>
      </w:pPr>
    </w:p>
    <w:p>
      <w:pPr>
        <w:spacing w:line="360" w:lineRule="auto"/>
        <w:ind w:firstLine="562"/>
        <w:jc w:val="center"/>
        <w:rPr>
          <w:rFonts w:asciiTheme="minorEastAsia" w:hAnsiTheme="minorEastAsia" w:eastAsiaTheme="minorEastAsia"/>
          <w:b/>
          <w:sz w:val="24"/>
        </w:rPr>
      </w:pPr>
      <w:r>
        <w:rPr>
          <w:rFonts w:asciiTheme="minorEastAsia" w:hAnsiTheme="minorEastAsia" w:eastAsiaTheme="minorEastAsia"/>
          <w:b/>
          <w:sz w:val="24"/>
        </w:rPr>
        <w:br w:type="page"/>
      </w:r>
    </w:p>
    <w:p>
      <w:pPr>
        <w:pStyle w:val="4"/>
        <w:jc w:val="center"/>
      </w:pPr>
      <w:bookmarkStart w:id="35" w:name="_Toc109325937"/>
      <w:bookmarkStart w:id="36" w:name="_Toc113028987"/>
      <w:bookmarkStart w:id="37" w:name="_Hlk93503699"/>
      <w:r>
        <w:t>3</w:t>
      </w:r>
      <w:r>
        <w:rPr>
          <w:rFonts w:hint="eastAsia"/>
        </w:rPr>
        <w:t>.</w:t>
      </w:r>
      <w:r>
        <w:t>4</w:t>
      </w:r>
      <w:r>
        <w:rPr>
          <w:rFonts w:hint="eastAsia"/>
        </w:rPr>
        <w:t xml:space="preserve"> 给排水专业填写说明</w:t>
      </w:r>
      <w:bookmarkEnd w:id="35"/>
      <w:bookmarkEnd w:id="36"/>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一、给排水主要设计依据: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项应包括项目进行建筑绿色与节能设计时所遵循的主要设计依据。包括法律法规、政策文件及现行国家与地方的标准、规范；还包括项目已取得的节能审查意见书及其附件：节能评估报告书（表）和专家评审意见；</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二、给排水</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1、填表说明主要包含三部分内容，分别为：条文来源、依据材料、备注。其中：“条文来源”主要依据浙江省《绿色建筑设计标准》 DB33/1092-2021（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“DB33/1092-2021”）、浙江省《公共建筑节能设计标准》 DB33/1036-2021（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“DB33/1036-2021”）、浙江省《居住建筑节能设计标准》 DB33/1015-2021（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“DB33/1015-2021”）、</w:t>
      </w:r>
      <w:r>
        <w:rPr>
          <w:rFonts w:ascii="Times New Roman" w:cs="宋体"/>
          <w:color w:val="000000"/>
          <w:kern w:val="0"/>
          <w:sz w:val="24"/>
        </w:rPr>
        <w:t>国家标准</w:t>
      </w:r>
      <w:r>
        <w:rPr>
          <w:rFonts w:hint="eastAsia" w:ascii="Times New Roman" w:cs="宋体"/>
          <w:color w:val="000000"/>
          <w:kern w:val="0"/>
          <w:sz w:val="24"/>
        </w:rPr>
        <w:t>《绿色建筑评价</w:t>
      </w:r>
      <w:r>
        <w:rPr>
          <w:rFonts w:ascii="Times New Roman" w:cs="宋体"/>
          <w:color w:val="000000"/>
          <w:kern w:val="0"/>
          <w:sz w:val="24"/>
        </w:rPr>
        <w:t>标准</w:t>
      </w:r>
      <w:r>
        <w:rPr>
          <w:rFonts w:hint="eastAsia" w:ascii="Times New Roman" w:cs="宋体"/>
          <w:color w:val="000000"/>
          <w:kern w:val="0"/>
          <w:sz w:val="24"/>
        </w:rPr>
        <w:t>》GB/T50378-201</w:t>
      </w:r>
      <w:r>
        <w:rPr>
          <w:rFonts w:ascii="Times New Roman" w:cs="宋体"/>
          <w:color w:val="000000"/>
          <w:kern w:val="0"/>
          <w:sz w:val="24"/>
        </w:rPr>
        <w:t>9</w:t>
      </w:r>
      <w:r>
        <w:rPr>
          <w:rFonts w:hint="eastAsia" w:ascii="Times New Roman" w:cs="宋体"/>
          <w:color w:val="000000"/>
          <w:kern w:val="0"/>
          <w:sz w:val="24"/>
        </w:rPr>
        <w:t>（</w:t>
      </w:r>
      <w:r>
        <w:rPr>
          <w:rFonts w:ascii="Times New Roman" w:cs="宋体"/>
          <w:color w:val="000000"/>
          <w:kern w:val="0"/>
          <w:sz w:val="24"/>
        </w:rPr>
        <w:t>以下简称“</w:t>
      </w:r>
      <w:r>
        <w:rPr>
          <w:rFonts w:hint="eastAsia" w:ascii="Times New Roman" w:cs="宋体"/>
          <w:color w:val="000000"/>
          <w:kern w:val="0"/>
          <w:sz w:val="24"/>
        </w:rPr>
        <w:t>GB/T</w:t>
      </w:r>
      <w:r>
        <w:rPr>
          <w:rFonts w:ascii="Times New Roman" w:cs="宋体"/>
          <w:color w:val="000000"/>
          <w:kern w:val="0"/>
          <w:sz w:val="24"/>
        </w:rPr>
        <w:t xml:space="preserve"> </w:t>
      </w:r>
      <w:r>
        <w:rPr>
          <w:rFonts w:hint="eastAsia" w:ascii="Times New Roman" w:cs="宋体"/>
          <w:color w:val="000000"/>
          <w:kern w:val="0"/>
          <w:sz w:val="24"/>
        </w:rPr>
        <w:t>50378-201</w:t>
      </w:r>
      <w:r>
        <w:rPr>
          <w:rFonts w:ascii="Times New Roman" w:cs="宋体"/>
          <w:color w:val="000000"/>
          <w:kern w:val="0"/>
          <w:sz w:val="24"/>
        </w:rPr>
        <w:t>9”</w:t>
      </w:r>
      <w:r>
        <w:rPr>
          <w:rFonts w:hint="eastAsia" w:ascii="Times New Roman" w:cs="宋体"/>
          <w:color w:val="000000"/>
          <w:kern w:val="0"/>
          <w:sz w:val="24"/>
        </w:rPr>
        <w:t>）、《建筑给水排水与节水通用规范》GB 55020-2021（</w:t>
      </w:r>
      <w:r>
        <w:rPr>
          <w:rFonts w:ascii="Times New Roman" w:cs="宋体"/>
          <w:color w:val="000000"/>
          <w:kern w:val="0"/>
          <w:sz w:val="24"/>
        </w:rPr>
        <w:t>以下简称“GB 55020-2021”</w:t>
      </w:r>
      <w:r>
        <w:rPr>
          <w:rFonts w:hint="eastAsia" w:ascii="Times New Roman" w:cs="宋体"/>
          <w:color w:val="000000"/>
          <w:kern w:val="0"/>
          <w:sz w:val="24"/>
        </w:rPr>
        <w:t>）、《建筑节能与可再生能源利用通用规范》GB55015-2021（</w:t>
      </w:r>
      <w:r>
        <w:rPr>
          <w:rFonts w:ascii="Times New Roman" w:cs="宋体"/>
          <w:color w:val="000000"/>
          <w:kern w:val="0"/>
          <w:sz w:val="24"/>
        </w:rPr>
        <w:t>以下简称“GB55015-2021”</w:t>
      </w:r>
      <w:r>
        <w:rPr>
          <w:rFonts w:hint="eastAsia" w:ascii="Times New Roman" w:cs="宋体"/>
          <w:color w:val="000000"/>
          <w:kern w:val="0"/>
          <w:sz w:val="24"/>
        </w:rPr>
        <w:t>）、《浙江省绿色建筑条例》、《建筑中水设计规范》GB</w:t>
      </w:r>
      <w:r>
        <w:rPr>
          <w:rFonts w:ascii="Times New Roman" w:cs="宋体"/>
          <w:color w:val="000000"/>
          <w:kern w:val="0"/>
          <w:sz w:val="24"/>
        </w:rPr>
        <w:t xml:space="preserve"> </w:t>
      </w:r>
      <w:r>
        <w:rPr>
          <w:rFonts w:hint="eastAsia" w:ascii="Times New Roman" w:cs="宋体"/>
          <w:color w:val="000000"/>
          <w:kern w:val="0"/>
          <w:sz w:val="24"/>
        </w:rPr>
        <w:t>50336-20</w:t>
      </w:r>
      <w:r>
        <w:rPr>
          <w:rFonts w:ascii="Times New Roman" w:cs="宋体"/>
          <w:color w:val="000000"/>
          <w:kern w:val="0"/>
          <w:sz w:val="24"/>
        </w:rPr>
        <w:t>18</w:t>
      </w:r>
      <w:r>
        <w:rPr>
          <w:rFonts w:hint="eastAsia" w:ascii="Times New Roman" w:cs="宋体"/>
          <w:color w:val="000000"/>
          <w:kern w:val="0"/>
          <w:sz w:val="24"/>
        </w:rPr>
        <w:t>、《建筑与小区雨水控制及利用工程技术规范》GB</w:t>
      </w:r>
      <w:r>
        <w:rPr>
          <w:rFonts w:ascii="Times New Roman" w:cs="宋体"/>
          <w:color w:val="000000"/>
          <w:kern w:val="0"/>
          <w:sz w:val="24"/>
        </w:rPr>
        <w:t xml:space="preserve"> </w:t>
      </w:r>
      <w:r>
        <w:rPr>
          <w:rFonts w:hint="eastAsia" w:ascii="Times New Roman" w:cs="宋体"/>
          <w:color w:val="000000"/>
          <w:kern w:val="0"/>
          <w:sz w:val="24"/>
        </w:rPr>
        <w:t>50400-2016的出处与条文编号；“依据材料”是明确</w:t>
      </w:r>
      <w:r>
        <w:rPr>
          <w:rFonts w:ascii="Times New Roman" w:cs="宋体"/>
          <w:color w:val="000000"/>
          <w:kern w:val="0"/>
          <w:sz w:val="24"/>
        </w:rPr>
        <w:t>设计人员依据</w:t>
      </w:r>
      <w:r>
        <w:rPr>
          <w:rFonts w:hint="eastAsia" w:ascii="Times New Roman" w:cs="宋体"/>
          <w:color w:val="000000"/>
          <w:kern w:val="0"/>
          <w:sz w:val="24"/>
        </w:rPr>
        <w:t>所</w:t>
      </w:r>
      <w:r>
        <w:rPr>
          <w:rFonts w:ascii="Times New Roman" w:cs="宋体"/>
          <w:color w:val="000000"/>
          <w:kern w:val="0"/>
          <w:sz w:val="24"/>
        </w:rPr>
        <w:t>注的基础资料</w:t>
      </w:r>
      <w:r>
        <w:rPr>
          <w:rFonts w:hint="eastAsia" w:ascii="Times New Roman" w:cs="宋体"/>
          <w:color w:val="000000"/>
          <w:kern w:val="0"/>
          <w:sz w:val="24"/>
        </w:rPr>
        <w:t>进行分析和</w:t>
      </w:r>
      <w:r>
        <w:rPr>
          <w:rFonts w:ascii="Times New Roman" w:cs="宋体"/>
          <w:color w:val="000000"/>
          <w:kern w:val="0"/>
          <w:sz w:val="24"/>
        </w:rPr>
        <w:t>填写</w:t>
      </w:r>
      <w:r>
        <w:rPr>
          <w:rFonts w:hint="eastAsia" w:ascii="Times New Roman" w:cs="宋体"/>
          <w:color w:val="000000"/>
          <w:kern w:val="0"/>
          <w:sz w:val="24"/>
        </w:rPr>
        <w:t>；“备注”是指对条款需要注意与重点核查的内容进行详细说明，或对相关条文进行解释和补充。</w:t>
      </w:r>
    </w:p>
    <w:p>
      <w:pPr>
        <w:pStyle w:val="17"/>
        <w:spacing w:line="360" w:lineRule="auto"/>
        <w:ind w:firstLine="420"/>
        <w:rPr>
          <w:rFonts w:asciiTheme="minorEastAsia" w:hAnsiTheme="minorEastAsia" w:eastAsiaTheme="minorEastAsia"/>
          <w:sz w:val="24"/>
        </w:rPr>
      </w:pPr>
    </w:p>
    <w:p>
      <w:pPr>
        <w:pStyle w:val="17"/>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◇条款说明：</w:t>
      </w:r>
    </w:p>
    <w:p>
      <w:pPr>
        <w:pStyle w:val="17"/>
        <w:spacing w:line="360" w:lineRule="auto"/>
        <w:ind w:firstLine="482"/>
        <w:rPr>
          <w:rFonts w:asciiTheme="minorEastAsia" w:hAnsiTheme="minorEastAsia" w:eastAsiaTheme="minorEastAsia"/>
          <w:b/>
          <w:sz w:val="24"/>
          <w:lang w:val="en-GB"/>
        </w:rPr>
      </w:pPr>
      <w:r>
        <w:rPr>
          <w:rFonts w:hint="eastAsia" w:asciiTheme="minorEastAsia" w:hAnsiTheme="minorEastAsia" w:eastAsiaTheme="minorEastAsia"/>
          <w:b/>
          <w:sz w:val="24"/>
          <w:lang w:val="en-GB"/>
        </w:rPr>
        <w:t>控制项内容：</w:t>
      </w:r>
    </w:p>
    <w:p>
      <w:pPr>
        <w:spacing w:line="360" w:lineRule="auto"/>
        <w:ind w:firstLine="422"/>
        <w:jc w:val="left"/>
        <w:rPr>
          <w:rFonts w:asciiTheme="minorEastAsia" w:hAnsiTheme="minorEastAsia" w:eastAsiaTheme="minorEastAsia"/>
          <w:b/>
          <w:sz w:val="24"/>
        </w:rPr>
      </w:pP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5"/>
        <w:gridCol w:w="2223"/>
        <w:gridCol w:w="5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2" w:type="pct"/>
            <w:vMerge w:val="restart"/>
          </w:tcPr>
          <w:p>
            <w:pPr>
              <w:pStyle w:val="84"/>
              <w:spacing w:line="360" w:lineRule="auto"/>
              <w:rPr>
                <w:sz w:val="24"/>
              </w:rPr>
            </w:pPr>
            <w:r>
              <w:rPr>
                <w:rFonts w:hint="eastAsia"/>
                <w:sz w:val="24"/>
              </w:rPr>
              <w:t>条文来源</w:t>
            </w:r>
          </w:p>
        </w:tc>
        <w:tc>
          <w:tcPr>
            <w:tcW w:w="1304" w:type="pct"/>
          </w:tcPr>
          <w:p>
            <w:pPr>
              <w:pStyle w:val="84"/>
              <w:spacing w:line="360" w:lineRule="auto"/>
              <w:rPr>
                <w:sz w:val="24"/>
              </w:rPr>
            </w:pPr>
            <w:r>
              <w:rPr>
                <w:rFonts w:hint="eastAsia"/>
                <w:sz w:val="24"/>
              </w:rPr>
              <w:t>浙江省绿色建筑条例</w:t>
            </w:r>
          </w:p>
        </w:tc>
        <w:tc>
          <w:tcPr>
            <w:tcW w:w="3024" w:type="pct"/>
          </w:tcPr>
          <w:p>
            <w:pPr>
              <w:pStyle w:val="84"/>
              <w:spacing w:line="360" w:lineRule="auto"/>
              <w:rPr>
                <w:sz w:val="24"/>
              </w:rPr>
            </w:pPr>
            <w:r>
              <w:rPr>
                <w:rFonts w:hint="eastAsia"/>
                <w:sz w:val="24"/>
              </w:rPr>
              <w:t>第29、31条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2" w:type="pct"/>
            <w:vMerge w:val="continue"/>
          </w:tcPr>
          <w:p>
            <w:pPr>
              <w:pStyle w:val="84"/>
              <w:spacing w:line="360" w:lineRule="auto"/>
              <w:rPr>
                <w:sz w:val="24"/>
              </w:rPr>
            </w:pPr>
          </w:p>
        </w:tc>
        <w:tc>
          <w:tcPr>
            <w:tcW w:w="1304" w:type="pct"/>
          </w:tcPr>
          <w:p>
            <w:pPr>
              <w:pStyle w:val="84"/>
              <w:spacing w:line="360" w:lineRule="auto"/>
              <w:rPr>
                <w:sz w:val="24"/>
              </w:rPr>
            </w:pPr>
            <w:r>
              <w:rPr>
                <w:rFonts w:hint="eastAsia"/>
                <w:sz w:val="24"/>
              </w:rPr>
              <w:t>GB</w:t>
            </w:r>
            <w:r>
              <w:rPr>
                <w:sz w:val="24"/>
              </w:rPr>
              <w:t>50378-2019</w:t>
            </w:r>
          </w:p>
        </w:tc>
        <w:tc>
          <w:tcPr>
            <w:tcW w:w="3024" w:type="pct"/>
          </w:tcPr>
          <w:p>
            <w:pPr>
              <w:pStyle w:val="84"/>
              <w:spacing w:line="360" w:lineRule="auto"/>
              <w:rPr>
                <w:sz w:val="24"/>
              </w:rPr>
            </w:pPr>
            <w:r>
              <w:rPr>
                <w:rFonts w:hint="eastAsia"/>
                <w:sz w:val="24"/>
              </w:rPr>
              <w:t>5.1.3、7.1.7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trPr>
        <w:tc>
          <w:tcPr>
            <w:tcW w:w="672" w:type="pct"/>
            <w:vMerge w:val="continue"/>
          </w:tcPr>
          <w:p>
            <w:pPr>
              <w:pStyle w:val="84"/>
              <w:spacing w:line="360" w:lineRule="auto"/>
              <w:rPr>
                <w:sz w:val="24"/>
              </w:rPr>
            </w:pPr>
          </w:p>
        </w:tc>
        <w:tc>
          <w:tcPr>
            <w:tcW w:w="1304" w:type="pct"/>
          </w:tcPr>
          <w:p>
            <w:pPr>
              <w:pStyle w:val="84"/>
              <w:spacing w:line="360" w:lineRule="auto"/>
              <w:rPr>
                <w:sz w:val="24"/>
              </w:rPr>
            </w:pPr>
            <w:r>
              <w:rPr>
                <w:rFonts w:hint="eastAsia"/>
                <w:sz w:val="24"/>
              </w:rPr>
              <w:t>GB</w:t>
            </w:r>
            <w:r>
              <w:rPr>
                <w:sz w:val="24"/>
              </w:rPr>
              <w:t>5</w:t>
            </w:r>
            <w:r>
              <w:rPr>
                <w:rFonts w:hint="eastAsia"/>
                <w:sz w:val="24"/>
              </w:rPr>
              <w:t>5</w:t>
            </w:r>
            <w:r>
              <w:rPr>
                <w:sz w:val="24"/>
              </w:rPr>
              <w:t>0</w:t>
            </w:r>
            <w:r>
              <w:rPr>
                <w:rFonts w:hint="eastAsia"/>
                <w:sz w:val="24"/>
              </w:rPr>
              <w:t>20</w:t>
            </w:r>
            <w:r>
              <w:rPr>
                <w:sz w:val="24"/>
              </w:rPr>
              <w:t>-20</w:t>
            </w:r>
            <w:r>
              <w:rPr>
                <w:rFonts w:hint="eastAsia"/>
                <w:sz w:val="24"/>
              </w:rPr>
              <w:t>21</w:t>
            </w:r>
          </w:p>
        </w:tc>
        <w:tc>
          <w:tcPr>
            <w:tcW w:w="3024" w:type="pct"/>
          </w:tcPr>
          <w:p>
            <w:pPr>
              <w:pStyle w:val="84"/>
              <w:spacing w:line="360" w:lineRule="auto"/>
              <w:rPr>
                <w:sz w:val="24"/>
              </w:rPr>
            </w:pPr>
            <w:r>
              <w:rPr>
                <w:rFonts w:hint="eastAsia"/>
                <w:sz w:val="24"/>
              </w:rPr>
              <w:t>2.0.4、3.4.1、3.4.2、3.4.3、3.4.4、3.4.5、3.4.6、3.4.7、3.4.8、7.1.3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exact"/>
        </w:trPr>
        <w:tc>
          <w:tcPr>
            <w:tcW w:w="672" w:type="pct"/>
            <w:vMerge w:val="continue"/>
          </w:tcPr>
          <w:p>
            <w:pPr>
              <w:pStyle w:val="84"/>
              <w:spacing w:line="360" w:lineRule="auto"/>
              <w:rPr>
                <w:sz w:val="24"/>
              </w:rPr>
            </w:pPr>
          </w:p>
        </w:tc>
        <w:tc>
          <w:tcPr>
            <w:tcW w:w="1304" w:type="pct"/>
          </w:tcPr>
          <w:p>
            <w:pPr>
              <w:pStyle w:val="84"/>
              <w:spacing w:line="360" w:lineRule="auto"/>
              <w:rPr>
                <w:sz w:val="24"/>
              </w:rPr>
            </w:pPr>
            <w:r>
              <w:rPr>
                <w:rFonts w:hint="eastAsia"/>
                <w:sz w:val="24"/>
              </w:rPr>
              <w:t>DB33/1092-2021</w:t>
            </w:r>
          </w:p>
        </w:tc>
        <w:tc>
          <w:tcPr>
            <w:tcW w:w="3024" w:type="pct"/>
          </w:tcPr>
          <w:p>
            <w:pPr>
              <w:pStyle w:val="84"/>
              <w:spacing w:line="360" w:lineRule="auto"/>
              <w:rPr>
                <w:sz w:val="24"/>
              </w:rPr>
            </w:pPr>
            <w:r>
              <w:rPr>
                <w:rFonts w:hint="eastAsia"/>
                <w:sz w:val="24"/>
              </w:rPr>
              <w:t>7.1</w:t>
            </w:r>
            <w:r>
              <w:rPr>
                <w:sz w:val="24"/>
              </w:rPr>
              <w:t>.1</w:t>
            </w:r>
            <w:r>
              <w:rPr>
                <w:rFonts w:hint="eastAsia"/>
                <w:sz w:val="24"/>
              </w:rPr>
              <w:t>、7</w:t>
            </w:r>
            <w:r>
              <w:rPr>
                <w:sz w:val="24"/>
              </w:rPr>
              <w:t>.</w:t>
            </w:r>
            <w:r>
              <w:rPr>
                <w:rFonts w:hint="eastAsia"/>
                <w:sz w:val="24"/>
              </w:rPr>
              <w:t>1</w:t>
            </w:r>
            <w:r>
              <w:rPr>
                <w:sz w:val="24"/>
              </w:rPr>
              <w:t>.2</w:t>
            </w:r>
            <w:r>
              <w:rPr>
                <w:rFonts w:hint="eastAsia"/>
                <w:sz w:val="24"/>
              </w:rPr>
              <w:t>、7</w:t>
            </w:r>
            <w:r>
              <w:rPr>
                <w:sz w:val="24"/>
              </w:rPr>
              <w:t>.</w:t>
            </w:r>
            <w:r>
              <w:rPr>
                <w:rFonts w:hint="eastAsia"/>
                <w:sz w:val="24"/>
              </w:rPr>
              <w:t>1</w:t>
            </w:r>
            <w:r>
              <w:rPr>
                <w:sz w:val="24"/>
              </w:rPr>
              <w:t>.</w:t>
            </w:r>
            <w:r>
              <w:rPr>
                <w:rFonts w:hint="eastAsia"/>
                <w:sz w:val="24"/>
              </w:rPr>
              <w:t>3、7</w:t>
            </w:r>
            <w:r>
              <w:rPr>
                <w:sz w:val="24"/>
              </w:rPr>
              <w:t>.</w:t>
            </w:r>
            <w:r>
              <w:rPr>
                <w:rFonts w:hint="eastAsia"/>
                <w:sz w:val="24"/>
              </w:rPr>
              <w:t>1</w:t>
            </w:r>
            <w:r>
              <w:rPr>
                <w:sz w:val="24"/>
              </w:rPr>
              <w:t>.</w:t>
            </w:r>
            <w:r>
              <w:rPr>
                <w:rFonts w:hint="eastAsia"/>
                <w:sz w:val="24"/>
              </w:rPr>
              <w:t>4、7</w:t>
            </w:r>
            <w:r>
              <w:rPr>
                <w:sz w:val="24"/>
              </w:rPr>
              <w:t>.</w:t>
            </w:r>
            <w:r>
              <w:rPr>
                <w:rFonts w:hint="eastAsia"/>
                <w:sz w:val="24"/>
              </w:rPr>
              <w:t>1</w:t>
            </w:r>
            <w:r>
              <w:rPr>
                <w:sz w:val="24"/>
              </w:rPr>
              <w:t>.</w:t>
            </w:r>
            <w:r>
              <w:rPr>
                <w:rFonts w:hint="eastAsia"/>
                <w:sz w:val="24"/>
              </w:rPr>
              <w:t>5、 7</w:t>
            </w:r>
            <w:r>
              <w:rPr>
                <w:sz w:val="24"/>
              </w:rPr>
              <w:t>.</w:t>
            </w:r>
            <w:r>
              <w:rPr>
                <w:rFonts w:hint="eastAsia"/>
                <w:sz w:val="24"/>
              </w:rPr>
              <w:t>2</w:t>
            </w:r>
            <w:r>
              <w:rPr>
                <w:sz w:val="24"/>
              </w:rPr>
              <w:t>.</w:t>
            </w:r>
            <w:r>
              <w:rPr>
                <w:rFonts w:hint="eastAsia"/>
                <w:sz w:val="24"/>
              </w:rPr>
              <w:t>3、7</w:t>
            </w:r>
            <w:r>
              <w:rPr>
                <w:sz w:val="24"/>
              </w:rPr>
              <w:t>.</w:t>
            </w:r>
            <w:r>
              <w:rPr>
                <w:rFonts w:hint="eastAsia"/>
                <w:sz w:val="24"/>
              </w:rPr>
              <w:t>2</w:t>
            </w:r>
            <w:r>
              <w:rPr>
                <w:sz w:val="24"/>
              </w:rPr>
              <w:t>.</w:t>
            </w:r>
            <w:r>
              <w:rPr>
                <w:rFonts w:hint="eastAsia"/>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pStyle w:val="84"/>
              <w:spacing w:line="360" w:lineRule="auto"/>
              <w:rPr>
                <w:sz w:val="24"/>
              </w:rPr>
            </w:pPr>
            <w:r>
              <w:rPr>
                <w:rFonts w:hint="eastAsia"/>
                <w:sz w:val="24"/>
              </w:rPr>
              <w:t>依据材料</w:t>
            </w:r>
          </w:p>
        </w:tc>
        <w:tc>
          <w:tcPr>
            <w:tcW w:w="4328" w:type="pct"/>
            <w:gridSpan w:val="2"/>
          </w:tcPr>
          <w:p>
            <w:pPr>
              <w:pStyle w:val="84"/>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pStyle w:val="84"/>
              <w:spacing w:line="360" w:lineRule="auto"/>
              <w:rPr>
                <w:sz w:val="24"/>
              </w:rPr>
            </w:pPr>
            <w:r>
              <w:rPr>
                <w:rFonts w:hint="eastAsia"/>
                <w:sz w:val="24"/>
              </w:rPr>
              <w:t>备注</w:t>
            </w:r>
          </w:p>
        </w:tc>
        <w:tc>
          <w:tcPr>
            <w:tcW w:w="4328" w:type="pct"/>
            <w:gridSpan w:val="2"/>
          </w:tcPr>
          <w:p>
            <w:pPr>
              <w:pStyle w:val="84"/>
              <w:spacing w:line="360" w:lineRule="auto"/>
              <w:jc w:val="left"/>
              <w:rPr>
                <w:sz w:val="24"/>
              </w:rPr>
            </w:pPr>
            <w:r>
              <w:rPr>
                <w:rFonts w:hint="eastAsia"/>
                <w:sz w:val="24"/>
              </w:rPr>
              <w:t>本栏第1栏条文均为GB/T 50378-2019中的控制项要求以及GB 55020-2021条文要求，第2、3条为浙江省《绿色建筑条例》要求，是绿色建筑设计的强制性控制内容，必须逐条满足。</w:t>
            </w:r>
          </w:p>
        </w:tc>
      </w:tr>
    </w:tbl>
    <w:p>
      <w:pPr>
        <w:pStyle w:val="17"/>
        <w:spacing w:line="360" w:lineRule="auto"/>
        <w:ind w:firstLine="420"/>
        <w:rPr>
          <w:rFonts w:asciiTheme="minorEastAsia" w:hAnsiTheme="minorEastAsia" w:eastAsiaTheme="minorEastAsia"/>
          <w:sz w:val="24"/>
        </w:rPr>
      </w:pPr>
    </w:p>
    <w:p>
      <w:pPr>
        <w:pStyle w:val="17"/>
        <w:spacing w:line="360" w:lineRule="auto"/>
        <w:ind w:firstLine="482"/>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w:t>
      </w:r>
      <w:r>
        <w:rPr>
          <w:rFonts w:asciiTheme="minorEastAsia" w:hAnsiTheme="minorEastAsia" w:eastAsiaTheme="minorEastAsia"/>
          <w:b/>
          <w:sz w:val="24"/>
          <w:lang w:val="en-GB"/>
        </w:rPr>
        <w:t>内容：</w:t>
      </w:r>
    </w:p>
    <w:p>
      <w:pPr>
        <w:pStyle w:val="17"/>
        <w:numPr>
          <w:ilvl w:val="0"/>
          <w:numId w:val="64"/>
        </w:num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可</w:t>
      </w:r>
      <w:r>
        <w:rPr>
          <w:rFonts w:asciiTheme="minorEastAsia" w:hAnsiTheme="minorEastAsia" w:eastAsiaTheme="minorEastAsia"/>
          <w:b/>
          <w:sz w:val="24"/>
        </w:rPr>
        <w:t>再生</w:t>
      </w:r>
      <w:r>
        <w:rPr>
          <w:rFonts w:hint="eastAsia" w:asciiTheme="minorEastAsia" w:hAnsiTheme="minorEastAsia" w:eastAsiaTheme="minorEastAsia"/>
          <w:b/>
          <w:sz w:val="24"/>
        </w:rPr>
        <w:t>能源利用</w:t>
      </w:r>
    </w:p>
    <w:p>
      <w:pPr>
        <w:spacing w:line="360" w:lineRule="auto"/>
        <w:rPr>
          <w:rFonts w:hAnsi="宋体"/>
          <w:b/>
          <w:sz w:val="24"/>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rPr>
              <w:t>浙江省绿色建筑条例</w:t>
            </w:r>
          </w:p>
        </w:tc>
        <w:tc>
          <w:tcPr>
            <w:tcW w:w="5670" w:type="dxa"/>
          </w:tcPr>
          <w:p>
            <w:pPr>
              <w:spacing w:line="360" w:lineRule="auto"/>
              <w:rPr>
                <w:rFonts w:hAnsi="宋体"/>
                <w:sz w:val="24"/>
              </w:rPr>
            </w:pPr>
            <w:r>
              <w:rPr>
                <w:rFonts w:hint="eastAsia" w:hAnsi="宋体"/>
                <w:sz w:val="24"/>
              </w:rPr>
              <w:t>第31条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rPr>
              <w:t>DB</w:t>
            </w:r>
            <w:r>
              <w:rPr>
                <w:rFonts w:hAnsi="宋体"/>
                <w:sz w:val="24"/>
              </w:rPr>
              <w:t>33/1092-2021</w:t>
            </w:r>
          </w:p>
        </w:tc>
        <w:tc>
          <w:tcPr>
            <w:tcW w:w="5670" w:type="dxa"/>
          </w:tcPr>
          <w:p>
            <w:pPr>
              <w:spacing w:line="360" w:lineRule="auto"/>
              <w:rPr>
                <w:rFonts w:hAnsi="宋体"/>
                <w:sz w:val="24"/>
              </w:rPr>
            </w:pPr>
            <w:r>
              <w:rPr>
                <w:rFonts w:hint="eastAsia" w:hAnsi="宋体"/>
                <w:sz w:val="24"/>
              </w:rPr>
              <w:t>7</w:t>
            </w:r>
            <w:r>
              <w:rPr>
                <w:rFonts w:hAnsi="宋体"/>
                <w:sz w:val="24"/>
              </w:rPr>
              <w:t>.1</w:t>
            </w:r>
            <w:r>
              <w:rPr>
                <w:rFonts w:hint="eastAsia" w:hAnsi="宋体"/>
                <w:sz w:val="24"/>
              </w:rPr>
              <w:t>．3、7.2.4、7.2.5、7.2.6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rPr>
              <w:t>GB55015-2021</w:t>
            </w:r>
          </w:p>
        </w:tc>
        <w:tc>
          <w:tcPr>
            <w:tcW w:w="5670" w:type="dxa"/>
          </w:tcPr>
          <w:p>
            <w:pPr>
              <w:spacing w:line="360" w:lineRule="auto"/>
              <w:rPr>
                <w:rFonts w:hAnsi="宋体"/>
                <w:sz w:val="24"/>
              </w:rPr>
            </w:pPr>
            <w:r>
              <w:rPr>
                <w:rFonts w:hint="eastAsia" w:hAnsi="宋体"/>
                <w:sz w:val="24"/>
              </w:rPr>
              <w:t>3.4.1、3.4.3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2"/>
          </w:tcPr>
          <w:p>
            <w:pPr>
              <w:autoSpaceDE w:val="0"/>
              <w:autoSpaceDN w:val="0"/>
              <w:adjustRightInd w:val="0"/>
              <w:spacing w:line="360" w:lineRule="auto"/>
              <w:jc w:val="left"/>
              <w:rPr>
                <w:rFonts w:hAnsi="宋体"/>
                <w:sz w:val="24"/>
              </w:rPr>
            </w:pPr>
            <w:r>
              <w:rPr>
                <w:rFonts w:hint="eastAsia" w:hAnsi="宋体"/>
                <w:sz w:val="24"/>
              </w:rPr>
              <w:t>查阅设计图纸及说明，节能评估报告书。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2"/>
          </w:tcPr>
          <w:p>
            <w:pPr>
              <w:widowControl/>
              <w:spacing w:line="360" w:lineRule="auto"/>
              <w:rPr>
                <w:sz w:val="24"/>
              </w:rPr>
            </w:pPr>
            <w:r>
              <w:rPr>
                <w:rFonts w:hint="eastAsia"/>
                <w:sz w:val="24"/>
              </w:rPr>
              <w:t>居住建筑和设有集中生活热水系统的公共建筑，应优先采用余热、废热或可再生能源作为热源加热制备生活热水。可再生能源应用量必须满足《民用建筑可再生能源应用核算标准》</w:t>
            </w:r>
            <w:r>
              <w:rPr>
                <w:sz w:val="24"/>
              </w:rPr>
              <w:t>DB33/1105-2022</w:t>
            </w:r>
            <w:r>
              <w:rPr>
                <w:rFonts w:hint="eastAsia"/>
                <w:sz w:val="24"/>
              </w:rPr>
              <w:t>要求。</w:t>
            </w:r>
          </w:p>
          <w:p>
            <w:pPr>
              <w:widowControl/>
              <w:spacing w:line="360" w:lineRule="auto"/>
              <w:rPr>
                <w:sz w:val="24"/>
              </w:rPr>
            </w:pPr>
            <w:r>
              <w:rPr>
                <w:rFonts w:hint="eastAsia"/>
                <w:sz w:val="24"/>
              </w:rPr>
              <w:t>太阳能光热系统计算：太阳能光热系统的可再生能源核算节能量可根据下式计算：</w:t>
            </w:r>
          </w:p>
          <w:p>
            <w:pPr>
              <w:widowControl/>
              <w:spacing w:line="360" w:lineRule="auto"/>
              <w:rPr>
                <w:sz w:val="24"/>
              </w:rPr>
            </w:pPr>
            <w:r>
              <w:rPr>
                <w:sz w:val="24"/>
              </w:rPr>
              <w:t>QL</w:t>
            </w:r>
            <w:r>
              <w:rPr>
                <w:sz w:val="24"/>
                <w:vertAlign w:val="subscript"/>
              </w:rPr>
              <w:t>S</w:t>
            </w:r>
            <w:r>
              <w:rPr>
                <w:sz w:val="24"/>
              </w:rPr>
              <w:t>=B</w:t>
            </w:r>
            <w:r>
              <w:rPr>
                <w:sz w:val="24"/>
                <w:vertAlign w:val="subscript"/>
              </w:rPr>
              <w:t>S</w:t>
            </w:r>
            <w:r>
              <w:rPr>
                <w:sz w:val="24"/>
              </w:rPr>
              <w:t>*A</w:t>
            </w:r>
            <w:r>
              <w:rPr>
                <w:sz w:val="24"/>
                <w:vertAlign w:val="subscript"/>
              </w:rPr>
              <w:t>S</w:t>
            </w:r>
          </w:p>
          <w:p>
            <w:pPr>
              <w:widowControl/>
              <w:spacing w:line="360" w:lineRule="auto"/>
              <w:rPr>
                <w:sz w:val="24"/>
              </w:rPr>
            </w:pPr>
            <w:r>
              <w:rPr>
                <w:sz w:val="24"/>
              </w:rPr>
              <w:t>QL</w:t>
            </w:r>
            <w:r>
              <w:rPr>
                <w:sz w:val="24"/>
                <w:vertAlign w:val="subscript"/>
              </w:rPr>
              <w:t>S</w:t>
            </w:r>
            <w:r>
              <w:rPr>
                <w:rFonts w:hint="eastAsia"/>
                <w:sz w:val="24"/>
              </w:rPr>
              <w:t>—太阳能热水系统可再生能源年综合节能量,kWh/a；</w:t>
            </w:r>
          </w:p>
          <w:p>
            <w:pPr>
              <w:widowControl/>
              <w:spacing w:line="360" w:lineRule="auto"/>
              <w:rPr>
                <w:sz w:val="24"/>
              </w:rPr>
            </w:pPr>
            <w:r>
              <w:rPr>
                <w:sz w:val="24"/>
              </w:rPr>
              <w:t>A</w:t>
            </w:r>
            <w:r>
              <w:rPr>
                <w:sz w:val="24"/>
                <w:vertAlign w:val="subscript"/>
              </w:rPr>
              <w:t>S</w:t>
            </w:r>
            <w:r>
              <w:rPr>
                <w:rFonts w:hint="eastAsia"/>
                <w:sz w:val="24"/>
              </w:rPr>
              <w:t>—太阳能集热器的面积，m</w:t>
            </w:r>
            <w:r>
              <w:rPr>
                <w:rFonts w:hint="eastAsia" w:hAnsi="宋体"/>
                <w:sz w:val="24"/>
              </w:rPr>
              <w:t>²</w:t>
            </w:r>
          </w:p>
          <w:p>
            <w:pPr>
              <w:widowControl/>
              <w:spacing w:line="360" w:lineRule="auto"/>
              <w:rPr>
                <w:sz w:val="24"/>
              </w:rPr>
            </w:pPr>
            <w:r>
              <w:rPr>
                <w:sz w:val="24"/>
              </w:rPr>
              <w:t>B</w:t>
            </w:r>
            <w:r>
              <w:rPr>
                <w:sz w:val="24"/>
                <w:vertAlign w:val="subscript"/>
              </w:rPr>
              <w:t>S</w:t>
            </w:r>
            <w:r>
              <w:rPr>
                <w:rFonts w:hint="eastAsia"/>
                <w:sz w:val="24"/>
              </w:rPr>
              <w:t>—太阳能热水系统可再生能源综合利用量核算系数，取值192KWh/(m</w:t>
            </w:r>
            <w:r>
              <w:rPr>
                <w:rFonts w:hint="eastAsia" w:hAnsi="宋体"/>
                <w:sz w:val="24"/>
              </w:rPr>
              <w:t>²˙</w:t>
            </w:r>
            <w:r>
              <w:rPr>
                <w:rFonts w:hAnsi="宋体"/>
                <w:sz w:val="24"/>
              </w:rPr>
              <w:t>a)</w:t>
            </w:r>
          </w:p>
          <w:p>
            <w:pPr>
              <w:widowControl/>
              <w:spacing w:line="360" w:lineRule="auto"/>
              <w:rPr>
                <w:sz w:val="24"/>
              </w:rPr>
            </w:pPr>
            <w:r>
              <w:rPr>
                <w:rFonts w:hint="eastAsia"/>
                <w:sz w:val="24"/>
              </w:rPr>
              <w:t>空气源热泵热水系统计算：空气源热泵热水系统的可再生能源综合利用量核算值应取下列2个公式计算的较小值：</w:t>
            </w:r>
          </w:p>
          <w:p>
            <w:pPr>
              <w:widowControl/>
              <w:spacing w:line="360" w:lineRule="auto"/>
              <w:rPr>
                <w:sz w:val="24"/>
              </w:rPr>
            </w:pPr>
            <w:r>
              <w:rPr>
                <w:sz w:val="24"/>
              </w:rPr>
              <w:t>QL</w:t>
            </w:r>
            <w:r>
              <w:rPr>
                <w:sz w:val="24"/>
                <w:vertAlign w:val="subscript"/>
              </w:rPr>
              <w:t>k</w:t>
            </w:r>
            <w:r>
              <w:rPr>
                <w:sz w:val="24"/>
              </w:rPr>
              <w:t>=B</w:t>
            </w:r>
            <w:r>
              <w:rPr>
                <w:sz w:val="24"/>
                <w:vertAlign w:val="subscript"/>
              </w:rPr>
              <w:t>k</w:t>
            </w:r>
            <w:r>
              <w:rPr>
                <w:sz w:val="24"/>
              </w:rPr>
              <w:t>*q</w:t>
            </w:r>
            <w:r>
              <w:rPr>
                <w:sz w:val="24"/>
                <w:vertAlign w:val="subscript"/>
              </w:rPr>
              <w:t>r</w:t>
            </w:r>
            <w:r>
              <w:rPr>
                <w:sz w:val="24"/>
              </w:rPr>
              <w:t>*S*D</w:t>
            </w:r>
            <w:r>
              <w:rPr>
                <w:sz w:val="24"/>
                <w:vertAlign w:val="subscript"/>
              </w:rPr>
              <w:t>a</w:t>
            </w:r>
          </w:p>
          <w:p>
            <w:pPr>
              <w:widowControl/>
              <w:spacing w:line="360" w:lineRule="auto"/>
              <w:rPr>
                <w:sz w:val="24"/>
              </w:rPr>
            </w:pPr>
            <w:r>
              <w:rPr>
                <w:sz w:val="24"/>
              </w:rPr>
              <w:t>QL</w:t>
            </w:r>
            <w:r>
              <w:rPr>
                <w:sz w:val="24"/>
                <w:vertAlign w:val="subscript"/>
              </w:rPr>
              <w:t>k</w:t>
            </w:r>
            <w:r>
              <w:rPr>
                <w:sz w:val="24"/>
              </w:rPr>
              <w:t>=B</w:t>
            </w:r>
            <w:r>
              <w:rPr>
                <w:sz w:val="24"/>
                <w:vertAlign w:val="subscript"/>
              </w:rPr>
              <w:t>ks</w:t>
            </w:r>
            <w:r>
              <w:rPr>
                <w:sz w:val="24"/>
              </w:rPr>
              <w:t>*W</w:t>
            </w:r>
            <w:r>
              <w:rPr>
                <w:sz w:val="24"/>
                <w:vertAlign w:val="subscript"/>
              </w:rPr>
              <w:t>k</w:t>
            </w:r>
            <w:r>
              <w:rPr>
                <w:sz w:val="24"/>
              </w:rPr>
              <w:t>*T*D</w:t>
            </w:r>
            <w:r>
              <w:rPr>
                <w:sz w:val="24"/>
                <w:vertAlign w:val="subscript"/>
              </w:rPr>
              <w:t>a</w:t>
            </w:r>
          </w:p>
          <w:p>
            <w:pPr>
              <w:widowControl/>
              <w:spacing w:line="360" w:lineRule="auto"/>
              <w:rPr>
                <w:sz w:val="24"/>
              </w:rPr>
            </w:pPr>
            <w:r>
              <w:rPr>
                <w:sz w:val="24"/>
              </w:rPr>
              <w:t>q</w:t>
            </w:r>
            <w:r>
              <w:rPr>
                <w:sz w:val="24"/>
                <w:vertAlign w:val="subscript"/>
              </w:rPr>
              <w:t>r</w:t>
            </w:r>
            <w:r>
              <w:rPr>
                <w:rFonts w:hint="eastAsia"/>
                <w:sz w:val="24"/>
              </w:rPr>
              <w:t xml:space="preserve"> —热水平均日用水定额；</w:t>
            </w:r>
          </w:p>
          <w:p>
            <w:pPr>
              <w:widowControl/>
              <w:spacing w:line="360" w:lineRule="auto"/>
              <w:rPr>
                <w:sz w:val="24"/>
              </w:rPr>
            </w:pPr>
            <w:r>
              <w:rPr>
                <w:rFonts w:hint="eastAsia"/>
                <w:sz w:val="24"/>
              </w:rPr>
              <w:t>S—用水单位，人或人·次</w:t>
            </w:r>
          </w:p>
          <w:p>
            <w:pPr>
              <w:widowControl/>
              <w:spacing w:line="360" w:lineRule="auto"/>
              <w:rPr>
                <w:sz w:val="24"/>
              </w:rPr>
            </w:pPr>
            <w:r>
              <w:rPr>
                <w:sz w:val="24"/>
              </w:rPr>
              <w:t>D</w:t>
            </w:r>
            <w:r>
              <w:rPr>
                <w:sz w:val="24"/>
                <w:vertAlign w:val="subscript"/>
              </w:rPr>
              <w:t>a</w:t>
            </w:r>
            <w:r>
              <w:rPr>
                <w:rFonts w:hint="eastAsia"/>
                <w:sz w:val="24"/>
              </w:rPr>
              <w:t xml:space="preserve"> —年用水天数，公共建筑按项目运行天数选取（天/a）</w:t>
            </w:r>
          </w:p>
          <w:p>
            <w:pPr>
              <w:widowControl/>
              <w:spacing w:line="360" w:lineRule="auto"/>
              <w:rPr>
                <w:sz w:val="24"/>
              </w:rPr>
            </w:pPr>
            <w:r>
              <w:rPr>
                <w:sz w:val="24"/>
              </w:rPr>
              <w:t>W</w:t>
            </w:r>
            <w:r>
              <w:rPr>
                <w:sz w:val="24"/>
                <w:vertAlign w:val="subscript"/>
              </w:rPr>
              <w:t>k</w:t>
            </w:r>
            <w:r>
              <w:rPr>
                <w:rFonts w:hint="eastAsia"/>
                <w:sz w:val="24"/>
              </w:rPr>
              <w:t>—空气源热泵热水机组的额定输入功率（KW）</w:t>
            </w:r>
          </w:p>
          <w:p>
            <w:pPr>
              <w:widowControl/>
              <w:spacing w:line="360" w:lineRule="auto"/>
              <w:rPr>
                <w:sz w:val="24"/>
              </w:rPr>
            </w:pPr>
            <w:r>
              <w:rPr>
                <w:rFonts w:hint="eastAsia"/>
                <w:sz w:val="24"/>
              </w:rPr>
              <w:t>T—机组每天运行时间（h）</w:t>
            </w:r>
          </w:p>
          <w:p>
            <w:pPr>
              <w:widowControl/>
              <w:spacing w:line="360" w:lineRule="auto"/>
              <w:rPr>
                <w:sz w:val="24"/>
              </w:rPr>
            </w:pPr>
            <w:r>
              <w:rPr>
                <w:sz w:val="24"/>
              </w:rPr>
              <w:t>B</w:t>
            </w:r>
            <w:r>
              <w:rPr>
                <w:sz w:val="24"/>
                <w:vertAlign w:val="subscript"/>
              </w:rPr>
              <w:t>k</w:t>
            </w:r>
            <w:r>
              <w:rPr>
                <w:rFonts w:hint="eastAsia"/>
                <w:sz w:val="24"/>
              </w:rPr>
              <w:t xml:space="preserve"> —空气源热泵热水系统可再生能源利用量热水量计算法核算系数，取值0.0068</w:t>
            </w:r>
            <w:r>
              <w:rPr>
                <w:sz w:val="24"/>
              </w:rPr>
              <w:t>kWh/L</w:t>
            </w:r>
          </w:p>
          <w:p>
            <w:pPr>
              <w:widowControl/>
              <w:spacing w:line="360" w:lineRule="auto"/>
              <w:rPr>
                <w:rFonts w:hAnsi="宋体"/>
                <w:sz w:val="24"/>
              </w:rPr>
            </w:pPr>
            <w:r>
              <w:rPr>
                <w:sz w:val="24"/>
              </w:rPr>
              <w:t>B</w:t>
            </w:r>
            <w:r>
              <w:rPr>
                <w:sz w:val="24"/>
                <w:vertAlign w:val="subscript"/>
              </w:rPr>
              <w:t>ks</w:t>
            </w:r>
            <w:r>
              <w:rPr>
                <w:rFonts w:hint="eastAsia"/>
                <w:sz w:val="24"/>
              </w:rPr>
              <w:t xml:space="preserve"> —空气源热泵热水系统可再生能源利用量额定输入功率计算法核算系数，取值</w:t>
            </w:r>
            <w:r>
              <w:rPr>
                <w:sz w:val="24"/>
              </w:rPr>
              <w:t>0.42kW/kW</w:t>
            </w:r>
          </w:p>
        </w:tc>
      </w:tr>
    </w:tbl>
    <w:p>
      <w:pPr>
        <w:spacing w:line="360" w:lineRule="auto"/>
        <w:rPr>
          <w:rFonts w:hAnsi="宋体"/>
          <w:sz w:val="24"/>
          <w:lang w:val="en-GB"/>
        </w:rPr>
      </w:pPr>
    </w:p>
    <w:p>
      <w:pPr>
        <w:spacing w:line="360" w:lineRule="auto"/>
        <w:ind w:firstLine="422"/>
        <w:jc w:val="left"/>
        <w:rPr>
          <w:rFonts w:cs="宋体" w:asciiTheme="minorEastAsia" w:hAnsiTheme="minorEastAsia" w:eastAsiaTheme="minorEastAsia"/>
          <w:b/>
          <w:bCs/>
          <w:sz w:val="24"/>
        </w:rPr>
      </w:pPr>
      <w:r>
        <w:rPr>
          <w:rFonts w:hint="eastAsia" w:cs="宋体" w:asciiTheme="minorEastAsia" w:hAnsiTheme="minorEastAsia" w:eastAsiaTheme="minorEastAsia"/>
          <w:b/>
          <w:bCs/>
          <w:sz w:val="24"/>
        </w:rPr>
        <w:t>二、安全耐久健康舒适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5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GB/T50378-20</w:t>
            </w:r>
            <w:r>
              <w:rPr>
                <w:sz w:val="24"/>
              </w:rPr>
              <w:t>19</w:t>
            </w:r>
          </w:p>
        </w:tc>
        <w:tc>
          <w:tcPr>
            <w:tcW w:w="5811" w:type="dxa"/>
          </w:tcPr>
          <w:p>
            <w:pPr>
              <w:pStyle w:val="84"/>
              <w:spacing w:line="360" w:lineRule="auto"/>
              <w:rPr>
                <w:sz w:val="24"/>
              </w:rPr>
            </w:pPr>
            <w:r>
              <w:rPr>
                <w:sz w:val="24"/>
              </w:rPr>
              <w:t>4.2.7</w:t>
            </w:r>
            <w:r>
              <w:rPr>
                <w:rFonts w:hint="eastAsia"/>
                <w:sz w:val="24"/>
              </w:rPr>
              <w:t>条，</w:t>
            </w:r>
            <w:r>
              <w:rPr>
                <w:sz w:val="24"/>
              </w:rPr>
              <w:t>5.2.3</w:t>
            </w:r>
            <w:r>
              <w:rPr>
                <w:rFonts w:hint="eastAsia"/>
                <w:sz w:val="24"/>
              </w:rPr>
              <w:t>、5</w:t>
            </w:r>
            <w:r>
              <w:rPr>
                <w:sz w:val="24"/>
              </w:rPr>
              <w:t>.2.4.5.2.5</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5811" w:type="dxa"/>
          </w:tcPr>
          <w:p>
            <w:pPr>
              <w:pStyle w:val="84"/>
              <w:spacing w:line="360" w:lineRule="auto"/>
              <w:rPr>
                <w:sz w:val="24"/>
              </w:rPr>
            </w:pPr>
            <w:r>
              <w:rPr>
                <w:rFonts w:hint="eastAsia"/>
                <w:sz w:val="24"/>
              </w:rPr>
              <w:t>7.1.5、7.2.1、7.2.3、7.2.8、7.2.9条。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7796" w:type="dxa"/>
            <w:gridSpan w:val="2"/>
          </w:tcPr>
          <w:p>
            <w:pPr>
              <w:pStyle w:val="84"/>
              <w:spacing w:line="360" w:lineRule="auto"/>
              <w:jc w:val="left"/>
              <w:rPr>
                <w:sz w:val="24"/>
              </w:rPr>
            </w:pPr>
            <w:r>
              <w:rPr>
                <w:rFonts w:hint="eastAsia"/>
                <w:sz w:val="24"/>
              </w:rPr>
              <w:t>查阅设计图纸及说明，节能评估报告书。</w:t>
            </w:r>
          </w:p>
          <w:p>
            <w:pPr>
              <w:pStyle w:val="84"/>
              <w:spacing w:line="360" w:lineRule="auto"/>
              <w:jc w:val="left"/>
              <w:rPr>
                <w:sz w:val="24"/>
              </w:rPr>
            </w:pPr>
            <w:r>
              <w:rPr>
                <w:rFonts w:hint="eastAsia"/>
                <w:sz w:val="24"/>
              </w:rPr>
              <w:t>设计说明中对管材管件阀门等的选择应符合下列要求</w:t>
            </w:r>
            <w:r>
              <w:rPr>
                <w:sz w:val="24"/>
              </w:rPr>
              <w:t>:</w:t>
            </w:r>
          </w:p>
          <w:p>
            <w:pPr>
              <w:pStyle w:val="84"/>
              <w:spacing w:line="360" w:lineRule="auto"/>
              <w:jc w:val="left"/>
              <w:rPr>
                <w:sz w:val="24"/>
              </w:rPr>
            </w:pPr>
            <w:r>
              <w:rPr>
                <w:sz w:val="24"/>
              </w:rPr>
              <w:t>1)</w:t>
            </w:r>
            <w:r>
              <w:rPr>
                <w:rFonts w:hint="eastAsia"/>
                <w:sz w:val="24"/>
              </w:rPr>
              <w:t>给水系统中使用的管材、管件</w:t>
            </w:r>
            <w:r>
              <w:rPr>
                <w:sz w:val="24"/>
              </w:rPr>
              <w:t>,</w:t>
            </w:r>
            <w:r>
              <w:rPr>
                <w:rFonts w:hint="eastAsia"/>
                <w:sz w:val="24"/>
              </w:rPr>
              <w:t>必须符合现行产品行业标准的要求。对新型管材和管件应符合企业标准的要求</w:t>
            </w:r>
            <w:r>
              <w:rPr>
                <w:sz w:val="24"/>
              </w:rPr>
              <w:t>,</w:t>
            </w:r>
            <w:r>
              <w:rPr>
                <w:rFonts w:hint="eastAsia"/>
                <w:sz w:val="24"/>
              </w:rPr>
              <w:t>企业标准必须经山有关行政和政府主管部门</w:t>
            </w:r>
            <w:r>
              <w:rPr>
                <w:sz w:val="24"/>
              </w:rPr>
              <w:t>,</w:t>
            </w:r>
            <w:r>
              <w:rPr>
                <w:rFonts w:hint="eastAsia"/>
                <w:sz w:val="24"/>
              </w:rPr>
              <w:t>组织专家评估或鉴定通过</w:t>
            </w:r>
            <w:r>
              <w:rPr>
                <w:sz w:val="24"/>
              </w:rPr>
              <w:t>;</w:t>
            </w:r>
          </w:p>
          <w:p>
            <w:pPr>
              <w:pStyle w:val="84"/>
              <w:spacing w:line="360" w:lineRule="auto"/>
              <w:jc w:val="left"/>
              <w:rPr>
                <w:sz w:val="24"/>
              </w:rPr>
            </w:pPr>
            <w:r>
              <w:rPr>
                <w:sz w:val="24"/>
              </w:rPr>
              <w:t>2)</w:t>
            </w:r>
            <w:r>
              <w:rPr>
                <w:rFonts w:hint="eastAsia"/>
                <w:sz w:val="24"/>
              </w:rPr>
              <w:t>选用性能高的阀门、零泄漏阀门等</w:t>
            </w:r>
            <w:r>
              <w:rPr>
                <w:sz w:val="24"/>
              </w:rPr>
              <w:t>;</w:t>
            </w:r>
          </w:p>
          <w:p>
            <w:pPr>
              <w:pStyle w:val="84"/>
              <w:spacing w:line="360" w:lineRule="auto"/>
              <w:jc w:val="left"/>
              <w:rPr>
                <w:sz w:val="24"/>
              </w:rPr>
            </w:pPr>
            <w:r>
              <w:rPr>
                <w:sz w:val="24"/>
              </w:rPr>
              <w:t>3)</w:t>
            </w:r>
            <w:r>
              <w:rPr>
                <w:rFonts w:hint="eastAsia"/>
                <w:sz w:val="24"/>
              </w:rPr>
              <w:t>合理设计供水压力</w:t>
            </w:r>
            <w:r>
              <w:rPr>
                <w:sz w:val="24"/>
              </w:rPr>
              <w:t>,</w:t>
            </w:r>
            <w:r>
              <w:rPr>
                <w:rFonts w:hint="eastAsia"/>
                <w:sz w:val="24"/>
              </w:rPr>
              <w:t>避免供水压力持续高压或压力骤变.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7796" w:type="dxa"/>
            <w:gridSpan w:val="2"/>
          </w:tcPr>
          <w:p>
            <w:pPr>
              <w:pStyle w:val="84"/>
              <w:spacing w:line="360" w:lineRule="auto"/>
              <w:jc w:val="left"/>
              <w:rPr>
                <w:sz w:val="24"/>
              </w:rPr>
            </w:pPr>
            <w:r>
              <w:rPr>
                <w:rFonts w:hint="eastAsia"/>
                <w:sz w:val="24"/>
              </w:rPr>
              <w:t>远传水表应根据水量平衡测试的要求分级安装，分级计量水表安装率应达100％。具体要求为下级水表的设置应覆盖上一级水表的所有出流量，不得出现无计量支路。物业管理方应通过远传水表的数据进行管道漏损情况检测，随时了解管道漏损情况，及时查找漏损点并进行整改。</w:t>
            </w:r>
          </w:p>
        </w:tc>
      </w:tr>
    </w:tbl>
    <w:p>
      <w:pPr>
        <w:spacing w:line="360" w:lineRule="auto"/>
        <w:ind w:firstLine="422"/>
        <w:jc w:val="left"/>
        <w:rPr>
          <w:rFonts w:cs="宋体" w:asciiTheme="minorEastAsia" w:hAnsiTheme="minorEastAsia" w:eastAsiaTheme="minorEastAsia"/>
          <w:b/>
          <w:bCs/>
          <w:sz w:val="24"/>
        </w:rPr>
      </w:pPr>
    </w:p>
    <w:p>
      <w:pPr>
        <w:spacing w:line="360" w:lineRule="auto"/>
        <w:ind w:firstLine="422"/>
        <w:jc w:val="left"/>
        <w:rPr>
          <w:rFonts w:cs="宋体" w:asciiTheme="minorEastAsia" w:hAnsiTheme="minorEastAsia" w:eastAsiaTheme="minorEastAsia"/>
          <w:b/>
          <w:bCs/>
          <w:sz w:val="24"/>
        </w:rPr>
      </w:pPr>
      <w:r>
        <w:rPr>
          <w:rFonts w:hint="eastAsia" w:cs="宋体" w:asciiTheme="minorEastAsia" w:hAnsiTheme="minorEastAsia" w:eastAsiaTheme="minorEastAsia"/>
          <w:b/>
          <w:bCs/>
          <w:sz w:val="24"/>
        </w:rPr>
        <w:t>三、本项目给水系统</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50015-201</w:t>
            </w:r>
            <w:r>
              <w:rPr>
                <w:sz w:val="24"/>
              </w:rPr>
              <w:t>9</w:t>
            </w:r>
          </w:p>
        </w:tc>
        <w:tc>
          <w:tcPr>
            <w:tcW w:w="5670" w:type="dxa"/>
          </w:tcPr>
          <w:p>
            <w:pPr>
              <w:pStyle w:val="84"/>
              <w:spacing w:line="360" w:lineRule="auto"/>
              <w:rPr>
                <w:sz w:val="24"/>
              </w:rPr>
            </w:pPr>
            <w:r>
              <w:rPr>
                <w:rFonts w:hint="eastAsia"/>
                <w:sz w:val="24"/>
              </w:rPr>
              <w:t>3.4节、3.13.3条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GB/T 50378-201</w:t>
            </w:r>
            <w:r>
              <w:rPr>
                <w:sz w:val="24"/>
              </w:rPr>
              <w:t>9</w:t>
            </w:r>
          </w:p>
        </w:tc>
        <w:tc>
          <w:tcPr>
            <w:tcW w:w="5670" w:type="dxa"/>
          </w:tcPr>
          <w:p>
            <w:pPr>
              <w:pStyle w:val="84"/>
              <w:spacing w:line="360" w:lineRule="auto"/>
              <w:rPr>
                <w:sz w:val="24"/>
              </w:rPr>
            </w:pPr>
            <w:r>
              <w:rPr>
                <w:sz w:val="24"/>
              </w:rPr>
              <w:t>7.1.7</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5670" w:type="dxa"/>
          </w:tcPr>
          <w:p>
            <w:pPr>
              <w:pStyle w:val="84"/>
              <w:spacing w:line="360" w:lineRule="auto"/>
              <w:rPr>
                <w:sz w:val="24"/>
              </w:rPr>
            </w:pPr>
            <w:r>
              <w:rPr>
                <w:rFonts w:hint="eastAsia"/>
                <w:sz w:val="24"/>
              </w:rPr>
              <w:t>7.2.</w:t>
            </w:r>
            <w:r>
              <w:rPr>
                <w:sz w:val="24"/>
              </w:rPr>
              <w:t>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DB33/1036-2021</w:t>
            </w:r>
          </w:p>
        </w:tc>
        <w:tc>
          <w:tcPr>
            <w:tcW w:w="5670" w:type="dxa"/>
          </w:tcPr>
          <w:p>
            <w:pPr>
              <w:pStyle w:val="84"/>
              <w:spacing w:line="360" w:lineRule="auto"/>
              <w:rPr>
                <w:sz w:val="24"/>
              </w:rPr>
            </w:pPr>
            <w:r>
              <w:rPr>
                <w:rFonts w:hint="eastAsia"/>
                <w:sz w:val="24"/>
              </w:rPr>
              <w:t>6.2.1、6.2.3、6.2.4、6.2.5条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7796" w:type="dxa"/>
            <w:gridSpan w:val="2"/>
          </w:tcPr>
          <w:p>
            <w:pPr>
              <w:pStyle w:val="84"/>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7796" w:type="dxa"/>
            <w:gridSpan w:val="2"/>
          </w:tcPr>
          <w:p>
            <w:pPr>
              <w:pStyle w:val="84"/>
              <w:spacing w:line="360" w:lineRule="auto"/>
              <w:rPr>
                <w:sz w:val="24"/>
              </w:rPr>
            </w:pPr>
          </w:p>
        </w:tc>
      </w:tr>
    </w:tbl>
    <w:p>
      <w:pPr>
        <w:spacing w:line="360" w:lineRule="auto"/>
        <w:ind w:firstLine="420"/>
        <w:rPr>
          <w:rFonts w:asciiTheme="minorEastAsia" w:hAnsiTheme="minorEastAsia" w:eastAsiaTheme="minorEastAsia"/>
          <w:sz w:val="24"/>
          <w:lang w:val="en-GB"/>
        </w:rPr>
      </w:pPr>
    </w:p>
    <w:p>
      <w:pPr>
        <w:spacing w:line="360" w:lineRule="auto"/>
        <w:ind w:firstLine="422"/>
        <w:jc w:val="left"/>
        <w:rPr>
          <w:rFonts w:cs="宋体" w:asciiTheme="minorEastAsia" w:hAnsiTheme="minorEastAsia" w:eastAsiaTheme="minorEastAsia"/>
          <w:b/>
          <w:bCs/>
          <w:sz w:val="24"/>
        </w:rPr>
      </w:pPr>
      <w:r>
        <w:rPr>
          <w:rFonts w:hint="eastAsia" w:cs="宋体" w:asciiTheme="minorEastAsia" w:hAnsiTheme="minorEastAsia" w:eastAsiaTheme="minorEastAsia"/>
          <w:b/>
          <w:bCs/>
          <w:sz w:val="24"/>
        </w:rPr>
        <w:t>四、节水与水资源利用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5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w:t>
            </w:r>
            <w:r>
              <w:rPr>
                <w:sz w:val="24"/>
              </w:rPr>
              <w:t>19</w:t>
            </w:r>
          </w:p>
        </w:tc>
        <w:tc>
          <w:tcPr>
            <w:tcW w:w="5811" w:type="dxa"/>
          </w:tcPr>
          <w:p>
            <w:pPr>
              <w:pStyle w:val="84"/>
              <w:spacing w:line="360" w:lineRule="auto"/>
              <w:rPr>
                <w:sz w:val="24"/>
              </w:rPr>
            </w:pPr>
            <w:r>
              <w:rPr>
                <w:rFonts w:hint="eastAsia"/>
                <w:sz w:val="24"/>
              </w:rPr>
              <w:t>6</w:t>
            </w:r>
            <w:r>
              <w:rPr>
                <w:sz w:val="24"/>
              </w:rPr>
              <w:t>.2.8</w:t>
            </w:r>
            <w:r>
              <w:rPr>
                <w:rFonts w:hint="eastAsia"/>
                <w:sz w:val="24"/>
              </w:rPr>
              <w:t>、</w:t>
            </w:r>
            <w:r>
              <w:rPr>
                <w:sz w:val="24"/>
              </w:rPr>
              <w:t>6.2.11</w:t>
            </w:r>
            <w:r>
              <w:rPr>
                <w:rFonts w:hint="eastAsia"/>
                <w:sz w:val="24"/>
              </w:rPr>
              <w:t>、</w:t>
            </w:r>
            <w:r>
              <w:rPr>
                <w:sz w:val="24"/>
              </w:rPr>
              <w:t>7.2.10</w:t>
            </w:r>
            <w:r>
              <w:rPr>
                <w:rFonts w:hint="eastAsia"/>
                <w:sz w:val="24"/>
              </w:rPr>
              <w:t>、7</w:t>
            </w:r>
            <w:r>
              <w:rPr>
                <w:sz w:val="24"/>
              </w:rPr>
              <w:t>.2.11</w:t>
            </w:r>
            <w:r>
              <w:rPr>
                <w:rFonts w:hint="eastAsia"/>
                <w:sz w:val="24"/>
              </w:rPr>
              <w:t>、7.2.12、7.2.13条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GB</w:t>
            </w:r>
            <w:r>
              <w:rPr>
                <w:sz w:val="24"/>
              </w:rPr>
              <w:t>50015-2019</w:t>
            </w:r>
          </w:p>
        </w:tc>
        <w:tc>
          <w:tcPr>
            <w:tcW w:w="5811" w:type="dxa"/>
          </w:tcPr>
          <w:p>
            <w:pPr>
              <w:pStyle w:val="84"/>
              <w:spacing w:line="360" w:lineRule="auto"/>
              <w:rPr>
                <w:sz w:val="24"/>
              </w:rPr>
            </w:pPr>
            <w:r>
              <w:rPr>
                <w:rFonts w:hint="eastAsia"/>
                <w:sz w:val="24"/>
              </w:rPr>
              <w:t>3</w:t>
            </w:r>
            <w:r>
              <w:rPr>
                <w:sz w:val="24"/>
              </w:rPr>
              <w:t>.4</w:t>
            </w:r>
            <w:r>
              <w:rPr>
                <w:rFonts w:hint="eastAsia"/>
                <w:sz w:val="24"/>
              </w:rPr>
              <w:t>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5811" w:type="dxa"/>
          </w:tcPr>
          <w:p>
            <w:pPr>
              <w:pStyle w:val="84"/>
              <w:spacing w:line="360" w:lineRule="auto"/>
              <w:rPr>
                <w:sz w:val="24"/>
              </w:rPr>
            </w:pPr>
            <w:r>
              <w:rPr>
                <w:rFonts w:hint="eastAsia"/>
                <w:sz w:val="24"/>
              </w:rPr>
              <w:t>7.2.3、7.2.9、7.2.10、7.</w:t>
            </w:r>
            <w:r>
              <w:rPr>
                <w:sz w:val="24"/>
              </w:rPr>
              <w:t>2.11</w:t>
            </w:r>
            <w:r>
              <w:rPr>
                <w:rFonts w:hint="eastAsia"/>
                <w:sz w:val="24"/>
              </w:rPr>
              <w:t>、7</w:t>
            </w:r>
            <w:r>
              <w:rPr>
                <w:sz w:val="24"/>
              </w:rPr>
              <w:t>.2.12</w:t>
            </w:r>
            <w:r>
              <w:rPr>
                <w:rFonts w:hint="eastAsia"/>
                <w:sz w:val="24"/>
              </w:rPr>
              <w:t>、7</w:t>
            </w:r>
            <w:r>
              <w:rPr>
                <w:sz w:val="24"/>
              </w:rPr>
              <w:t>.3.1</w:t>
            </w:r>
            <w:r>
              <w:rPr>
                <w:rFonts w:hint="eastAsia"/>
                <w:sz w:val="24"/>
              </w:rPr>
              <w:t>、7</w:t>
            </w:r>
            <w:r>
              <w:rPr>
                <w:sz w:val="24"/>
              </w:rPr>
              <w:t>.3.2</w:t>
            </w:r>
            <w:r>
              <w:rPr>
                <w:rFonts w:hint="eastAsia"/>
                <w:sz w:val="24"/>
              </w:rPr>
              <w:t>、7.3.9、7.3.10、7</w:t>
            </w:r>
            <w:r>
              <w:rPr>
                <w:sz w:val="24"/>
              </w:rPr>
              <w:t>.</w:t>
            </w:r>
            <w:r>
              <w:rPr>
                <w:rFonts w:hint="eastAsia"/>
                <w:sz w:val="24"/>
              </w:rPr>
              <w:t>3</w:t>
            </w:r>
            <w:r>
              <w:rPr>
                <w:sz w:val="24"/>
              </w:rPr>
              <w:t>.1</w:t>
            </w:r>
            <w:r>
              <w:rPr>
                <w:rFonts w:hint="eastAsia"/>
                <w:sz w:val="24"/>
              </w:rPr>
              <w:t>1</w:t>
            </w:r>
            <w:r>
              <w:rPr>
                <w:sz w:val="24"/>
              </w:rPr>
              <w:t>.</w:t>
            </w:r>
            <w:r>
              <w:rPr>
                <w:rFonts w:hint="eastAsia"/>
                <w:sz w:val="24"/>
              </w:rPr>
              <w:t>、7.4.1、7</w:t>
            </w:r>
            <w:r>
              <w:rPr>
                <w:sz w:val="24"/>
              </w:rPr>
              <w:t>.4.2</w:t>
            </w:r>
            <w:r>
              <w:rPr>
                <w:rFonts w:hint="eastAsia"/>
                <w:sz w:val="24"/>
              </w:rPr>
              <w:t>、7.4.3、7</w:t>
            </w:r>
            <w:r>
              <w:rPr>
                <w:sz w:val="24"/>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7796" w:type="dxa"/>
            <w:gridSpan w:val="2"/>
          </w:tcPr>
          <w:p>
            <w:pPr>
              <w:pStyle w:val="84"/>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7796" w:type="dxa"/>
            <w:gridSpan w:val="2"/>
          </w:tcPr>
          <w:p>
            <w:pPr>
              <w:pStyle w:val="84"/>
              <w:spacing w:line="360" w:lineRule="auto"/>
              <w:jc w:val="left"/>
              <w:rPr>
                <w:sz w:val="24"/>
              </w:rPr>
            </w:pPr>
            <w:r>
              <w:rPr>
                <w:rFonts w:hint="eastAsia"/>
                <w:sz w:val="24"/>
              </w:rPr>
              <w:t>按使用用途，对商业餐饮、公共卫生间、商户用水、绿化、空调系统、游泳池、景观等用水分别设置用水计量装置，统计用水量，如果本项目不涉及以上某些功能，涉及的功能已设计量装置，应填是。设计说明应明确计量要求</w:t>
            </w:r>
            <w:r>
              <w:rPr>
                <w:sz w:val="24"/>
              </w:rPr>
              <w:t>,</w:t>
            </w:r>
            <w:r>
              <w:rPr>
                <w:rFonts w:hint="eastAsia"/>
                <w:sz w:val="24"/>
              </w:rPr>
              <w:t>施工图中表示水表设置位置</w:t>
            </w:r>
            <w:r>
              <w:rPr>
                <w:sz w:val="24"/>
              </w:rPr>
              <w:t>,</w:t>
            </w:r>
            <w:r>
              <w:rPr>
                <w:rFonts w:hint="eastAsia"/>
                <w:sz w:val="24"/>
              </w:rPr>
              <w:t>分级计量水表安装率达</w:t>
            </w:r>
            <w:r>
              <w:rPr>
                <w:sz w:val="24"/>
              </w:rPr>
              <w:t>100%。</w:t>
            </w:r>
            <w:r>
              <w:rPr>
                <w:rFonts w:hint="eastAsia"/>
                <w:sz w:val="24"/>
              </w:rPr>
              <w:t>具体要求为下级水表的设置应覆盖上一级水表的所有出流量</w:t>
            </w:r>
            <w:r>
              <w:rPr>
                <w:sz w:val="24"/>
              </w:rPr>
              <w:t>,</w:t>
            </w:r>
            <w:r>
              <w:rPr>
                <w:rFonts w:hint="eastAsia"/>
                <w:sz w:val="24"/>
              </w:rPr>
              <w:t>不得出现无计量支路。设计说明中应明确绿化灌溉采用的灌水方式</w:t>
            </w:r>
            <w:r>
              <w:rPr>
                <w:sz w:val="24"/>
              </w:rPr>
              <w:t>,</w:t>
            </w:r>
            <w:r>
              <w:rPr>
                <w:rFonts w:hint="eastAsia"/>
                <w:sz w:val="24"/>
              </w:rPr>
              <w:t>及是否采用土壤湿度感应器或雨天关闭装置等措施。</w:t>
            </w:r>
          </w:p>
        </w:tc>
      </w:tr>
    </w:tbl>
    <w:p>
      <w:pPr>
        <w:pStyle w:val="17"/>
        <w:spacing w:line="360" w:lineRule="auto"/>
        <w:ind w:firstLine="420"/>
        <w:rPr>
          <w:rFonts w:asciiTheme="minorEastAsia" w:hAnsiTheme="minorEastAsia" w:eastAsiaTheme="minorEastAsia"/>
          <w:sz w:val="24"/>
        </w:rPr>
      </w:pPr>
    </w:p>
    <w:p>
      <w:pPr>
        <w:spacing w:line="360" w:lineRule="auto"/>
        <w:ind w:firstLine="422"/>
        <w:jc w:val="left"/>
        <w:rPr>
          <w:rFonts w:asciiTheme="minorEastAsia" w:hAnsiTheme="minorEastAsia" w:eastAsiaTheme="minorEastAsia"/>
          <w:b/>
          <w:sz w:val="24"/>
        </w:rPr>
      </w:pPr>
      <w:r>
        <w:rPr>
          <w:rFonts w:hint="eastAsia" w:asciiTheme="minorEastAsia" w:hAnsiTheme="minorEastAsia" w:eastAsiaTheme="minorEastAsia"/>
          <w:b/>
          <w:sz w:val="24"/>
        </w:rPr>
        <w:t>五、合理使用非传统水源</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5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1985" w:type="dxa"/>
          </w:tcPr>
          <w:p>
            <w:pPr>
              <w:pStyle w:val="84"/>
              <w:spacing w:line="360" w:lineRule="auto"/>
              <w:rPr>
                <w:sz w:val="24"/>
              </w:rPr>
            </w:pPr>
            <w:r>
              <w:rPr>
                <w:rFonts w:hint="eastAsia"/>
                <w:sz w:val="24"/>
              </w:rPr>
              <w:t>GB/T 50378-201</w:t>
            </w:r>
            <w:r>
              <w:rPr>
                <w:sz w:val="24"/>
              </w:rPr>
              <w:t>9</w:t>
            </w:r>
          </w:p>
        </w:tc>
        <w:tc>
          <w:tcPr>
            <w:tcW w:w="5811" w:type="dxa"/>
          </w:tcPr>
          <w:p>
            <w:pPr>
              <w:pStyle w:val="84"/>
              <w:spacing w:line="360" w:lineRule="auto"/>
              <w:rPr>
                <w:sz w:val="24"/>
              </w:rPr>
            </w:pPr>
            <w:r>
              <w:rPr>
                <w:sz w:val="24"/>
              </w:rPr>
              <w:t>7.1.</w:t>
            </w:r>
            <w:r>
              <w:rPr>
                <w:rFonts w:hint="eastAsia"/>
                <w:sz w:val="24"/>
              </w:rPr>
              <w:t>7、</w:t>
            </w:r>
            <w:r>
              <w:rPr>
                <w:sz w:val="24"/>
              </w:rPr>
              <w:t>7.2.13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GB50336-20</w:t>
            </w:r>
            <w:r>
              <w:rPr>
                <w:sz w:val="24"/>
              </w:rPr>
              <w:t>18</w:t>
            </w:r>
          </w:p>
        </w:tc>
        <w:tc>
          <w:tcPr>
            <w:tcW w:w="5811" w:type="dxa"/>
          </w:tcPr>
          <w:p>
            <w:pPr>
              <w:pStyle w:val="84"/>
              <w:spacing w:line="360" w:lineRule="auto"/>
              <w:rPr>
                <w:sz w:val="24"/>
              </w:rPr>
            </w:pPr>
            <w:r>
              <w:rPr>
                <w:rFonts w:hint="eastAsia"/>
                <w:sz w:val="24"/>
              </w:rPr>
              <w:t>5.4.7条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384" w:type="dxa"/>
            <w:vMerge w:val="continue"/>
          </w:tcPr>
          <w:p>
            <w:pPr>
              <w:pStyle w:val="84"/>
              <w:spacing w:line="360" w:lineRule="auto"/>
              <w:rPr>
                <w:sz w:val="24"/>
              </w:rPr>
            </w:pPr>
          </w:p>
        </w:tc>
        <w:tc>
          <w:tcPr>
            <w:tcW w:w="1985" w:type="dxa"/>
          </w:tcPr>
          <w:p>
            <w:pPr>
              <w:pStyle w:val="84"/>
              <w:spacing w:line="360" w:lineRule="auto"/>
              <w:rPr>
                <w:sz w:val="24"/>
              </w:rPr>
            </w:pPr>
            <w:r>
              <w:rPr>
                <w:rFonts w:hint="eastAsia"/>
                <w:sz w:val="24"/>
              </w:rPr>
              <w:t>DB33/1092-2021</w:t>
            </w:r>
          </w:p>
        </w:tc>
        <w:tc>
          <w:tcPr>
            <w:tcW w:w="5811" w:type="dxa"/>
          </w:tcPr>
          <w:p>
            <w:pPr>
              <w:pStyle w:val="84"/>
              <w:spacing w:line="360" w:lineRule="auto"/>
              <w:rPr>
                <w:sz w:val="24"/>
              </w:rPr>
            </w:pPr>
            <w:r>
              <w:rPr>
                <w:rFonts w:hint="eastAsia"/>
                <w:sz w:val="24"/>
              </w:rPr>
              <w:t>7.</w:t>
            </w:r>
            <w:r>
              <w:rPr>
                <w:sz w:val="24"/>
              </w:rPr>
              <w:t>1</w:t>
            </w:r>
            <w:r>
              <w:rPr>
                <w:rFonts w:hint="eastAsia"/>
                <w:sz w:val="24"/>
              </w:rPr>
              <w:t>.</w:t>
            </w:r>
            <w:r>
              <w:rPr>
                <w:sz w:val="24"/>
              </w:rPr>
              <w:t>4</w:t>
            </w:r>
            <w:r>
              <w:rPr>
                <w:rFonts w:hint="eastAsia"/>
                <w:sz w:val="24"/>
              </w:rPr>
              <w:t>、7.3.3、7</w:t>
            </w:r>
            <w:r>
              <w:rPr>
                <w:sz w:val="24"/>
              </w:rPr>
              <w:t>.3.4</w:t>
            </w:r>
            <w:r>
              <w:rPr>
                <w:rFonts w:hint="eastAsia"/>
                <w:sz w:val="24"/>
              </w:rPr>
              <w:t>、7.</w:t>
            </w:r>
            <w:r>
              <w:rPr>
                <w:sz w:val="24"/>
              </w:rPr>
              <w:t>3</w:t>
            </w:r>
            <w:r>
              <w:rPr>
                <w:rFonts w:hint="eastAsia"/>
                <w:sz w:val="24"/>
              </w:rPr>
              <w:t>.</w:t>
            </w:r>
            <w:r>
              <w:rPr>
                <w:sz w:val="24"/>
              </w:rPr>
              <w:t>7</w:t>
            </w:r>
            <w:r>
              <w:rPr>
                <w:rFonts w:hint="eastAsia"/>
                <w:sz w:val="24"/>
              </w:rPr>
              <w:t>、7</w:t>
            </w:r>
            <w:r>
              <w:rPr>
                <w:sz w:val="24"/>
              </w:rPr>
              <w:t>.4.3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7796" w:type="dxa"/>
            <w:gridSpan w:val="2"/>
          </w:tcPr>
          <w:p>
            <w:pPr>
              <w:pStyle w:val="84"/>
              <w:spacing w:line="360" w:lineRule="auto"/>
              <w:ind w:firstLine="480" w:firstLineChars="200"/>
              <w:jc w:val="left"/>
              <w:rPr>
                <w:sz w:val="24"/>
              </w:rPr>
            </w:pPr>
            <w:r>
              <w:rPr>
                <w:rFonts w:hint="eastAsia"/>
                <w:sz w:val="24"/>
              </w:rPr>
              <w:t>查阅设计图纸及说明，水系统方案设汁、设计说明均应明确再生水水源应明确非传统水源的来源、用途、水平衡分析、处理流程、供水系统设置、防污染措施等。施工图中应体现非传统水源的来源、用途、水平衡分析、处理流程、供水系统设置、防污染措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7796" w:type="dxa"/>
            <w:gridSpan w:val="2"/>
          </w:tcPr>
          <w:p>
            <w:pPr>
              <w:pStyle w:val="84"/>
              <w:spacing w:line="360" w:lineRule="auto"/>
              <w:ind w:firstLine="480" w:firstLineChars="200"/>
              <w:jc w:val="both"/>
              <w:rPr>
                <w:sz w:val="24"/>
              </w:rPr>
            </w:pPr>
            <w:r>
              <w:rPr>
                <w:rFonts w:hint="eastAsia"/>
                <w:sz w:val="24"/>
              </w:rPr>
              <w:t>本项目设置非传统水源利用设施必须设置用水安全措施。</w:t>
            </w:r>
          </w:p>
        </w:tc>
      </w:tr>
    </w:tbl>
    <w:p>
      <w:pPr>
        <w:pStyle w:val="17"/>
        <w:spacing w:line="360" w:lineRule="auto"/>
        <w:ind w:firstLine="420"/>
        <w:rPr>
          <w:rFonts w:asciiTheme="minorEastAsia" w:hAnsiTheme="minorEastAsia" w:eastAsiaTheme="minorEastAsia"/>
          <w:sz w:val="24"/>
        </w:rPr>
      </w:pPr>
    </w:p>
    <w:p>
      <w:pPr>
        <w:spacing w:line="360" w:lineRule="auto"/>
        <w:ind w:firstLine="422"/>
        <w:jc w:val="left"/>
        <w:rPr>
          <w:rFonts w:asciiTheme="minorEastAsia" w:hAnsiTheme="minorEastAsia" w:eastAsiaTheme="minorEastAsia"/>
          <w:b/>
          <w:sz w:val="24"/>
        </w:rPr>
      </w:pPr>
      <w:r>
        <w:rPr>
          <w:rFonts w:hint="eastAsia" w:asciiTheme="minorEastAsia" w:hAnsiTheme="minorEastAsia" w:eastAsiaTheme="minorEastAsia"/>
          <w:b/>
          <w:sz w:val="24"/>
        </w:rPr>
        <w:t>六、低影响开发雨水系统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pStyle w:val="84"/>
              <w:spacing w:line="360" w:lineRule="auto"/>
              <w:rPr>
                <w:sz w:val="24"/>
              </w:rPr>
            </w:pPr>
            <w:r>
              <w:rPr>
                <w:rFonts w:hint="eastAsia"/>
                <w:sz w:val="24"/>
              </w:rPr>
              <w:t>条文来源</w:t>
            </w:r>
          </w:p>
        </w:tc>
        <w:tc>
          <w:tcPr>
            <w:tcW w:w="2126" w:type="dxa"/>
          </w:tcPr>
          <w:p>
            <w:pPr>
              <w:pStyle w:val="84"/>
              <w:spacing w:line="360" w:lineRule="auto"/>
              <w:rPr>
                <w:sz w:val="24"/>
              </w:rPr>
            </w:pPr>
            <w:r>
              <w:rPr>
                <w:rFonts w:hint="eastAsia"/>
                <w:sz w:val="24"/>
              </w:rPr>
              <w:t>GB/T 50378-20</w:t>
            </w:r>
            <w:r>
              <w:rPr>
                <w:sz w:val="24"/>
              </w:rPr>
              <w:t>19</w:t>
            </w:r>
          </w:p>
        </w:tc>
        <w:tc>
          <w:tcPr>
            <w:tcW w:w="5670" w:type="dxa"/>
          </w:tcPr>
          <w:p>
            <w:pPr>
              <w:pStyle w:val="84"/>
              <w:spacing w:line="360" w:lineRule="auto"/>
              <w:rPr>
                <w:sz w:val="24"/>
              </w:rPr>
            </w:pPr>
            <w:r>
              <w:rPr>
                <w:rFonts w:hint="eastAsia"/>
                <w:sz w:val="24"/>
              </w:rPr>
              <w:t>8.1.4、8.2.、</w:t>
            </w:r>
            <w:r>
              <w:rPr>
                <w:sz w:val="24"/>
              </w:rPr>
              <w:t>8.2.5</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绿色建筑条例</w:t>
            </w:r>
          </w:p>
        </w:tc>
        <w:tc>
          <w:tcPr>
            <w:tcW w:w="5670" w:type="dxa"/>
          </w:tcPr>
          <w:p>
            <w:pPr>
              <w:pStyle w:val="84"/>
              <w:spacing w:line="360" w:lineRule="auto"/>
              <w:rPr>
                <w:sz w:val="24"/>
              </w:rPr>
            </w:pPr>
            <w:r>
              <w:rPr>
                <w:rFonts w:hint="eastAsia"/>
                <w:sz w:val="24"/>
              </w:rPr>
              <w:t>第29条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126" w:type="dxa"/>
          </w:tcPr>
          <w:p>
            <w:pPr>
              <w:pStyle w:val="84"/>
              <w:spacing w:line="360" w:lineRule="auto"/>
              <w:rPr>
                <w:sz w:val="24"/>
              </w:rPr>
            </w:pPr>
            <w:r>
              <w:rPr>
                <w:rFonts w:hint="eastAsia"/>
                <w:sz w:val="24"/>
              </w:rPr>
              <w:t>DB33/1092-2021</w:t>
            </w:r>
          </w:p>
        </w:tc>
        <w:tc>
          <w:tcPr>
            <w:tcW w:w="5670" w:type="dxa"/>
          </w:tcPr>
          <w:p>
            <w:pPr>
              <w:pStyle w:val="84"/>
              <w:spacing w:line="360" w:lineRule="auto"/>
              <w:rPr>
                <w:sz w:val="24"/>
              </w:rPr>
            </w:pPr>
            <w:r>
              <w:rPr>
                <w:rFonts w:hint="eastAsia"/>
                <w:sz w:val="24"/>
              </w:rPr>
              <w:t>7.2.</w:t>
            </w:r>
            <w:r>
              <w:rPr>
                <w:sz w:val="24"/>
              </w:rPr>
              <w:t>13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7796" w:type="dxa"/>
            <w:gridSpan w:val="2"/>
          </w:tcPr>
          <w:p>
            <w:pPr>
              <w:pStyle w:val="84"/>
              <w:spacing w:line="360" w:lineRule="auto"/>
              <w:jc w:val="left"/>
              <w:rPr>
                <w:sz w:val="24"/>
              </w:rPr>
            </w:pPr>
            <w:r>
              <w:rPr>
                <w:rFonts w:hint="eastAsia"/>
                <w:sz w:val="24"/>
              </w:rPr>
              <w:t>查阅雨水控制及利用系统设计计算书及室外给水排水管线综合平面图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7796" w:type="dxa"/>
            <w:gridSpan w:val="2"/>
          </w:tcPr>
          <w:p>
            <w:pPr>
              <w:pStyle w:val="84"/>
              <w:spacing w:line="360" w:lineRule="auto"/>
              <w:jc w:val="left"/>
              <w:rPr>
                <w:sz w:val="24"/>
              </w:rPr>
            </w:pPr>
            <w:r>
              <w:rPr>
                <w:rFonts w:hint="eastAsia"/>
                <w:sz w:val="24"/>
              </w:rPr>
              <w:t>雨水控制及利用定义为：径流总量、径流峰值、径流污染控制设施的总称，包括雨水入渗（渗透）、收集回用、调蓄排放等。</w:t>
            </w:r>
          </w:p>
          <w:p>
            <w:pPr>
              <w:pStyle w:val="84"/>
              <w:spacing w:line="360" w:lineRule="auto"/>
              <w:jc w:val="left"/>
              <w:rPr>
                <w:sz w:val="24"/>
              </w:rPr>
            </w:pPr>
            <w:r>
              <w:rPr>
                <w:rFonts w:hint="eastAsia"/>
                <w:sz w:val="24"/>
              </w:rPr>
              <w:t>年径流总量控制率定义为：根据多年日降雨量统计分析技术，场地内累计全年得到控制的雨水量占全年总降雨量的百分比。</w:t>
            </w:r>
          </w:p>
          <w:p>
            <w:pPr>
              <w:pStyle w:val="84"/>
              <w:spacing w:line="360" w:lineRule="auto"/>
              <w:jc w:val="left"/>
              <w:rPr>
                <w:sz w:val="24"/>
              </w:rPr>
            </w:pPr>
            <w:r>
              <w:rPr>
                <w:rFonts w:hint="eastAsia"/>
                <w:sz w:val="24"/>
              </w:rPr>
              <w:t>本条意在对场地雨水合理地实施减排控制。雨水设计应协同场地、景观设计，采用屋顶绿化、透水铺装等措施降低地表径流量，同时利用下凹式绿地、浅草沟、雨水花园等加强雨水入渗、积蓄、降低雨水外排量，也可根据项目的用水需求收集雨水进行回用，实现减少场地雨水外排的目标，满足海绵城市的要求。</w:t>
            </w:r>
          </w:p>
          <w:p>
            <w:pPr>
              <w:pStyle w:val="84"/>
              <w:spacing w:line="360" w:lineRule="auto"/>
              <w:jc w:val="left"/>
              <w:rPr>
                <w:sz w:val="24"/>
              </w:rPr>
            </w:pPr>
            <w:r>
              <w:rPr>
                <w:rFonts w:hint="eastAsia"/>
                <w:sz w:val="24"/>
              </w:rPr>
              <w:t>从区域角度看，雨水的过量收集会导致原有水体的萎缩或影响水系统的良性循环。要使硬化地面恢复到自然地貌的环境水平，最佳的雨水控制量应以雨水排放量接近自然地貌为标准。</w:t>
            </w:r>
          </w:p>
          <w:p>
            <w:pPr>
              <w:pStyle w:val="84"/>
              <w:spacing w:line="360" w:lineRule="auto"/>
              <w:jc w:val="left"/>
              <w:rPr>
                <w:sz w:val="24"/>
              </w:rPr>
            </w:pPr>
            <w:r>
              <w:rPr>
                <w:rFonts w:hint="eastAsia"/>
                <w:sz w:val="24"/>
              </w:rPr>
              <w:t>综合径流系数可根据《民用建筑雨水控制与利用设计规程》第3章要求计算，浙江省各地市年径流总量控制率对应的日降雨量可按《民用建筑雨水控制与利用设计规程》附录B取值。</w:t>
            </w:r>
          </w:p>
          <w:p>
            <w:pPr>
              <w:pStyle w:val="84"/>
              <w:spacing w:line="360" w:lineRule="auto"/>
              <w:jc w:val="left"/>
              <w:rPr>
                <w:sz w:val="24"/>
              </w:rPr>
            </w:pPr>
            <w:r>
              <w:rPr>
                <w:rFonts w:hint="eastAsia"/>
                <w:sz w:val="24"/>
              </w:rPr>
              <w:t>低影响开发控制性指标应满足当地海绵城市专项规划实施方案要求。</w:t>
            </w:r>
          </w:p>
          <w:p>
            <w:pPr>
              <w:pStyle w:val="84"/>
              <w:spacing w:line="360" w:lineRule="auto"/>
              <w:jc w:val="left"/>
              <w:rPr>
                <w:sz w:val="24"/>
              </w:rPr>
            </w:pPr>
            <w:r>
              <w:rPr>
                <w:rFonts w:hint="eastAsia"/>
                <w:sz w:val="24"/>
              </w:rPr>
              <w:t>低影响开发的技术措施应与建筑专业保持一致。</w:t>
            </w:r>
          </w:p>
        </w:tc>
      </w:tr>
    </w:tbl>
    <w:p>
      <w:pPr>
        <w:pStyle w:val="17"/>
        <w:spacing w:line="360" w:lineRule="auto"/>
        <w:ind w:firstLine="420"/>
        <w:rPr>
          <w:rFonts w:asciiTheme="minorEastAsia" w:hAnsiTheme="minorEastAsia" w:eastAsiaTheme="minorEastAsia"/>
          <w:sz w:val="24"/>
        </w:rPr>
      </w:pPr>
    </w:p>
    <w:p>
      <w:pPr>
        <w:spacing w:line="360" w:lineRule="auto"/>
        <w:ind w:firstLine="422"/>
        <w:jc w:val="left"/>
        <w:rPr>
          <w:rFonts w:asciiTheme="minorEastAsia" w:hAnsiTheme="minorEastAsia" w:eastAsiaTheme="minorEastAsia"/>
          <w:b/>
          <w:sz w:val="24"/>
        </w:rPr>
      </w:pPr>
      <w:r>
        <w:rPr>
          <w:rFonts w:hint="eastAsia" w:asciiTheme="minorEastAsia" w:hAnsiTheme="minorEastAsia" w:eastAsiaTheme="minorEastAsia"/>
          <w:b/>
          <w:sz w:val="24"/>
        </w:rPr>
        <w:t>七.热水系统</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384" w:type="dxa"/>
            <w:vMerge w:val="restart"/>
          </w:tcPr>
          <w:p>
            <w:pPr>
              <w:pStyle w:val="84"/>
              <w:spacing w:line="360" w:lineRule="auto"/>
              <w:rPr>
                <w:sz w:val="24"/>
              </w:rPr>
            </w:pPr>
            <w:r>
              <w:rPr>
                <w:rFonts w:hint="eastAsia"/>
                <w:sz w:val="24"/>
              </w:rPr>
              <w:t>条文来源</w:t>
            </w:r>
          </w:p>
        </w:tc>
        <w:tc>
          <w:tcPr>
            <w:tcW w:w="2268" w:type="dxa"/>
          </w:tcPr>
          <w:p>
            <w:pPr>
              <w:pStyle w:val="84"/>
              <w:spacing w:line="360" w:lineRule="auto"/>
              <w:rPr>
                <w:sz w:val="24"/>
              </w:rPr>
            </w:pPr>
            <w:r>
              <w:rPr>
                <w:rFonts w:hint="eastAsia"/>
                <w:sz w:val="24"/>
              </w:rPr>
              <w:t>DB33/1092-2021</w:t>
            </w:r>
          </w:p>
        </w:tc>
        <w:tc>
          <w:tcPr>
            <w:tcW w:w="5528" w:type="dxa"/>
          </w:tcPr>
          <w:p>
            <w:pPr>
              <w:pStyle w:val="84"/>
              <w:spacing w:line="360" w:lineRule="auto"/>
              <w:rPr>
                <w:sz w:val="24"/>
              </w:rPr>
            </w:pPr>
            <w:r>
              <w:rPr>
                <w:rFonts w:hint="eastAsia"/>
                <w:sz w:val="24"/>
              </w:rPr>
              <w:t>7.1.3、7.2.4、7.2.5、7.2.6条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268" w:type="dxa"/>
          </w:tcPr>
          <w:p>
            <w:pPr>
              <w:pStyle w:val="84"/>
              <w:spacing w:line="360" w:lineRule="auto"/>
              <w:rPr>
                <w:sz w:val="24"/>
              </w:rPr>
            </w:pPr>
            <w:r>
              <w:rPr>
                <w:rFonts w:hint="eastAsia"/>
                <w:sz w:val="24"/>
              </w:rPr>
              <w:t xml:space="preserve"> GB50555-2010</w:t>
            </w:r>
          </w:p>
        </w:tc>
        <w:tc>
          <w:tcPr>
            <w:tcW w:w="5528" w:type="dxa"/>
          </w:tcPr>
          <w:p>
            <w:pPr>
              <w:pStyle w:val="84"/>
              <w:spacing w:line="360" w:lineRule="auto"/>
              <w:rPr>
                <w:sz w:val="24"/>
              </w:rPr>
            </w:pPr>
            <w:r>
              <w:rPr>
                <w:rFonts w:hint="eastAsia"/>
                <w:sz w:val="24"/>
              </w:rPr>
              <w:t>4.2.3条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pStyle w:val="84"/>
              <w:spacing w:line="360" w:lineRule="auto"/>
              <w:rPr>
                <w:sz w:val="24"/>
              </w:rPr>
            </w:pPr>
          </w:p>
        </w:tc>
        <w:tc>
          <w:tcPr>
            <w:tcW w:w="2268" w:type="dxa"/>
          </w:tcPr>
          <w:p>
            <w:pPr>
              <w:pStyle w:val="84"/>
              <w:spacing w:line="360" w:lineRule="auto"/>
              <w:rPr>
                <w:sz w:val="24"/>
              </w:rPr>
            </w:pPr>
            <w:r>
              <w:rPr>
                <w:rFonts w:hint="eastAsia"/>
                <w:sz w:val="24"/>
              </w:rPr>
              <w:t>DB33/1036-2021</w:t>
            </w:r>
          </w:p>
        </w:tc>
        <w:tc>
          <w:tcPr>
            <w:tcW w:w="5528" w:type="dxa"/>
          </w:tcPr>
          <w:p>
            <w:pPr>
              <w:pStyle w:val="84"/>
              <w:spacing w:line="360" w:lineRule="auto"/>
              <w:rPr>
                <w:sz w:val="24"/>
              </w:rPr>
            </w:pPr>
            <w:r>
              <w:rPr>
                <w:rFonts w:hint="eastAsia"/>
                <w:sz w:val="24"/>
              </w:rPr>
              <w:t>6.3节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依据材料</w:t>
            </w:r>
          </w:p>
        </w:tc>
        <w:tc>
          <w:tcPr>
            <w:tcW w:w="7796" w:type="dxa"/>
            <w:gridSpan w:val="2"/>
          </w:tcPr>
          <w:p>
            <w:pPr>
              <w:pStyle w:val="84"/>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pStyle w:val="84"/>
              <w:spacing w:line="360" w:lineRule="auto"/>
              <w:rPr>
                <w:sz w:val="24"/>
              </w:rPr>
            </w:pPr>
            <w:r>
              <w:rPr>
                <w:rFonts w:hint="eastAsia"/>
                <w:sz w:val="24"/>
              </w:rPr>
              <w:t>备注</w:t>
            </w:r>
          </w:p>
        </w:tc>
        <w:tc>
          <w:tcPr>
            <w:tcW w:w="7796" w:type="dxa"/>
            <w:gridSpan w:val="2"/>
          </w:tcPr>
          <w:p>
            <w:pPr>
              <w:pStyle w:val="84"/>
              <w:spacing w:line="360" w:lineRule="auto"/>
              <w:rPr>
                <w:sz w:val="24"/>
              </w:rPr>
            </w:pPr>
          </w:p>
        </w:tc>
      </w:tr>
      <w:bookmarkEnd w:id="37"/>
    </w:tbl>
    <w:p>
      <w:pPr>
        <w:pStyle w:val="17"/>
        <w:spacing w:line="360" w:lineRule="auto"/>
        <w:ind w:firstLine="420"/>
        <w:rPr>
          <w:rFonts w:asciiTheme="minorEastAsia" w:hAnsiTheme="minorEastAsia" w:eastAsiaTheme="minorEastAsia"/>
          <w:sz w:val="24"/>
        </w:rPr>
      </w:pPr>
    </w:p>
    <w:p>
      <w:pPr>
        <w:pStyle w:val="4"/>
        <w:jc w:val="center"/>
      </w:pPr>
      <w:bookmarkStart w:id="38" w:name="_Toc109325938"/>
      <w:bookmarkStart w:id="39" w:name="_Toc113028988"/>
      <w:bookmarkStart w:id="40" w:name="_Hlk93503720"/>
      <w:r>
        <w:t>3</w:t>
      </w:r>
      <w:r>
        <w:rPr>
          <w:rFonts w:hint="eastAsia"/>
        </w:rPr>
        <w:t>.</w:t>
      </w:r>
      <w:r>
        <w:t>5</w:t>
      </w:r>
      <w:r>
        <w:rPr>
          <w:rFonts w:hint="eastAsia"/>
        </w:rPr>
        <w:t xml:space="preserve"> 暖通专业填写说明</w:t>
      </w:r>
      <w:bookmarkEnd w:id="38"/>
      <w:bookmarkEnd w:id="39"/>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一、暖通主要设计依据: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此项应包括项目进行建筑绿色与节能设计时所遵循的主要设计依据。包括法律法规、政策文件及现行国家与地方的标准、规范；还包括项目已取得的节能审查意见书及其附件：节能评估报告书（表）；</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二、暖通</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jc w:val="left"/>
        <w:rPr>
          <w:rFonts w:ascii="Times New Roman" w:cs="宋体"/>
          <w:color w:val="000000"/>
          <w:kern w:val="0"/>
          <w:sz w:val="24"/>
        </w:rPr>
      </w:pPr>
      <w:r>
        <w:rPr>
          <w:rFonts w:ascii="Times New Roman" w:cs="宋体"/>
          <w:color w:val="000000"/>
          <w:kern w:val="0"/>
          <w:sz w:val="24"/>
        </w:rPr>
        <w:t>1</w:t>
      </w:r>
      <w:r>
        <w:rPr>
          <w:rFonts w:hint="eastAsia" w:ascii="Times New Roman" w:cs="宋体"/>
          <w:color w:val="000000"/>
          <w:kern w:val="0"/>
          <w:sz w:val="24"/>
        </w:rPr>
        <w:t>、</w:t>
      </w:r>
      <w:r>
        <w:rPr>
          <w:rFonts w:ascii="Times New Roman" w:cs="宋体"/>
          <w:color w:val="000000"/>
          <w:kern w:val="0"/>
          <w:sz w:val="24"/>
        </w:rPr>
        <w:t>为方便设计人员</w:t>
      </w:r>
      <w:r>
        <w:rPr>
          <w:rFonts w:hint="eastAsia" w:ascii="Times New Roman" w:cs="宋体"/>
          <w:color w:val="000000"/>
          <w:kern w:val="0"/>
          <w:sz w:val="24"/>
        </w:rPr>
        <w:t>更准确</w:t>
      </w:r>
      <w:r>
        <w:rPr>
          <w:rFonts w:ascii="Times New Roman" w:cs="宋体"/>
          <w:color w:val="000000"/>
          <w:kern w:val="0"/>
          <w:sz w:val="24"/>
        </w:rPr>
        <w:t>理解</w:t>
      </w:r>
      <w:r>
        <w:rPr>
          <w:rFonts w:hint="eastAsia" w:ascii="Times New Roman" w:cs="宋体"/>
          <w:color w:val="000000"/>
          <w:kern w:val="0"/>
          <w:sz w:val="24"/>
        </w:rPr>
        <w:t>专篇的填写目的与要求，本说明对专篇中列入的每项条款均以表格形式进行了说明。填写说明主要包含三部分内容，分别为：条文来源、依据材料、备注。其中：“条文来源”主要注明条款依据浙江省《绿色建筑设计标准》 DB33/1092-2021（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w:t>
      </w:r>
      <w:r>
        <w:rPr>
          <w:rFonts w:ascii="Times New Roman" w:cs="宋体"/>
          <w:color w:val="000000"/>
          <w:kern w:val="0"/>
          <w:sz w:val="24"/>
        </w:rPr>
        <w:t xml:space="preserve"> </w:t>
      </w:r>
      <w:r>
        <w:rPr>
          <w:rFonts w:hint="eastAsia" w:ascii="Times New Roman" w:cs="宋体"/>
          <w:color w:val="000000"/>
          <w:kern w:val="0"/>
          <w:sz w:val="24"/>
        </w:rPr>
        <w:t>33/1092-20</w:t>
      </w:r>
      <w:r>
        <w:rPr>
          <w:rFonts w:ascii="Times New Roman" w:cs="宋体"/>
          <w:color w:val="000000"/>
          <w:kern w:val="0"/>
          <w:sz w:val="24"/>
        </w:rPr>
        <w:t>21</w:t>
      </w:r>
      <w:r>
        <w:rPr>
          <w:rFonts w:hint="eastAsia" w:ascii="Times New Roman" w:cs="宋体"/>
          <w:color w:val="000000"/>
          <w:kern w:val="0"/>
          <w:sz w:val="24"/>
        </w:rPr>
        <w:t>”）、国家标准《绿色建筑评价标准》GB/T</w:t>
      </w:r>
      <w:r>
        <w:rPr>
          <w:rFonts w:ascii="Times New Roman" w:cs="宋体"/>
          <w:color w:val="000000"/>
          <w:kern w:val="0"/>
          <w:sz w:val="24"/>
        </w:rPr>
        <w:t xml:space="preserve"> </w:t>
      </w:r>
      <w:r>
        <w:rPr>
          <w:rFonts w:hint="eastAsia" w:ascii="Times New Roman" w:cs="宋体"/>
          <w:color w:val="000000"/>
          <w:kern w:val="0"/>
          <w:sz w:val="24"/>
        </w:rPr>
        <w:t>50378-2019（</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“GB/T</w:t>
      </w:r>
      <w:r>
        <w:rPr>
          <w:rFonts w:ascii="Times New Roman" w:cs="宋体"/>
          <w:color w:val="000000"/>
          <w:kern w:val="0"/>
          <w:sz w:val="24"/>
        </w:rPr>
        <w:t xml:space="preserve"> </w:t>
      </w:r>
      <w:r>
        <w:rPr>
          <w:rFonts w:hint="eastAsia" w:ascii="Times New Roman" w:cs="宋体"/>
          <w:color w:val="000000"/>
          <w:kern w:val="0"/>
          <w:sz w:val="24"/>
        </w:rPr>
        <w:t>50378-2019”）的出处与条文编号；“依据材料”是明确</w:t>
      </w:r>
      <w:r>
        <w:rPr>
          <w:rFonts w:ascii="Times New Roman" w:cs="宋体"/>
          <w:color w:val="000000"/>
          <w:kern w:val="0"/>
          <w:sz w:val="24"/>
        </w:rPr>
        <w:t>设计人员</w:t>
      </w:r>
      <w:r>
        <w:rPr>
          <w:rFonts w:hint="eastAsia" w:ascii="Times New Roman" w:cs="宋体"/>
          <w:color w:val="000000"/>
          <w:kern w:val="0"/>
          <w:sz w:val="24"/>
        </w:rPr>
        <w:t>填写各条款时，所</w:t>
      </w:r>
      <w:r>
        <w:rPr>
          <w:rFonts w:ascii="Times New Roman" w:cs="宋体"/>
          <w:color w:val="000000"/>
          <w:kern w:val="0"/>
          <w:sz w:val="24"/>
        </w:rPr>
        <w:t>依据</w:t>
      </w:r>
      <w:r>
        <w:rPr>
          <w:rFonts w:hint="eastAsia" w:ascii="Times New Roman" w:cs="宋体"/>
          <w:color w:val="000000"/>
          <w:kern w:val="0"/>
          <w:sz w:val="24"/>
        </w:rPr>
        <w:t>的相应</w:t>
      </w:r>
      <w:r>
        <w:rPr>
          <w:rFonts w:ascii="Times New Roman" w:cs="宋体"/>
          <w:color w:val="000000"/>
          <w:kern w:val="0"/>
          <w:sz w:val="24"/>
        </w:rPr>
        <w:t>基础资料</w:t>
      </w:r>
      <w:r>
        <w:rPr>
          <w:rFonts w:hint="eastAsia" w:ascii="Times New Roman" w:cs="宋体"/>
          <w:color w:val="000000"/>
          <w:kern w:val="0"/>
          <w:sz w:val="24"/>
        </w:rPr>
        <w:t>、设计文件等相关内容；“备注”是对条款填写中需要注意与重点核查的内容进行详细说明，或对相关条文进行解释和补充。</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2、暖通绿色设计主要内容应根据实际工程设计中采取的技术措施，按实增减专篇模板内的相应条款，局部条款不适用时减少相应条款，如果采用专篇模板所列条款之外的技术措施，则将其描述于专篇模板的第10</w:t>
      </w:r>
      <w:r>
        <w:rPr>
          <w:rFonts w:ascii="Times New Roman" w:cs="宋体"/>
          <w:color w:val="000000"/>
          <w:kern w:val="0"/>
          <w:sz w:val="24"/>
        </w:rPr>
        <w:t>.2</w:t>
      </w:r>
      <w:r>
        <w:rPr>
          <w:rFonts w:hint="eastAsia" w:ascii="Times New Roman" w:cs="宋体"/>
          <w:color w:val="000000"/>
          <w:kern w:val="0"/>
          <w:sz w:val="24"/>
        </w:rPr>
        <w:t>条内。专篇的填写必须与实际设计相符。</w:t>
      </w:r>
    </w:p>
    <w:p>
      <w:pPr>
        <w:pStyle w:val="17"/>
        <w:spacing w:line="360" w:lineRule="auto"/>
        <w:ind w:firstLine="420"/>
        <w:jc w:val="both"/>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◇条款说明</w:t>
      </w:r>
    </w:p>
    <w:p>
      <w:pPr>
        <w:spacing w:line="360" w:lineRule="auto"/>
        <w:ind w:firstLine="422"/>
        <w:rPr>
          <w:rFonts w:asciiTheme="minorEastAsia" w:hAnsiTheme="minorEastAsia" w:eastAsiaTheme="minorEastAsia"/>
          <w:b/>
          <w:sz w:val="24"/>
          <w:lang w:val="en-GB"/>
        </w:rPr>
      </w:pPr>
      <w:r>
        <w:rPr>
          <w:rFonts w:hint="eastAsia" w:asciiTheme="minorEastAsia" w:hAnsiTheme="minorEastAsia" w:eastAsiaTheme="minorEastAsia"/>
          <w:b/>
          <w:sz w:val="24"/>
          <w:lang w:val="en-GB"/>
        </w:rPr>
        <w:t>控制项内容：</w:t>
      </w:r>
    </w:p>
    <w:p>
      <w:pPr>
        <w:spacing w:line="360" w:lineRule="auto"/>
        <w:ind w:firstLine="420"/>
        <w:jc w:val="left"/>
        <w:rPr>
          <w:rFonts w:hAnsi="宋体"/>
          <w:sz w:val="24"/>
        </w:rPr>
      </w:pPr>
      <w:r>
        <w:rPr>
          <w:rFonts w:hint="eastAsia" w:hAnsi="宋体"/>
          <w:sz w:val="24"/>
        </w:rPr>
        <w:t>本栏各条均为浙江省《绿色建筑设计标准》DB33/1092-2021的基本要求，是绿色建筑设计的强制性控制内容，必须逐条满足。</w:t>
      </w:r>
    </w:p>
    <w:p>
      <w:pPr>
        <w:spacing w:line="360" w:lineRule="auto"/>
        <w:ind w:firstLine="420"/>
        <w:rPr>
          <w:rFonts w:asciiTheme="minorEastAsia" w:hAnsiTheme="minorEastAsia" w:eastAsiaTheme="minorEastAsia"/>
          <w:sz w:val="24"/>
        </w:rPr>
      </w:pPr>
    </w:p>
    <w:p>
      <w:pPr>
        <w:spacing w:line="360" w:lineRule="auto"/>
        <w:ind w:firstLine="422"/>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1室外空气计算参数；</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459"/>
        <w:gridCol w:w="3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268"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50736-2012</w:t>
            </w:r>
          </w:p>
        </w:tc>
        <w:tc>
          <w:tcPr>
            <w:tcW w:w="2459"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4.1.1</w:t>
            </w:r>
            <w:r>
              <w:rPr>
                <w:rFonts w:hint="eastAsia" w:asciiTheme="minorEastAsia" w:hAnsiTheme="minorEastAsia" w:eastAsiaTheme="minorEastAsia"/>
                <w:kern w:val="0"/>
                <w:sz w:val="24"/>
              </w:rPr>
              <w:t>条</w:t>
            </w:r>
          </w:p>
        </w:tc>
        <w:tc>
          <w:tcPr>
            <w:tcW w:w="3353"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主要城市室外空气计算参数应按现行国家标准《民用建筑供暖通风与空气调节设计规范》GB 50736中“杭州”地区室外空气计算参数填写并与暖通负荷计算书一致。</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空调房间的设计参数；</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2410"/>
        <w:gridCol w:w="2362"/>
        <w:gridCol w:w="3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36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5.1.6条</w:t>
            </w:r>
          </w:p>
        </w:tc>
        <w:tc>
          <w:tcPr>
            <w:tcW w:w="330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36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7.1.3条</w:t>
            </w:r>
          </w:p>
        </w:tc>
        <w:tc>
          <w:tcPr>
            <w:tcW w:w="330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36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8.1.2条</w:t>
            </w:r>
          </w:p>
        </w:tc>
        <w:tc>
          <w:tcPr>
            <w:tcW w:w="330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供暖空调室内设计参数应符合下列规定：</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1 采用集中供暖空调系统的建筑，房间内的温度、湿度、新风量等设计参数应符合现行国家标准《民用建筑供暖通风与空气调节设计规范》GB 50736 、现行地方标准《公共建筑节能设计标准》DB 33/1036、现行地方标准《居住建筑节能设计标准》DB 33/1015和卫生防疫的相关规定；</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2 房间的设计温度应能根据建筑空间功能分区设置，室内过渡区空间的温度设计标准合理降低。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outlineLvl w:val="3"/>
              <w:rPr>
                <w:rFonts w:hAnsi="宋体"/>
                <w:kern w:val="0"/>
                <w:sz w:val="24"/>
              </w:rPr>
            </w:pPr>
            <w:r>
              <w:rPr>
                <w:rFonts w:hint="eastAsia" w:hAnsi="宋体"/>
                <w:kern w:val="0"/>
                <w:sz w:val="24"/>
              </w:rPr>
              <w:t>集中供暖系统主要房间的室内计算温度宜采用16℃~22℃；公共建筑主要空间空气调节系统室内计算参数应符合表1~2的规定，其中当房间采用岗位送风方式时，不受该风速限制，以岗位空调计算所需风速为准；公共建筑主要空间的设计新风量，应符合表3~5的规定。</w:t>
            </w:r>
          </w:p>
          <w:p>
            <w:pPr>
              <w:spacing w:line="360" w:lineRule="auto"/>
              <w:outlineLvl w:val="3"/>
              <w:rPr>
                <w:rFonts w:hAnsi="宋体"/>
                <w:kern w:val="0"/>
                <w:sz w:val="24"/>
              </w:rPr>
            </w:pPr>
            <w:r>
              <w:rPr>
                <w:rFonts w:hint="eastAsia" w:hAnsi="宋体"/>
                <w:kern w:val="0"/>
                <w:sz w:val="24"/>
              </w:rPr>
              <w:t>表1   人员长期逗留区域空调室内设计参数</w:t>
            </w:r>
          </w:p>
          <w:tbl>
            <w:tblPr>
              <w:tblStyle w:val="44"/>
              <w:tblW w:w="5000" w:type="pct"/>
              <w:tblInd w:w="0" w:type="dxa"/>
              <w:tblLayout w:type="autofit"/>
              <w:tblCellMar>
                <w:top w:w="0" w:type="dxa"/>
                <w:left w:w="108" w:type="dxa"/>
                <w:bottom w:w="0" w:type="dxa"/>
                <w:right w:w="108" w:type="dxa"/>
              </w:tblCellMar>
            </w:tblPr>
            <w:tblGrid>
              <w:gridCol w:w="1479"/>
              <w:gridCol w:w="1656"/>
              <w:gridCol w:w="1416"/>
              <w:gridCol w:w="1776"/>
              <w:gridCol w:w="1537"/>
            </w:tblGrid>
            <w:tr>
              <w:tblPrEx>
                <w:tblCellMar>
                  <w:top w:w="0" w:type="dxa"/>
                  <w:left w:w="108" w:type="dxa"/>
                  <w:bottom w:w="0" w:type="dxa"/>
                  <w:right w:w="108" w:type="dxa"/>
                </w:tblCellMar>
              </w:tblPrEx>
              <w:trPr>
                <w:trHeight w:val="270" w:hRule="atLeast"/>
              </w:trPr>
              <w:tc>
                <w:tcPr>
                  <w:tcW w:w="110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类别</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热舒适度等级</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温度（℃）</w:t>
                  </w:r>
                </w:p>
              </w:tc>
              <w:tc>
                <w:tcPr>
                  <w:tcW w:w="941"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相对湿度（%）</w:t>
                  </w:r>
                </w:p>
              </w:tc>
              <w:tc>
                <w:tcPr>
                  <w:tcW w:w="1075"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风速（m/s）</w:t>
                  </w:r>
                </w:p>
              </w:tc>
            </w:tr>
            <w:tr>
              <w:tblPrEx>
                <w:tblCellMar>
                  <w:top w:w="0" w:type="dxa"/>
                  <w:left w:w="108" w:type="dxa"/>
                  <w:bottom w:w="0" w:type="dxa"/>
                  <w:right w:w="108" w:type="dxa"/>
                </w:tblCellMar>
              </w:tblPrEx>
              <w:trPr>
                <w:trHeight w:val="27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供热工况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22~24</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≥30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≤0.2</w:t>
                  </w:r>
                </w:p>
              </w:tc>
            </w:tr>
            <w:tr>
              <w:tblPrEx>
                <w:tblCellMar>
                  <w:top w:w="0" w:type="dxa"/>
                  <w:left w:w="108" w:type="dxa"/>
                  <w:bottom w:w="0" w:type="dxa"/>
                  <w:right w:w="108" w:type="dxa"/>
                </w:tblCellMar>
              </w:tblPrEx>
              <w:trPr>
                <w:trHeight w:val="27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18~22</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≤0.2</w:t>
                  </w:r>
                </w:p>
              </w:tc>
            </w:tr>
            <w:tr>
              <w:tblPrEx>
                <w:tblCellMar>
                  <w:top w:w="0" w:type="dxa"/>
                  <w:left w:w="108" w:type="dxa"/>
                  <w:bottom w:w="0" w:type="dxa"/>
                  <w:right w:w="108" w:type="dxa"/>
                </w:tblCellMar>
              </w:tblPrEx>
              <w:trPr>
                <w:trHeight w:val="27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供冷工况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24~26</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40~60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≤0.25</w:t>
                  </w:r>
                </w:p>
              </w:tc>
            </w:tr>
            <w:tr>
              <w:tblPrEx>
                <w:tblCellMar>
                  <w:top w:w="0" w:type="dxa"/>
                  <w:left w:w="108" w:type="dxa"/>
                  <w:bottom w:w="0" w:type="dxa"/>
                  <w:right w:w="108" w:type="dxa"/>
                </w:tblCellMar>
              </w:tblPrEx>
              <w:trPr>
                <w:trHeight w:val="27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26~28</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≤70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≤0.3</w:t>
                  </w:r>
                </w:p>
              </w:tc>
            </w:tr>
          </w:tbl>
          <w:p>
            <w:pPr>
              <w:spacing w:line="360" w:lineRule="auto"/>
              <w:outlineLvl w:val="3"/>
              <w:rPr>
                <w:rFonts w:hAnsi="宋体"/>
                <w:kern w:val="0"/>
                <w:sz w:val="24"/>
              </w:rPr>
            </w:pPr>
            <w:r>
              <w:rPr>
                <w:rFonts w:hint="eastAsia" w:hAnsi="宋体"/>
                <w:kern w:val="0"/>
                <w:sz w:val="24"/>
              </w:rPr>
              <w:t>表2   人员短期逗留区域空调室内设计参数</w:t>
            </w:r>
          </w:p>
          <w:tbl>
            <w:tblPr>
              <w:tblStyle w:val="44"/>
              <w:tblW w:w="5000" w:type="pct"/>
              <w:tblInd w:w="0" w:type="dxa"/>
              <w:tblLayout w:type="autofit"/>
              <w:tblCellMar>
                <w:top w:w="0" w:type="dxa"/>
                <w:left w:w="108" w:type="dxa"/>
                <w:bottom w:w="0" w:type="dxa"/>
                <w:right w:w="108" w:type="dxa"/>
              </w:tblCellMar>
            </w:tblPr>
            <w:tblGrid>
              <w:gridCol w:w="1479"/>
              <w:gridCol w:w="1656"/>
              <w:gridCol w:w="1416"/>
              <w:gridCol w:w="1776"/>
              <w:gridCol w:w="1537"/>
            </w:tblGrid>
            <w:tr>
              <w:tblPrEx>
                <w:tblCellMar>
                  <w:top w:w="0" w:type="dxa"/>
                  <w:left w:w="108" w:type="dxa"/>
                  <w:bottom w:w="0" w:type="dxa"/>
                  <w:right w:w="108" w:type="dxa"/>
                </w:tblCellMar>
              </w:tblPrEx>
              <w:trPr>
                <w:trHeight w:val="20" w:hRule="atLeast"/>
              </w:trPr>
              <w:tc>
                <w:tcPr>
                  <w:tcW w:w="110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类别</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热舒适度等级</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温度（℃）</w:t>
                  </w:r>
                </w:p>
              </w:tc>
              <w:tc>
                <w:tcPr>
                  <w:tcW w:w="941"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相对湿度（%）</w:t>
                  </w:r>
                </w:p>
              </w:tc>
              <w:tc>
                <w:tcPr>
                  <w:tcW w:w="1075"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风速（m/s）</w:t>
                  </w:r>
                </w:p>
              </w:tc>
            </w:tr>
            <w:tr>
              <w:tblPrEx>
                <w:tblCellMar>
                  <w:top w:w="0" w:type="dxa"/>
                  <w:left w:w="108" w:type="dxa"/>
                  <w:bottom w:w="0" w:type="dxa"/>
                  <w:right w:w="108" w:type="dxa"/>
                </w:tblCellMar>
              </w:tblPrEx>
              <w:trPr>
                <w:trHeight w:val="2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供热工况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20~23</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≥30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≤0.3</w:t>
                  </w:r>
                </w:p>
              </w:tc>
            </w:tr>
            <w:tr>
              <w:tblPrEx>
                <w:tblCellMar>
                  <w:top w:w="0" w:type="dxa"/>
                  <w:left w:w="108" w:type="dxa"/>
                  <w:bottom w:w="0" w:type="dxa"/>
                  <w:right w:w="108" w:type="dxa"/>
                </w:tblCellMar>
              </w:tblPrEx>
              <w:trPr>
                <w:trHeight w:val="2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16~21</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≤0.3</w:t>
                  </w:r>
                </w:p>
              </w:tc>
            </w:tr>
            <w:tr>
              <w:tblPrEx>
                <w:tblCellMar>
                  <w:top w:w="0" w:type="dxa"/>
                  <w:left w:w="108" w:type="dxa"/>
                  <w:bottom w:w="0" w:type="dxa"/>
                  <w:right w:w="108" w:type="dxa"/>
                </w:tblCellMar>
              </w:tblPrEx>
              <w:trPr>
                <w:trHeight w:val="2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供冷工况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25~28</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40~60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≤0.5</w:t>
                  </w:r>
                </w:p>
              </w:tc>
            </w:tr>
            <w:tr>
              <w:tblPrEx>
                <w:tblCellMar>
                  <w:top w:w="0" w:type="dxa"/>
                  <w:left w:w="108" w:type="dxa"/>
                  <w:bottom w:w="0" w:type="dxa"/>
                  <w:right w:w="108" w:type="dxa"/>
                </w:tblCellMar>
              </w:tblPrEx>
              <w:trPr>
                <w:trHeight w:val="2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27~30</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≤70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≤0.5</w:t>
                  </w:r>
                </w:p>
              </w:tc>
            </w:tr>
          </w:tbl>
          <w:p>
            <w:pPr>
              <w:spacing w:line="360" w:lineRule="auto"/>
              <w:outlineLvl w:val="3"/>
              <w:rPr>
                <w:rFonts w:hAnsi="宋体"/>
                <w:kern w:val="0"/>
                <w:sz w:val="24"/>
              </w:rPr>
            </w:pPr>
            <w:r>
              <w:rPr>
                <w:rFonts w:hint="eastAsia" w:hAnsi="宋体"/>
                <w:kern w:val="0"/>
                <w:sz w:val="24"/>
              </w:rPr>
              <w:t>表3  公共建筑主要房间每人所需最小新风量【m</w:t>
            </w:r>
            <w:r>
              <w:rPr>
                <w:rFonts w:hint="eastAsia" w:hAnsi="宋体"/>
                <w:kern w:val="0"/>
                <w:sz w:val="24"/>
                <w:vertAlign w:val="superscript"/>
              </w:rPr>
              <w:t>3</w:t>
            </w:r>
            <w:r>
              <w:rPr>
                <w:rFonts w:hint="eastAsia" w:hAnsi="宋体"/>
                <w:kern w:val="0"/>
                <w:sz w:val="24"/>
              </w:rPr>
              <w:t>/（h·人）】</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47"/>
              <w:gridCol w:w="3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建筑房间类型</w:t>
                  </w:r>
                </w:p>
              </w:tc>
              <w:tc>
                <w:tcPr>
                  <w:tcW w:w="2487" w:type="pct"/>
                  <w:vAlign w:val="center"/>
                </w:tcPr>
                <w:p>
                  <w:pPr>
                    <w:spacing w:line="360" w:lineRule="auto"/>
                    <w:jc w:val="center"/>
                    <w:outlineLvl w:val="3"/>
                    <w:rPr>
                      <w:rFonts w:hAnsi="宋体"/>
                      <w:sz w:val="24"/>
                    </w:rPr>
                  </w:pPr>
                  <w:r>
                    <w:rPr>
                      <w:rFonts w:hint="eastAsia" w:hAnsi="宋体"/>
                      <w:sz w:val="24"/>
                    </w:rPr>
                    <w:t>新风量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办公室</w:t>
                  </w:r>
                </w:p>
              </w:tc>
              <w:tc>
                <w:tcPr>
                  <w:tcW w:w="2487" w:type="pct"/>
                  <w:vAlign w:val="center"/>
                </w:tcPr>
                <w:p>
                  <w:pPr>
                    <w:spacing w:line="360" w:lineRule="auto"/>
                    <w:jc w:val="center"/>
                    <w:outlineLvl w:val="3"/>
                    <w:rPr>
                      <w:rFonts w:hAnsi="宋体"/>
                      <w:sz w:val="24"/>
                    </w:rPr>
                  </w:pPr>
                  <w:r>
                    <w:rPr>
                      <w:rFonts w:hint="eastAsia" w:hAnsi="宋体"/>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客房</w:t>
                  </w:r>
                </w:p>
              </w:tc>
              <w:tc>
                <w:tcPr>
                  <w:tcW w:w="2487" w:type="pct"/>
                  <w:vAlign w:val="center"/>
                </w:tcPr>
                <w:p>
                  <w:pPr>
                    <w:spacing w:line="360" w:lineRule="auto"/>
                    <w:jc w:val="center"/>
                    <w:outlineLvl w:val="3"/>
                    <w:rPr>
                      <w:rFonts w:hAnsi="宋体"/>
                      <w:sz w:val="24"/>
                    </w:rPr>
                  </w:pPr>
                  <w:r>
                    <w:rPr>
                      <w:rFonts w:hint="eastAsia" w:hAnsi="宋体"/>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大堂、四季厅</w:t>
                  </w:r>
                </w:p>
              </w:tc>
              <w:tc>
                <w:tcPr>
                  <w:tcW w:w="2487" w:type="pct"/>
                  <w:vAlign w:val="center"/>
                </w:tcPr>
                <w:p>
                  <w:pPr>
                    <w:spacing w:line="360" w:lineRule="auto"/>
                    <w:jc w:val="center"/>
                    <w:outlineLvl w:val="3"/>
                    <w:rPr>
                      <w:rFonts w:hAnsi="宋体"/>
                      <w:sz w:val="24"/>
                    </w:rPr>
                  </w:pPr>
                  <w:r>
                    <w:rPr>
                      <w:rFonts w:hint="eastAsia" w:hAnsi="宋体"/>
                      <w:sz w:val="24"/>
                    </w:rPr>
                    <w:t>10</w:t>
                  </w:r>
                </w:p>
              </w:tc>
            </w:tr>
          </w:tbl>
          <w:p>
            <w:pPr>
              <w:spacing w:line="360" w:lineRule="auto"/>
              <w:outlineLvl w:val="3"/>
              <w:rPr>
                <w:rFonts w:hAnsi="宋体"/>
                <w:kern w:val="0"/>
                <w:sz w:val="24"/>
              </w:rPr>
            </w:pPr>
            <w:r>
              <w:rPr>
                <w:rFonts w:hint="eastAsia" w:hAnsi="宋体"/>
                <w:kern w:val="0"/>
                <w:sz w:val="24"/>
              </w:rPr>
              <w:t>表4  医院建筑设计最小换气次数</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46"/>
              <w:gridCol w:w="3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功能房间</w:t>
                  </w:r>
                </w:p>
              </w:tc>
              <w:tc>
                <w:tcPr>
                  <w:tcW w:w="2488" w:type="pct"/>
                  <w:vAlign w:val="center"/>
                </w:tcPr>
                <w:p>
                  <w:pPr>
                    <w:spacing w:line="360" w:lineRule="auto"/>
                    <w:jc w:val="center"/>
                    <w:outlineLvl w:val="3"/>
                    <w:rPr>
                      <w:rFonts w:hAnsi="宋体"/>
                      <w:sz w:val="24"/>
                    </w:rPr>
                  </w:pPr>
                  <w:r>
                    <w:rPr>
                      <w:rFonts w:hint="eastAsia" w:hAnsi="宋体"/>
                      <w:sz w:val="24"/>
                    </w:rPr>
                    <w:t>每小时换气次数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门诊室</w:t>
                  </w:r>
                </w:p>
              </w:tc>
              <w:tc>
                <w:tcPr>
                  <w:tcW w:w="2488" w:type="pct"/>
                  <w:vAlign w:val="center"/>
                </w:tcPr>
                <w:p>
                  <w:pPr>
                    <w:spacing w:line="360" w:lineRule="auto"/>
                    <w:jc w:val="center"/>
                    <w:outlineLvl w:val="3"/>
                    <w:rPr>
                      <w:rFonts w:hAnsi="宋体"/>
                      <w:sz w:val="24"/>
                    </w:rPr>
                  </w:pPr>
                  <w:r>
                    <w:rPr>
                      <w:rFonts w:hint="eastAsia"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急诊室</w:t>
                  </w:r>
                </w:p>
              </w:tc>
              <w:tc>
                <w:tcPr>
                  <w:tcW w:w="2488" w:type="pct"/>
                  <w:vAlign w:val="center"/>
                </w:tcPr>
                <w:p>
                  <w:pPr>
                    <w:spacing w:line="360" w:lineRule="auto"/>
                    <w:jc w:val="center"/>
                    <w:outlineLvl w:val="3"/>
                    <w:rPr>
                      <w:rFonts w:hAnsi="宋体"/>
                      <w:sz w:val="24"/>
                    </w:rPr>
                  </w:pPr>
                  <w:r>
                    <w:rPr>
                      <w:rFonts w:hint="eastAsia"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配药室</w:t>
                  </w:r>
                </w:p>
              </w:tc>
              <w:tc>
                <w:tcPr>
                  <w:tcW w:w="2488" w:type="pct"/>
                  <w:vAlign w:val="center"/>
                </w:tcPr>
                <w:p>
                  <w:pPr>
                    <w:spacing w:line="360" w:lineRule="auto"/>
                    <w:jc w:val="center"/>
                    <w:outlineLvl w:val="3"/>
                    <w:rPr>
                      <w:rFonts w:hAnsi="宋体"/>
                      <w:sz w:val="24"/>
                    </w:rPr>
                  </w:pPr>
                  <w:r>
                    <w:rPr>
                      <w:rFonts w:hint="eastAsia" w:hAnsi="宋体"/>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放射室</w:t>
                  </w:r>
                </w:p>
              </w:tc>
              <w:tc>
                <w:tcPr>
                  <w:tcW w:w="2488" w:type="pct"/>
                  <w:vAlign w:val="center"/>
                </w:tcPr>
                <w:p>
                  <w:pPr>
                    <w:spacing w:line="360" w:lineRule="auto"/>
                    <w:jc w:val="center"/>
                    <w:outlineLvl w:val="3"/>
                    <w:rPr>
                      <w:rFonts w:hAnsi="宋体"/>
                      <w:sz w:val="24"/>
                    </w:rPr>
                  </w:pPr>
                  <w:r>
                    <w:rPr>
                      <w:rFonts w:hint="eastAsia"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病房</w:t>
                  </w:r>
                </w:p>
              </w:tc>
              <w:tc>
                <w:tcPr>
                  <w:tcW w:w="2488" w:type="pct"/>
                  <w:vAlign w:val="center"/>
                </w:tcPr>
                <w:p>
                  <w:pPr>
                    <w:spacing w:line="360" w:lineRule="auto"/>
                    <w:jc w:val="center"/>
                    <w:outlineLvl w:val="3"/>
                    <w:rPr>
                      <w:rFonts w:hAnsi="宋体"/>
                      <w:sz w:val="24"/>
                    </w:rPr>
                  </w:pPr>
                  <w:r>
                    <w:rPr>
                      <w:rFonts w:hint="eastAsia" w:hAnsi="宋体"/>
                      <w:sz w:val="24"/>
                    </w:rPr>
                    <w:t>2</w:t>
                  </w:r>
                </w:p>
              </w:tc>
            </w:tr>
          </w:tbl>
          <w:p>
            <w:pPr>
              <w:spacing w:line="360" w:lineRule="auto"/>
              <w:outlineLvl w:val="3"/>
              <w:rPr>
                <w:rFonts w:hAnsi="宋体"/>
                <w:kern w:val="0"/>
                <w:sz w:val="24"/>
              </w:rPr>
            </w:pPr>
            <w:r>
              <w:rPr>
                <w:rFonts w:hint="eastAsia" w:hAnsi="宋体"/>
                <w:kern w:val="0"/>
                <w:sz w:val="24"/>
              </w:rPr>
              <w:t>表5  高密度人群建筑每人所需最小新风量【m3/(h·人)】</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46"/>
              <w:gridCol w:w="1365"/>
              <w:gridCol w:w="2048"/>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Merge w:val="restart"/>
                  <w:vAlign w:val="center"/>
                </w:tcPr>
                <w:p>
                  <w:pPr>
                    <w:spacing w:line="360" w:lineRule="auto"/>
                    <w:outlineLvl w:val="3"/>
                    <w:rPr>
                      <w:rFonts w:hAnsi="宋体"/>
                      <w:sz w:val="24"/>
                    </w:rPr>
                  </w:pPr>
                  <w:r>
                    <w:rPr>
                      <w:rFonts w:hint="eastAsia" w:hAnsi="宋体"/>
                      <w:sz w:val="24"/>
                    </w:rPr>
                    <w:t>建筑类型</w:t>
                  </w:r>
                </w:p>
              </w:tc>
              <w:tc>
                <w:tcPr>
                  <w:tcW w:w="2997" w:type="pct"/>
                  <w:gridSpan w:val="3"/>
                  <w:vAlign w:val="center"/>
                </w:tcPr>
                <w:p>
                  <w:pPr>
                    <w:spacing w:line="360" w:lineRule="auto"/>
                    <w:jc w:val="center"/>
                    <w:outlineLvl w:val="3"/>
                    <w:rPr>
                      <w:rFonts w:hAnsi="宋体"/>
                      <w:sz w:val="24"/>
                    </w:rPr>
                  </w:pPr>
                  <w:r>
                    <w:rPr>
                      <w:rFonts w:hint="eastAsia" w:hAnsi="宋体"/>
                      <w:sz w:val="24"/>
                    </w:rPr>
                    <w:t>人员密度P</w:t>
                  </w:r>
                  <w:r>
                    <w:rPr>
                      <w:rFonts w:hint="eastAsia" w:hAnsi="宋体"/>
                      <w:sz w:val="24"/>
                      <w:vertAlign w:val="subscript"/>
                    </w:rPr>
                    <w:t>F</w:t>
                  </w:r>
                  <w:r>
                    <w:rPr>
                      <w:rFonts w:hint="eastAsia" w:hAnsi="宋体"/>
                      <w:sz w:val="24"/>
                    </w:rPr>
                    <w:t>(人/m</w:t>
                  </w:r>
                  <w:r>
                    <w:rPr>
                      <w:rFonts w:hint="eastAsia" w:hAnsi="宋体"/>
                      <w:sz w:val="24"/>
                      <w:vertAlign w:val="superscript"/>
                    </w:rPr>
                    <w:t>2</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Merge w:val="continue"/>
                  <w:vAlign w:val="center"/>
                </w:tcPr>
                <w:p>
                  <w:pPr>
                    <w:spacing w:line="360" w:lineRule="auto"/>
                    <w:outlineLvl w:val="3"/>
                    <w:rPr>
                      <w:rFonts w:hAnsi="宋体"/>
                      <w:sz w:val="24"/>
                    </w:rPr>
                  </w:pPr>
                </w:p>
              </w:tc>
              <w:tc>
                <w:tcPr>
                  <w:tcW w:w="869" w:type="pct"/>
                  <w:vAlign w:val="center"/>
                </w:tcPr>
                <w:p>
                  <w:pPr>
                    <w:spacing w:line="360" w:lineRule="auto"/>
                    <w:jc w:val="center"/>
                    <w:outlineLvl w:val="3"/>
                    <w:rPr>
                      <w:rFonts w:hAnsi="宋体"/>
                      <w:sz w:val="24"/>
                    </w:rPr>
                  </w:pPr>
                  <w:r>
                    <w:rPr>
                      <w:rFonts w:hint="eastAsia" w:hAnsi="宋体"/>
                      <w:sz w:val="24"/>
                    </w:rPr>
                    <w:t>P</w:t>
                  </w:r>
                  <w:r>
                    <w:rPr>
                      <w:rFonts w:hint="eastAsia" w:hAnsi="宋体"/>
                      <w:sz w:val="24"/>
                      <w:vertAlign w:val="subscript"/>
                    </w:rPr>
                    <w:t>F</w:t>
                  </w:r>
                  <w:r>
                    <w:rPr>
                      <w:rFonts w:hint="eastAsia" w:hAnsi="宋体"/>
                      <w:sz w:val="24"/>
                    </w:rPr>
                    <w:t>≤0.4</w:t>
                  </w:r>
                </w:p>
              </w:tc>
              <w:tc>
                <w:tcPr>
                  <w:tcW w:w="1304" w:type="pct"/>
                  <w:vAlign w:val="center"/>
                </w:tcPr>
                <w:p>
                  <w:pPr>
                    <w:spacing w:line="360" w:lineRule="auto"/>
                    <w:jc w:val="center"/>
                    <w:outlineLvl w:val="3"/>
                    <w:rPr>
                      <w:rFonts w:hAnsi="宋体"/>
                      <w:sz w:val="24"/>
                    </w:rPr>
                  </w:pPr>
                  <w:r>
                    <w:rPr>
                      <w:rFonts w:hint="eastAsia" w:hAnsi="宋体"/>
                      <w:sz w:val="24"/>
                    </w:rPr>
                    <w:t>0.4﹤P</w:t>
                  </w:r>
                  <w:r>
                    <w:rPr>
                      <w:rFonts w:hint="eastAsia" w:hAnsi="宋体"/>
                      <w:sz w:val="24"/>
                      <w:vertAlign w:val="subscript"/>
                    </w:rPr>
                    <w:t>F</w:t>
                  </w:r>
                  <w:r>
                    <w:rPr>
                      <w:rFonts w:hint="eastAsia" w:hAnsi="宋体"/>
                      <w:sz w:val="24"/>
                    </w:rPr>
                    <w:t>≤1.0</w:t>
                  </w:r>
                </w:p>
              </w:tc>
              <w:tc>
                <w:tcPr>
                  <w:tcW w:w="824" w:type="pct"/>
                  <w:vAlign w:val="center"/>
                </w:tcPr>
                <w:p>
                  <w:pPr>
                    <w:spacing w:line="360" w:lineRule="auto"/>
                    <w:jc w:val="center"/>
                    <w:outlineLvl w:val="3"/>
                    <w:rPr>
                      <w:rFonts w:hAnsi="宋体"/>
                      <w:sz w:val="24"/>
                    </w:rPr>
                  </w:pPr>
                  <w:r>
                    <w:rPr>
                      <w:rFonts w:hint="eastAsia" w:hAnsi="宋体"/>
                      <w:sz w:val="24"/>
                    </w:rPr>
                    <w:t>P</w:t>
                  </w:r>
                  <w:r>
                    <w:rPr>
                      <w:rFonts w:hint="eastAsia" w:hAnsi="宋体"/>
                      <w:sz w:val="24"/>
                      <w:vertAlign w:val="subscript"/>
                    </w:rPr>
                    <w:t>F</w:t>
                  </w:r>
                  <w:r>
                    <w:rPr>
                      <w:rFonts w:hint="eastAsia" w:hAnsi="宋体"/>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影剧院、音乐厅、大会厅、多功能厅、会议室</w:t>
                  </w:r>
                </w:p>
              </w:tc>
              <w:tc>
                <w:tcPr>
                  <w:tcW w:w="869" w:type="pct"/>
                  <w:vAlign w:val="center"/>
                </w:tcPr>
                <w:p>
                  <w:pPr>
                    <w:spacing w:line="360" w:lineRule="auto"/>
                    <w:jc w:val="center"/>
                    <w:outlineLvl w:val="3"/>
                    <w:rPr>
                      <w:rFonts w:hAnsi="宋体"/>
                      <w:sz w:val="24"/>
                    </w:rPr>
                  </w:pPr>
                  <w:r>
                    <w:rPr>
                      <w:rFonts w:hint="eastAsia" w:hAnsi="宋体"/>
                      <w:sz w:val="24"/>
                    </w:rPr>
                    <w:t>14</w:t>
                  </w:r>
                </w:p>
              </w:tc>
              <w:tc>
                <w:tcPr>
                  <w:tcW w:w="1304" w:type="pct"/>
                  <w:vAlign w:val="center"/>
                </w:tcPr>
                <w:p>
                  <w:pPr>
                    <w:spacing w:line="360" w:lineRule="auto"/>
                    <w:jc w:val="center"/>
                    <w:outlineLvl w:val="3"/>
                    <w:rPr>
                      <w:rFonts w:hAnsi="宋体"/>
                      <w:sz w:val="24"/>
                    </w:rPr>
                  </w:pPr>
                  <w:r>
                    <w:rPr>
                      <w:rFonts w:hint="eastAsia" w:hAnsi="宋体"/>
                      <w:sz w:val="24"/>
                    </w:rPr>
                    <w:t>12</w:t>
                  </w:r>
                </w:p>
              </w:tc>
              <w:tc>
                <w:tcPr>
                  <w:tcW w:w="824" w:type="pct"/>
                  <w:vAlign w:val="center"/>
                </w:tcPr>
                <w:p>
                  <w:pPr>
                    <w:spacing w:line="360" w:lineRule="auto"/>
                    <w:jc w:val="center"/>
                    <w:outlineLvl w:val="3"/>
                    <w:rPr>
                      <w:rFonts w:hAnsi="宋体"/>
                      <w:sz w:val="24"/>
                    </w:rPr>
                  </w:pPr>
                  <w:r>
                    <w:rPr>
                      <w:rFonts w:hint="eastAsia" w:hAnsi="宋体"/>
                      <w:sz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商场、超市</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博物馆、展览厅</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公共交通等候室</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歌厅</w:t>
                  </w:r>
                </w:p>
              </w:tc>
              <w:tc>
                <w:tcPr>
                  <w:tcW w:w="869" w:type="pct"/>
                  <w:vAlign w:val="center"/>
                </w:tcPr>
                <w:p>
                  <w:pPr>
                    <w:spacing w:line="360" w:lineRule="auto"/>
                    <w:jc w:val="center"/>
                    <w:outlineLvl w:val="3"/>
                    <w:rPr>
                      <w:rFonts w:hAnsi="宋体"/>
                      <w:sz w:val="24"/>
                    </w:rPr>
                  </w:pPr>
                  <w:r>
                    <w:rPr>
                      <w:rFonts w:hint="eastAsia" w:hAnsi="宋体"/>
                      <w:sz w:val="24"/>
                    </w:rPr>
                    <w:t>23</w:t>
                  </w:r>
                </w:p>
              </w:tc>
              <w:tc>
                <w:tcPr>
                  <w:tcW w:w="1304" w:type="pct"/>
                  <w:vAlign w:val="center"/>
                </w:tcPr>
                <w:p>
                  <w:pPr>
                    <w:spacing w:line="360" w:lineRule="auto"/>
                    <w:jc w:val="center"/>
                    <w:outlineLvl w:val="3"/>
                    <w:rPr>
                      <w:rFonts w:hAnsi="宋体"/>
                      <w:sz w:val="24"/>
                    </w:rPr>
                  </w:pPr>
                  <w:r>
                    <w:rPr>
                      <w:rFonts w:hint="eastAsia" w:hAnsi="宋体"/>
                      <w:sz w:val="24"/>
                    </w:rPr>
                    <w:t>20</w:t>
                  </w:r>
                </w:p>
              </w:tc>
              <w:tc>
                <w:tcPr>
                  <w:tcW w:w="824" w:type="pct"/>
                  <w:vAlign w:val="center"/>
                </w:tcPr>
                <w:p>
                  <w:pPr>
                    <w:spacing w:line="360" w:lineRule="auto"/>
                    <w:jc w:val="center"/>
                    <w:outlineLvl w:val="3"/>
                    <w:rPr>
                      <w:rFonts w:hAnsi="宋体"/>
                      <w:sz w:val="24"/>
                    </w:rPr>
                  </w:pPr>
                  <w:r>
                    <w:rPr>
                      <w:rFonts w:hint="eastAsia" w:hAnsi="宋体"/>
                      <w:sz w:val="24"/>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酒吧、咖啡厅、宴会厅、餐厅</w:t>
                  </w:r>
                </w:p>
              </w:tc>
              <w:tc>
                <w:tcPr>
                  <w:tcW w:w="869" w:type="pct"/>
                  <w:vAlign w:val="center"/>
                </w:tcPr>
                <w:p>
                  <w:pPr>
                    <w:spacing w:line="360" w:lineRule="auto"/>
                    <w:jc w:val="center"/>
                    <w:outlineLvl w:val="3"/>
                    <w:rPr>
                      <w:rFonts w:hAnsi="宋体"/>
                      <w:sz w:val="24"/>
                    </w:rPr>
                  </w:pPr>
                  <w:r>
                    <w:rPr>
                      <w:rFonts w:hint="eastAsia" w:hAnsi="宋体"/>
                      <w:sz w:val="24"/>
                    </w:rPr>
                    <w:t>30</w:t>
                  </w:r>
                </w:p>
              </w:tc>
              <w:tc>
                <w:tcPr>
                  <w:tcW w:w="1304" w:type="pct"/>
                  <w:vAlign w:val="center"/>
                </w:tcPr>
                <w:p>
                  <w:pPr>
                    <w:spacing w:line="360" w:lineRule="auto"/>
                    <w:jc w:val="center"/>
                    <w:outlineLvl w:val="3"/>
                    <w:rPr>
                      <w:rFonts w:hAnsi="宋体"/>
                      <w:sz w:val="24"/>
                    </w:rPr>
                  </w:pPr>
                  <w:r>
                    <w:rPr>
                      <w:rFonts w:hint="eastAsia" w:hAnsi="宋体"/>
                      <w:sz w:val="24"/>
                    </w:rPr>
                    <w:t>25</w:t>
                  </w:r>
                </w:p>
              </w:tc>
              <w:tc>
                <w:tcPr>
                  <w:tcW w:w="824" w:type="pct"/>
                  <w:vAlign w:val="center"/>
                </w:tcPr>
                <w:p>
                  <w:pPr>
                    <w:spacing w:line="360" w:lineRule="auto"/>
                    <w:jc w:val="center"/>
                    <w:outlineLvl w:val="3"/>
                    <w:rPr>
                      <w:rFonts w:hAnsi="宋体"/>
                      <w:sz w:val="24"/>
                    </w:rPr>
                  </w:pPr>
                  <w:r>
                    <w:rPr>
                      <w:rFonts w:hint="eastAsia" w:hAnsi="宋体"/>
                      <w:sz w:val="24"/>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游艺厅、保龄球房</w:t>
                  </w:r>
                </w:p>
              </w:tc>
              <w:tc>
                <w:tcPr>
                  <w:tcW w:w="869" w:type="pct"/>
                  <w:vAlign w:val="center"/>
                </w:tcPr>
                <w:p>
                  <w:pPr>
                    <w:spacing w:line="360" w:lineRule="auto"/>
                    <w:jc w:val="center"/>
                    <w:outlineLvl w:val="3"/>
                    <w:rPr>
                      <w:rFonts w:hAnsi="宋体"/>
                      <w:sz w:val="24"/>
                    </w:rPr>
                  </w:pPr>
                  <w:r>
                    <w:rPr>
                      <w:rFonts w:hint="eastAsia" w:hAnsi="宋体"/>
                      <w:sz w:val="24"/>
                    </w:rPr>
                    <w:t>30</w:t>
                  </w:r>
                </w:p>
              </w:tc>
              <w:tc>
                <w:tcPr>
                  <w:tcW w:w="1304" w:type="pct"/>
                  <w:vAlign w:val="center"/>
                </w:tcPr>
                <w:p>
                  <w:pPr>
                    <w:spacing w:line="360" w:lineRule="auto"/>
                    <w:jc w:val="center"/>
                    <w:outlineLvl w:val="3"/>
                    <w:rPr>
                      <w:rFonts w:hAnsi="宋体"/>
                      <w:sz w:val="24"/>
                    </w:rPr>
                  </w:pPr>
                  <w:r>
                    <w:rPr>
                      <w:rFonts w:hint="eastAsia" w:hAnsi="宋体"/>
                      <w:sz w:val="24"/>
                    </w:rPr>
                    <w:t>25</w:t>
                  </w:r>
                </w:p>
              </w:tc>
              <w:tc>
                <w:tcPr>
                  <w:tcW w:w="824" w:type="pct"/>
                  <w:vAlign w:val="center"/>
                </w:tcPr>
                <w:p>
                  <w:pPr>
                    <w:spacing w:line="360" w:lineRule="auto"/>
                    <w:jc w:val="center"/>
                    <w:outlineLvl w:val="3"/>
                    <w:rPr>
                      <w:rFonts w:hAnsi="宋体"/>
                      <w:sz w:val="24"/>
                    </w:rPr>
                  </w:pPr>
                  <w:r>
                    <w:rPr>
                      <w:rFonts w:hint="eastAsia" w:hAnsi="宋体"/>
                      <w:sz w:val="24"/>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体育馆</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健身房</w:t>
                  </w:r>
                </w:p>
              </w:tc>
              <w:tc>
                <w:tcPr>
                  <w:tcW w:w="869" w:type="pct"/>
                  <w:vAlign w:val="center"/>
                </w:tcPr>
                <w:p>
                  <w:pPr>
                    <w:spacing w:line="360" w:lineRule="auto"/>
                    <w:jc w:val="center"/>
                    <w:outlineLvl w:val="3"/>
                    <w:rPr>
                      <w:rFonts w:hAnsi="宋体"/>
                      <w:sz w:val="24"/>
                    </w:rPr>
                  </w:pPr>
                  <w:r>
                    <w:rPr>
                      <w:rFonts w:hint="eastAsia" w:hAnsi="宋体"/>
                      <w:sz w:val="24"/>
                    </w:rPr>
                    <w:t>40</w:t>
                  </w:r>
                </w:p>
              </w:tc>
              <w:tc>
                <w:tcPr>
                  <w:tcW w:w="1304" w:type="pct"/>
                  <w:vAlign w:val="center"/>
                </w:tcPr>
                <w:p>
                  <w:pPr>
                    <w:spacing w:line="360" w:lineRule="auto"/>
                    <w:jc w:val="center"/>
                    <w:outlineLvl w:val="3"/>
                    <w:rPr>
                      <w:rFonts w:hAnsi="宋体"/>
                      <w:sz w:val="24"/>
                    </w:rPr>
                  </w:pPr>
                  <w:r>
                    <w:rPr>
                      <w:rFonts w:hint="eastAsia" w:hAnsi="宋体"/>
                      <w:sz w:val="24"/>
                    </w:rPr>
                    <w:t>38</w:t>
                  </w:r>
                </w:p>
              </w:tc>
              <w:tc>
                <w:tcPr>
                  <w:tcW w:w="824" w:type="pct"/>
                  <w:vAlign w:val="center"/>
                </w:tcPr>
                <w:p>
                  <w:pPr>
                    <w:spacing w:line="360" w:lineRule="auto"/>
                    <w:jc w:val="center"/>
                    <w:outlineLvl w:val="3"/>
                    <w:rPr>
                      <w:rFonts w:hAnsi="宋体"/>
                      <w:sz w:val="24"/>
                    </w:rPr>
                  </w:pPr>
                  <w:r>
                    <w:rPr>
                      <w:rFonts w:hint="eastAsia" w:hAnsi="宋体"/>
                      <w:sz w:val="24"/>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教室</w:t>
                  </w:r>
                </w:p>
              </w:tc>
              <w:tc>
                <w:tcPr>
                  <w:tcW w:w="869" w:type="pct"/>
                  <w:vAlign w:val="center"/>
                </w:tcPr>
                <w:p>
                  <w:pPr>
                    <w:spacing w:line="360" w:lineRule="auto"/>
                    <w:jc w:val="center"/>
                    <w:outlineLvl w:val="3"/>
                    <w:rPr>
                      <w:rFonts w:hAnsi="宋体"/>
                      <w:sz w:val="24"/>
                    </w:rPr>
                  </w:pPr>
                  <w:r>
                    <w:rPr>
                      <w:rFonts w:hint="eastAsia" w:hAnsi="宋体"/>
                      <w:sz w:val="24"/>
                    </w:rPr>
                    <w:t>28</w:t>
                  </w:r>
                </w:p>
              </w:tc>
              <w:tc>
                <w:tcPr>
                  <w:tcW w:w="1304" w:type="pct"/>
                  <w:vAlign w:val="center"/>
                </w:tcPr>
                <w:p>
                  <w:pPr>
                    <w:spacing w:line="360" w:lineRule="auto"/>
                    <w:jc w:val="center"/>
                    <w:outlineLvl w:val="3"/>
                    <w:rPr>
                      <w:rFonts w:hAnsi="宋体"/>
                      <w:sz w:val="24"/>
                    </w:rPr>
                  </w:pPr>
                  <w:r>
                    <w:rPr>
                      <w:rFonts w:hint="eastAsia" w:hAnsi="宋体"/>
                      <w:sz w:val="24"/>
                    </w:rPr>
                    <w:t>24</w:t>
                  </w:r>
                </w:p>
              </w:tc>
              <w:tc>
                <w:tcPr>
                  <w:tcW w:w="824" w:type="pct"/>
                  <w:vAlign w:val="center"/>
                </w:tcPr>
                <w:p>
                  <w:pPr>
                    <w:spacing w:line="360" w:lineRule="auto"/>
                    <w:jc w:val="center"/>
                    <w:outlineLvl w:val="3"/>
                    <w:rPr>
                      <w:rFonts w:hAnsi="宋体"/>
                      <w:sz w:val="24"/>
                    </w:rPr>
                  </w:pPr>
                  <w:r>
                    <w:rPr>
                      <w:rFonts w:hint="eastAsia" w:hAnsi="宋体"/>
                      <w:sz w:val="24"/>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图书馆</w:t>
                  </w:r>
                </w:p>
              </w:tc>
              <w:tc>
                <w:tcPr>
                  <w:tcW w:w="869" w:type="pct"/>
                  <w:vAlign w:val="center"/>
                </w:tcPr>
                <w:p>
                  <w:pPr>
                    <w:spacing w:line="360" w:lineRule="auto"/>
                    <w:jc w:val="center"/>
                    <w:outlineLvl w:val="3"/>
                    <w:rPr>
                      <w:rFonts w:hAnsi="宋体"/>
                      <w:sz w:val="24"/>
                    </w:rPr>
                  </w:pPr>
                  <w:r>
                    <w:rPr>
                      <w:rFonts w:hint="eastAsia" w:hAnsi="宋体"/>
                      <w:sz w:val="24"/>
                    </w:rPr>
                    <w:t>20</w:t>
                  </w:r>
                </w:p>
              </w:tc>
              <w:tc>
                <w:tcPr>
                  <w:tcW w:w="1304" w:type="pct"/>
                  <w:vAlign w:val="center"/>
                </w:tcPr>
                <w:p>
                  <w:pPr>
                    <w:spacing w:line="360" w:lineRule="auto"/>
                    <w:jc w:val="center"/>
                    <w:outlineLvl w:val="3"/>
                    <w:rPr>
                      <w:rFonts w:hAnsi="宋体"/>
                      <w:sz w:val="24"/>
                    </w:rPr>
                  </w:pPr>
                  <w:r>
                    <w:rPr>
                      <w:rFonts w:hint="eastAsia" w:hAnsi="宋体"/>
                      <w:sz w:val="24"/>
                    </w:rPr>
                    <w:t>17</w:t>
                  </w:r>
                </w:p>
              </w:tc>
              <w:tc>
                <w:tcPr>
                  <w:tcW w:w="824" w:type="pct"/>
                  <w:vAlign w:val="center"/>
                </w:tcPr>
                <w:p>
                  <w:pPr>
                    <w:spacing w:line="360" w:lineRule="auto"/>
                    <w:jc w:val="center"/>
                    <w:outlineLvl w:val="3"/>
                    <w:rPr>
                      <w:rFonts w:hAnsi="宋体"/>
                      <w:sz w:val="24"/>
                    </w:rPr>
                  </w:pPr>
                  <w:r>
                    <w:rPr>
                      <w:rFonts w:hint="eastAsia" w:hAnsi="宋体"/>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幼儿园</w:t>
                  </w:r>
                </w:p>
              </w:tc>
              <w:tc>
                <w:tcPr>
                  <w:tcW w:w="869" w:type="pct"/>
                  <w:vAlign w:val="center"/>
                </w:tcPr>
                <w:p>
                  <w:pPr>
                    <w:spacing w:line="360" w:lineRule="auto"/>
                    <w:jc w:val="center"/>
                    <w:outlineLvl w:val="3"/>
                    <w:rPr>
                      <w:rFonts w:hAnsi="宋体"/>
                      <w:sz w:val="24"/>
                    </w:rPr>
                  </w:pPr>
                  <w:r>
                    <w:rPr>
                      <w:rFonts w:hint="eastAsia" w:hAnsi="宋体"/>
                      <w:sz w:val="24"/>
                    </w:rPr>
                    <w:t>30</w:t>
                  </w:r>
                </w:p>
              </w:tc>
              <w:tc>
                <w:tcPr>
                  <w:tcW w:w="1304" w:type="pct"/>
                  <w:vAlign w:val="center"/>
                </w:tcPr>
                <w:p>
                  <w:pPr>
                    <w:spacing w:line="360" w:lineRule="auto"/>
                    <w:jc w:val="center"/>
                    <w:outlineLvl w:val="3"/>
                    <w:rPr>
                      <w:rFonts w:hAnsi="宋体"/>
                      <w:sz w:val="24"/>
                    </w:rPr>
                  </w:pPr>
                  <w:r>
                    <w:rPr>
                      <w:rFonts w:hint="eastAsia" w:hAnsi="宋体"/>
                      <w:sz w:val="24"/>
                    </w:rPr>
                    <w:t>25</w:t>
                  </w:r>
                </w:p>
              </w:tc>
              <w:tc>
                <w:tcPr>
                  <w:tcW w:w="824" w:type="pct"/>
                  <w:vAlign w:val="center"/>
                </w:tcPr>
                <w:p>
                  <w:pPr>
                    <w:spacing w:line="360" w:lineRule="auto"/>
                    <w:jc w:val="center"/>
                    <w:outlineLvl w:val="3"/>
                    <w:rPr>
                      <w:rFonts w:hAnsi="宋体"/>
                      <w:sz w:val="24"/>
                    </w:rPr>
                  </w:pPr>
                  <w:r>
                    <w:rPr>
                      <w:rFonts w:hint="eastAsia" w:hAnsi="宋体"/>
                      <w:sz w:val="24"/>
                    </w:rPr>
                    <w:t>23</w:t>
                  </w:r>
                </w:p>
              </w:tc>
            </w:tr>
          </w:tbl>
          <w:p>
            <w:pPr>
              <w:spacing w:line="360" w:lineRule="auto"/>
              <w:outlineLvl w:val="3"/>
              <w:rPr>
                <w:rFonts w:asciiTheme="minorEastAsia" w:hAnsiTheme="minorEastAsia" w:eastAsiaTheme="minorEastAsia"/>
                <w:kern w:val="0"/>
                <w:sz w:val="24"/>
              </w:rPr>
            </w:pP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室内通风换气设计参数；</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410"/>
        <w:gridCol w:w="3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10" w:type="dxa"/>
          </w:tcPr>
          <w:p>
            <w:pPr>
              <w:spacing w:line="360" w:lineRule="auto"/>
              <w:ind w:firstLine="4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5.1.2条</w:t>
            </w:r>
          </w:p>
        </w:tc>
        <w:tc>
          <w:tcPr>
            <w:tcW w:w="326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ind w:firstLine="400"/>
              <w:outlineLvl w:val="3"/>
              <w:rPr>
                <w:rFonts w:asciiTheme="minorEastAsia" w:hAnsiTheme="minorEastAsia" w:eastAsiaTheme="minorEastAsia"/>
                <w:kern w:val="0"/>
                <w:sz w:val="24"/>
              </w:rPr>
            </w:pP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410" w:type="dxa"/>
          </w:tcPr>
          <w:p>
            <w:pPr>
              <w:spacing w:line="360" w:lineRule="auto"/>
              <w:ind w:firstLine="4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326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气流组织应合理，避免吸烟室、复印室、打印室、垃圾间、清洁间、公共卫生间、地下车库等产生的异味或污染物影响人员活动区域。住宅厨房及卫生间的排气道的设计应符合相关国家标准，并采取防倒灌的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ind w:firstLine="4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ind w:firstLine="4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主要房间的空调通风折算通风换气次数的判断可参考现行国家标准《民用建筑供暖通风与空气调节设计规范》GB 50736与《车库建筑设计规范》JGJ 100的要求。</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空调负荷计算；</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364"/>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50736-2012</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w:t>
            </w:r>
            <w:r>
              <w:rPr>
                <w:rFonts w:asciiTheme="minorEastAsia" w:hAnsiTheme="minorEastAsia" w:eastAsiaTheme="minorEastAsia"/>
                <w:kern w:val="0"/>
                <w:sz w:val="24"/>
              </w:rPr>
              <w:t>2.1</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7.2.1条</w:t>
            </w:r>
          </w:p>
        </w:tc>
        <w:tc>
          <w:tcPr>
            <w:tcW w:w="3306"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asciiTheme="minorEastAsia" w:hAnsiTheme="minorEastAsia" w:eastAsiaTheme="minorEastAsia"/>
                <w:kern w:val="0"/>
                <w:sz w:val="24"/>
              </w:rPr>
              <w:t>施工图设计阶段必须对每一个供暖空调房间或区域进行热负荷和逐项逐时的冷负荷计算。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填写时应根据不同空调冷热源形式分别填写冷热负荷指标。</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空调冷热源设计；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364"/>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vMerge w:val="restart"/>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7.1.2条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7.2.5条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7.2.8条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7.2.9条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8.1.6条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restart"/>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33/1092-2021</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8.1.5条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w:t>
            </w:r>
            <w:r>
              <w:rPr>
                <w:rFonts w:asciiTheme="minorEastAsia" w:hAnsiTheme="minorEastAsia" w:eastAsiaTheme="minorEastAsia"/>
                <w:kern w:val="0"/>
                <w:sz w:val="24"/>
              </w:rPr>
              <w:t>8</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8.2.2条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8.2.4条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8.2.5条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8.3.1条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2</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8.4.1条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8.4.2条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5</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330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w:t>
            </w:r>
            <w:r>
              <w:rPr>
                <w:rFonts w:asciiTheme="minorEastAsia" w:hAnsiTheme="minorEastAsia" w:eastAsiaTheme="minorEastAsia"/>
                <w:kern w:val="0"/>
                <w:sz w:val="24"/>
              </w:rPr>
              <w:t>DB 33/1092-2021</w:t>
            </w:r>
            <w:r>
              <w:rPr>
                <w:rFonts w:hint="eastAsia" w:asciiTheme="minorEastAsia" w:hAnsiTheme="minorEastAsia" w:eastAsiaTheme="minorEastAsia"/>
                <w:kern w:val="0"/>
                <w:sz w:val="24"/>
              </w:rPr>
              <w:t>中对冷源与热源的要求填写。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本专篇中列出了设计中常用的空调冷热源系统，包括：</w:t>
            </w:r>
            <w:r>
              <w:rPr>
                <w:rFonts w:asciiTheme="minorEastAsia" w:hAnsiTheme="minorEastAsia" w:eastAsiaTheme="minorEastAsia"/>
                <w:kern w:val="0"/>
                <w:sz w:val="24"/>
              </w:rPr>
              <w:t>对电机驱动的蒸气压缩循环冷水（热泵）机组、多联式空调（热泵）机组、燃油和燃气锅炉</w:t>
            </w:r>
            <w:r>
              <w:rPr>
                <w:rFonts w:hint="eastAsia" w:asciiTheme="minorEastAsia" w:hAnsiTheme="minorEastAsia" w:eastAsiaTheme="minorEastAsia"/>
                <w:kern w:val="0"/>
                <w:sz w:val="24"/>
              </w:rPr>
              <w:t>等。实际填写时应根据设计采用的冷热源系统编制绿色专篇。冷热源绿色专篇应包含浙江省《绿色建筑设计标准》的内容。</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6空调末端设计；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552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552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2"/>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本条根据浙江省《绿色建筑设计标准》DB 33/1092-2021中对空调末端的要求填写。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2"/>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本专篇中列出了设计中常用的空调末端，包括：全空气系统、风机盘管或室内机+新风系统等。实际填写时应根据设计采用的空调末端编制绿色专篇。空调末端绿色专篇应包含浙江省《绿色建筑设计标准》DB 33/1092-2021的内容。</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6.1全空气一次回风送风单风道系统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676"/>
        <w:gridCol w:w="2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5.1.8条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7.1.2条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8.1.3条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8.1.4条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5</w:t>
            </w:r>
            <w:r>
              <w:rPr>
                <w:rFonts w:hint="eastAsia" w:asciiTheme="minorEastAsia" w:hAnsiTheme="minorEastAsia" w:eastAsiaTheme="minorEastAsia"/>
                <w:kern w:val="0"/>
                <w:sz w:val="24"/>
              </w:rPr>
              <w:t>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9</w:t>
            </w:r>
            <w:r>
              <w:rPr>
                <w:rFonts w:hint="eastAsia" w:asciiTheme="minorEastAsia" w:hAnsiTheme="minorEastAsia" w:eastAsiaTheme="minorEastAsia"/>
                <w:kern w:val="0"/>
                <w:sz w:val="24"/>
              </w:rPr>
              <w:t>条</w:t>
            </w:r>
          </w:p>
        </w:tc>
        <w:tc>
          <w:tcPr>
            <w:tcW w:w="28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供暖、空调区域应根据房间的朝向及内部功能合理划分，并对系统进行分区控制。</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除功能相同、使用时间与运行方式、业态归属一致的房间，各房间应采取可独立调节分室控制的的供暖空调末端装置。</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对设置集中通风空调系统的公共建筑，在人员密度较高、流量集中且随时间变化较大的空间，全空气系统应设置CO2浓度检测装置，并联动控制空调通风系统。</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舒适性空调的全空气系统，应具备最大限度利用室外新风作冷源的条件。新风入口、过滤器等应按最大总新风比不低于70%设计，新风比应可调节以满足增大新风量运行的要求。排风系统的设计和运行应与新风量的变化相适应。</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电机功率不小于3kW的全空气空调系统风机应采用变频调速技术，且应采取相应的水力平衡措施</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2</w:t>
      </w:r>
      <w:r>
        <w:rPr>
          <w:rFonts w:hint="eastAsia" w:asciiTheme="minorEastAsia" w:hAnsiTheme="minorEastAsia" w:eastAsiaTheme="minorEastAsia"/>
          <w:sz w:val="24"/>
        </w:rPr>
        <w:t>风机盘管或室内机+新风的空调系统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812"/>
        <w:gridCol w:w="2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81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5.1.8条</w:t>
            </w:r>
          </w:p>
        </w:tc>
        <w:tc>
          <w:tcPr>
            <w:tcW w:w="271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81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7.1.2条</w:t>
            </w:r>
          </w:p>
        </w:tc>
        <w:tc>
          <w:tcPr>
            <w:tcW w:w="271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81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8.1.3条</w:t>
            </w:r>
          </w:p>
        </w:tc>
        <w:tc>
          <w:tcPr>
            <w:tcW w:w="271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81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8.1.4条</w:t>
            </w:r>
          </w:p>
        </w:tc>
        <w:tc>
          <w:tcPr>
            <w:tcW w:w="271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81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271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81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19</w:t>
            </w:r>
            <w:r>
              <w:rPr>
                <w:rFonts w:hint="eastAsia" w:asciiTheme="minorEastAsia" w:hAnsiTheme="minorEastAsia" w:eastAsiaTheme="minorEastAsia"/>
                <w:kern w:val="0"/>
                <w:sz w:val="24"/>
              </w:rPr>
              <w:t>条</w:t>
            </w:r>
          </w:p>
        </w:tc>
        <w:tc>
          <w:tcPr>
            <w:tcW w:w="271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供暖、空调区域应根据房间的朝向及内部功能合理划分，并对系统进行分区控制。</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除功能相同、使用时间与运行方式、业态归属一致的房间，各房间应采取可独立调节分室控制的的供暖空调末端装置。</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对设置集中通风空调系统的公共建筑，在人员密度较高、流量集中且随时间变化较大的空间，单一空间设置独立的新风系统应设置CO2浓度检测装置， 并联动控制空调通风系统。</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设置CO2浓度检测装置的单一空间的独立新风系统及相应排风系统应采用变频调速技术，且应采取相应的水力平衡措施。</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6.3</w:t>
      </w:r>
      <w:r>
        <w:rPr>
          <w:rFonts w:hint="eastAsia" w:asciiTheme="minorEastAsia" w:hAnsiTheme="minorEastAsia" w:eastAsiaTheme="minorEastAsia"/>
          <w:sz w:val="24"/>
        </w:rPr>
        <w:t>排风热回收装置的设计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86"/>
        <w:gridCol w:w="3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48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8</w:t>
            </w:r>
            <w:r>
              <w:rPr>
                <w:rFonts w:hint="eastAsia" w:asciiTheme="minorEastAsia" w:hAnsiTheme="minorEastAsia" w:eastAsiaTheme="minorEastAsia"/>
                <w:kern w:val="0"/>
                <w:sz w:val="24"/>
              </w:rPr>
              <w:t>条</w:t>
            </w:r>
          </w:p>
        </w:tc>
        <w:tc>
          <w:tcPr>
            <w:tcW w:w="304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33/1036-2021</w:t>
            </w:r>
          </w:p>
        </w:tc>
        <w:tc>
          <w:tcPr>
            <w:tcW w:w="248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5.3.23条</w:t>
            </w:r>
          </w:p>
        </w:tc>
        <w:tc>
          <w:tcPr>
            <w:tcW w:w="3042"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在公共建筑中，设有集中排风的空调系统经技术经济比较合理时，宜设空气-空气能量回收装置。</w:t>
            </w:r>
            <w:r>
              <w:rPr>
                <w:rFonts w:asciiTheme="minorEastAsia" w:hAnsiTheme="minorEastAsia" w:eastAsiaTheme="minorEastAsia"/>
                <w:kern w:val="0"/>
                <w:sz w:val="24"/>
              </w:rPr>
              <w:t>热回收新风机组</w:t>
            </w:r>
            <w:r>
              <w:rPr>
                <w:rFonts w:hint="eastAsia" w:asciiTheme="minorEastAsia" w:hAnsiTheme="minorEastAsia" w:eastAsiaTheme="minorEastAsia"/>
                <w:kern w:val="0"/>
                <w:sz w:val="24"/>
              </w:rPr>
              <w:t>规定工况</w:t>
            </w:r>
            <w:r>
              <w:rPr>
                <w:rFonts w:asciiTheme="minorEastAsia" w:hAnsiTheme="minorEastAsia" w:eastAsiaTheme="minorEastAsia"/>
                <w:kern w:val="0"/>
                <w:sz w:val="24"/>
              </w:rPr>
              <w:t>热交换效率应满足浙江省</w:t>
            </w:r>
            <w:r>
              <w:rPr>
                <w:rFonts w:hint="eastAsia" w:asciiTheme="minorEastAsia" w:hAnsiTheme="minorEastAsia" w:eastAsiaTheme="minorEastAsia"/>
                <w:kern w:val="0"/>
                <w:sz w:val="24"/>
              </w:rPr>
              <w:t>《公共建筑</w:t>
            </w:r>
            <w:r>
              <w:rPr>
                <w:rFonts w:asciiTheme="minorEastAsia" w:hAnsiTheme="minorEastAsia" w:eastAsiaTheme="minorEastAsia"/>
                <w:kern w:val="0"/>
                <w:sz w:val="24"/>
              </w:rPr>
              <w:t>节能设计标准</w:t>
            </w:r>
            <w:r>
              <w:rPr>
                <w:rFonts w:hint="eastAsia" w:asciiTheme="minorEastAsia" w:hAnsiTheme="minorEastAsia" w:eastAsiaTheme="minorEastAsia"/>
                <w:kern w:val="0"/>
                <w:sz w:val="24"/>
              </w:rPr>
              <w:t>》</w:t>
            </w:r>
            <w:r>
              <w:rPr>
                <w:rFonts w:asciiTheme="minorEastAsia" w:hAnsiTheme="minorEastAsia" w:eastAsiaTheme="minorEastAsia"/>
                <w:kern w:val="0"/>
                <w:sz w:val="24"/>
              </w:rPr>
              <w:t>DB 33/1036-2021</w:t>
            </w:r>
            <w:r>
              <w:rPr>
                <w:rFonts w:hint="eastAsia" w:asciiTheme="minorEastAsia" w:hAnsiTheme="minorEastAsia" w:eastAsiaTheme="minorEastAsia"/>
                <w:kern w:val="0"/>
                <w:sz w:val="24"/>
              </w:rPr>
              <w:t>第5.3.23条</w:t>
            </w:r>
            <w:r>
              <w:rPr>
                <w:rFonts w:asciiTheme="minorEastAsia" w:hAnsiTheme="minorEastAsia" w:eastAsiaTheme="minorEastAsia"/>
                <w:kern w:val="0"/>
                <w:sz w:val="24"/>
              </w:rPr>
              <w:t>的规定。</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6.4</w:t>
      </w:r>
      <w:r>
        <w:rPr>
          <w:rFonts w:hint="eastAsia" w:asciiTheme="minorEastAsia" w:hAnsiTheme="minorEastAsia" w:eastAsiaTheme="minorEastAsia"/>
          <w:sz w:val="24"/>
        </w:rPr>
        <w:t>空气过滤与净化的设计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5.2.1条 第2款</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空调系统的新风和回风应设置净化设施或初效加中效过滤的方式。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此条要求空调新风和回风均设置过滤或净化设施，包括空调箱、风机盘管、VRF室内机所有空调末端。</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rPr>
        <w:t>6.5</w:t>
      </w:r>
      <w:r>
        <w:rPr>
          <w:rFonts w:hint="eastAsia" w:asciiTheme="minorEastAsia" w:hAnsiTheme="minorEastAsia" w:eastAsiaTheme="minorEastAsia"/>
          <w:sz w:val="24"/>
        </w:rPr>
        <w:t>新风取风口距离</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8.2.4条 第1款</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新风取风口距离室外吸烟区直线距离不应小于8m</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7空调输配系统设计；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552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33/1092-2021</w:t>
            </w:r>
          </w:p>
        </w:tc>
        <w:tc>
          <w:tcPr>
            <w:tcW w:w="552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本条根据浙江省《绿色建筑设计标准》DB 33/1092-2021中对风与水输配系统的要求填写。</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7.1风输配系统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513"/>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7.2.6条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8.1.5条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vAlign w:val="center"/>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风机能效应满足《通风机能效限定值及能效等级》GB 19761-2020中</w:t>
            </w:r>
            <w:r>
              <w:rPr>
                <w:rFonts w:asciiTheme="minorEastAsia" w:hAnsiTheme="minorEastAsia" w:eastAsiaTheme="minorEastAsia"/>
                <w:kern w:val="0"/>
                <w:sz w:val="24"/>
              </w:rPr>
              <w:t>2</w:t>
            </w:r>
            <w:r>
              <w:rPr>
                <w:rFonts w:hint="eastAsia" w:asciiTheme="minorEastAsia" w:hAnsiTheme="minorEastAsia" w:eastAsiaTheme="minorEastAsia"/>
                <w:kern w:val="0"/>
                <w:sz w:val="24"/>
              </w:rPr>
              <w:t>级能效要求；通风空调系统风机的单位风量耗功率应比现行国家标准《公共建筑节能设计标准》GB 50189的规定低20%。</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2/7.3</w:t>
      </w:r>
      <w:r>
        <w:rPr>
          <w:rFonts w:hint="eastAsia" w:asciiTheme="minorEastAsia" w:hAnsiTheme="minorEastAsia" w:eastAsiaTheme="minorEastAsia"/>
          <w:sz w:val="24"/>
        </w:rPr>
        <w:t>/7.4空调水输配系统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513"/>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w:t>
            </w:r>
            <w:r>
              <w:rPr>
                <w:rFonts w:asciiTheme="minorEastAsia" w:hAnsiTheme="minorEastAsia" w:eastAsiaTheme="minorEastAsia"/>
                <w:kern w:val="0"/>
                <w:sz w:val="24"/>
              </w:rPr>
              <w:t>1</w:t>
            </w:r>
            <w:r>
              <w:rPr>
                <w:rFonts w:hint="eastAsia" w:asciiTheme="minorEastAsia" w:hAnsiTheme="minorEastAsia" w:eastAsiaTheme="minorEastAsia"/>
                <w:kern w:val="0"/>
                <w:sz w:val="24"/>
              </w:rPr>
              <w:t>.</w:t>
            </w:r>
            <w:r>
              <w:rPr>
                <w:rFonts w:asciiTheme="minorEastAsia" w:hAnsiTheme="minorEastAsia" w:eastAsiaTheme="minorEastAsia"/>
                <w:kern w:val="0"/>
                <w:sz w:val="24"/>
              </w:rPr>
              <w:t>2</w:t>
            </w:r>
            <w:r>
              <w:rPr>
                <w:rFonts w:hint="eastAsia" w:asciiTheme="minorEastAsia" w:hAnsiTheme="minorEastAsia" w:eastAsiaTheme="minorEastAsia"/>
                <w:kern w:val="0"/>
                <w:sz w:val="24"/>
              </w:rPr>
              <w:t>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7.2.6条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8.1.5条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8.2.7条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8.2.8条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8.2.9条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8.2.10条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5</w:t>
            </w:r>
            <w:r>
              <w:rPr>
                <w:rFonts w:hint="eastAsia" w:asciiTheme="minorEastAsia" w:hAnsiTheme="minorEastAsia" w:eastAsiaTheme="minorEastAsia"/>
                <w:kern w:val="0"/>
                <w:sz w:val="24"/>
              </w:rPr>
              <w:t>条</w:t>
            </w:r>
          </w:p>
        </w:tc>
        <w:tc>
          <w:tcPr>
            <w:tcW w:w="301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根据浙江省《绿色建筑设计标准》DB 33/1092-2021中对水输配系统的要求填写；</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冷、热水水温和供回水温差要求一致且各区域管路压力损失相差不大的中小型工程，应采用变流量一级泵系统；当单台水泵功率大于30kW时，空调冷热水应采用冷热水机组和负荷侧均变流量的一级泵系统，且一级泵应采用变速变流量调节方式，冷热水一级泵变速变流量应确保设备的适应性、控制方案和运行管理可靠。</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冷、热水系统作用半径较大、设计水流阻力较高的大型工程，空调冷、热水宜采用变流量二级泵系统。当各环路的设计水温一致且设计水流阻力接近时，二级泵宜集中设置；当各环路的设计水流阻力相差较大或各系统水温或温差要求不同时，宜按区域或系统分别设置二级泵。二级泵应采用变速变流量调节方式。</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采用换热器加热或冷却的二次空调水系统的循环水泵应采用变速变流量调节方式。</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水泵能效满足《清水离心泵能效限定值及节能评价值》GB 19762-2007中节能评价值要求。</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集中供暖系统热水循环泵的耗电输热比、空调冷热水系统循环水泵的耗电输冷（热）比比现行国家标准《民用建筑供暖通风与空气调节设计规范》GB50736规定值低20%。</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电冷源综合制冷性能系数（SCOP）应符合现行国家标准《公共建筑节能设计标准》GB50189的规定。</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5</w:t>
      </w:r>
      <w:r>
        <w:rPr>
          <w:rFonts w:hint="eastAsia" w:asciiTheme="minorEastAsia" w:hAnsiTheme="minorEastAsia" w:eastAsiaTheme="minorEastAsia"/>
          <w:sz w:val="24"/>
        </w:rPr>
        <w:t>空调水处理方式</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350"/>
        <w:gridCol w:w="3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35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5.2.3条</w:t>
            </w:r>
          </w:p>
        </w:tc>
        <w:tc>
          <w:tcPr>
            <w:tcW w:w="317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 33/1092-2021</w:t>
            </w:r>
          </w:p>
        </w:tc>
        <w:tc>
          <w:tcPr>
            <w:tcW w:w="235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317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采暖空调系统用水的水质满足国家现行相关标准的要求。</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8保温与</w:t>
      </w:r>
      <w:r>
        <w:rPr>
          <w:rFonts w:asciiTheme="minorEastAsia" w:hAnsiTheme="minorEastAsia" w:eastAsiaTheme="minorEastAsia"/>
          <w:sz w:val="24"/>
        </w:rPr>
        <w:t>隔热</w:t>
      </w:r>
      <w:r>
        <w:rPr>
          <w:rFonts w:hint="eastAsia" w:asciiTheme="minorEastAsia" w:hAnsiTheme="minorEastAsia" w:eastAsiaTheme="minorEastAsia"/>
          <w:sz w:val="24"/>
        </w:rPr>
        <w:t>设计</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50</w:t>
            </w:r>
            <w:r>
              <w:rPr>
                <w:rFonts w:asciiTheme="minorEastAsia" w:hAnsiTheme="minorEastAsia" w:eastAsiaTheme="minorEastAsia"/>
                <w:kern w:val="0"/>
                <w:sz w:val="24"/>
              </w:rPr>
              <w:t>189</w:t>
            </w:r>
            <w:r>
              <w:rPr>
                <w:rFonts w:hint="eastAsia" w:asciiTheme="minorEastAsia" w:hAnsiTheme="minorEastAsia" w:eastAsiaTheme="minorEastAsia"/>
                <w:kern w:val="0"/>
                <w:sz w:val="24"/>
              </w:rPr>
              <w:t>-201</w:t>
            </w:r>
            <w:r>
              <w:rPr>
                <w:rFonts w:asciiTheme="minorEastAsia" w:hAnsiTheme="minorEastAsia" w:eastAsiaTheme="minorEastAsia"/>
                <w:kern w:val="0"/>
                <w:sz w:val="24"/>
              </w:rPr>
              <w:t>5</w:t>
            </w:r>
          </w:p>
        </w:tc>
        <w:tc>
          <w:tcPr>
            <w:tcW w:w="5528"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4</w:t>
            </w:r>
            <w:r>
              <w:rPr>
                <w:rFonts w:hint="eastAsia" w:asciiTheme="minorEastAsia" w:hAnsiTheme="minorEastAsia" w:eastAsiaTheme="minorEastAsia"/>
                <w:kern w:val="0"/>
                <w:sz w:val="24"/>
              </w:rPr>
              <w:t>.</w:t>
            </w:r>
            <w:r>
              <w:rPr>
                <w:rFonts w:asciiTheme="minorEastAsia" w:hAnsiTheme="minorEastAsia" w:eastAsiaTheme="minorEastAsia"/>
                <w:kern w:val="0"/>
                <w:sz w:val="24"/>
              </w:rPr>
              <w:t>3</w:t>
            </w:r>
            <w:r>
              <w:rPr>
                <w:rFonts w:hint="eastAsia" w:asciiTheme="minorEastAsia" w:hAnsiTheme="minorEastAsia" w:eastAsiaTheme="minorEastAsia"/>
                <w:kern w:val="0"/>
                <w:sz w:val="24"/>
              </w:rPr>
              <w:t>.</w:t>
            </w:r>
            <w:r>
              <w:rPr>
                <w:rFonts w:asciiTheme="minorEastAsia" w:hAnsiTheme="minorEastAsia" w:eastAsiaTheme="minorEastAsia"/>
                <w:kern w:val="0"/>
                <w:sz w:val="24"/>
              </w:rPr>
              <w:t>23</w:t>
            </w:r>
            <w:r>
              <w:rPr>
                <w:rFonts w:hint="eastAsia" w:asciiTheme="minorEastAsia" w:hAnsiTheme="minorEastAsia" w:eastAsiaTheme="minorEastAsia"/>
                <w:kern w:val="0"/>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设备</w:t>
            </w:r>
            <w:r>
              <w:rPr>
                <w:rFonts w:asciiTheme="minorEastAsia" w:hAnsiTheme="minorEastAsia" w:eastAsiaTheme="minorEastAsia"/>
                <w:kern w:val="0"/>
                <w:sz w:val="24"/>
              </w:rPr>
              <w:t>和管道的保温与隔热设计应满足</w:t>
            </w:r>
            <w:r>
              <w:rPr>
                <w:rFonts w:hint="eastAsia" w:asciiTheme="minorEastAsia" w:hAnsiTheme="minorEastAsia" w:eastAsiaTheme="minorEastAsia"/>
                <w:kern w:val="0"/>
                <w:sz w:val="24"/>
              </w:rPr>
              <w:t>国家标准《公共建筑</w:t>
            </w:r>
            <w:r>
              <w:rPr>
                <w:rFonts w:asciiTheme="minorEastAsia" w:hAnsiTheme="minorEastAsia" w:eastAsiaTheme="minorEastAsia"/>
                <w:kern w:val="0"/>
                <w:sz w:val="24"/>
              </w:rPr>
              <w:t>节能设计标准</w:t>
            </w:r>
            <w:r>
              <w:rPr>
                <w:rFonts w:hint="eastAsia" w:asciiTheme="minorEastAsia" w:hAnsiTheme="minorEastAsia" w:eastAsiaTheme="minorEastAsia"/>
                <w:kern w:val="0"/>
                <w:sz w:val="24"/>
              </w:rPr>
              <w:t>》</w:t>
            </w:r>
            <w:r>
              <w:rPr>
                <w:rFonts w:asciiTheme="minorEastAsia" w:hAnsiTheme="minorEastAsia" w:eastAsiaTheme="minorEastAsia"/>
                <w:kern w:val="0"/>
                <w:sz w:val="24"/>
              </w:rPr>
              <w:t>GB 50189-2015的</w:t>
            </w:r>
            <w:r>
              <w:rPr>
                <w:rFonts w:hint="eastAsia" w:asciiTheme="minorEastAsia" w:hAnsiTheme="minorEastAsia" w:eastAsiaTheme="minorEastAsia"/>
                <w:kern w:val="0"/>
                <w:sz w:val="24"/>
              </w:rPr>
              <w:t>规定</w:t>
            </w:r>
            <w:r>
              <w:rPr>
                <w:rFonts w:asciiTheme="minorEastAsia" w:hAnsiTheme="minorEastAsia" w:eastAsiaTheme="minorEastAsia"/>
                <w:kern w:val="0"/>
                <w:sz w:val="24"/>
              </w:rPr>
              <w:t>。</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9空调系统的控制</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552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33/1092-2021</w:t>
            </w:r>
          </w:p>
        </w:tc>
        <w:tc>
          <w:tcPr>
            <w:tcW w:w="552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本条根据浙江省《绿色建筑设计标准》DB 33/1092-2021中对空调控制的要求填写。</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1</w:t>
      </w:r>
      <w:r>
        <w:rPr>
          <w:rFonts w:hint="eastAsia" w:asciiTheme="minorEastAsia" w:hAnsiTheme="minorEastAsia" w:eastAsiaTheme="minorEastAsia"/>
          <w:sz w:val="24"/>
        </w:rPr>
        <w:t>空调冷热源中心设置机组群控系统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 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21</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22</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24</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w:t>
            </w:r>
            <w:r>
              <w:rPr>
                <w:rFonts w:asciiTheme="minorEastAsia" w:hAnsiTheme="minorEastAsia" w:eastAsiaTheme="minorEastAsia"/>
                <w:kern w:val="0"/>
                <w:sz w:val="24"/>
              </w:rPr>
              <w:t>3</w:t>
            </w:r>
            <w:r>
              <w:rPr>
                <w:rFonts w:hint="eastAsia" w:asciiTheme="minorEastAsia" w:hAnsiTheme="minorEastAsia" w:eastAsiaTheme="minorEastAsia"/>
                <w:kern w:val="0"/>
                <w:sz w:val="24"/>
              </w:rPr>
              <w:t>.</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w:t>
            </w:r>
            <w:r>
              <w:rPr>
                <w:rFonts w:asciiTheme="minorEastAsia" w:hAnsiTheme="minorEastAsia" w:eastAsiaTheme="minorEastAsia"/>
                <w:kern w:val="0"/>
                <w:sz w:val="24"/>
              </w:rPr>
              <w:t>3</w:t>
            </w:r>
            <w:r>
              <w:rPr>
                <w:rFonts w:hint="eastAsia" w:asciiTheme="minorEastAsia" w:hAnsiTheme="minorEastAsia" w:eastAsiaTheme="minorEastAsia"/>
                <w:kern w:val="0"/>
                <w:sz w:val="24"/>
              </w:rPr>
              <w:t>.</w:t>
            </w:r>
            <w:r>
              <w:rPr>
                <w:rFonts w:asciiTheme="minorEastAsia" w:hAnsiTheme="minorEastAsia" w:eastAsiaTheme="minorEastAsia"/>
                <w:kern w:val="0"/>
                <w:sz w:val="24"/>
              </w:rPr>
              <w:t>8</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设有三台及三台以上机组的空调冷热源中心宜设置机组群控系统；当采用群控方式时，控制系统应能根据负荷变化、系统特性来进行优化运行控制。</w:t>
            </w:r>
          </w:p>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空调冷、热源系统的控制应满足下列基本要求：</w:t>
            </w:r>
          </w:p>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1 应能进行冷水机组的台数控制，宜采用冷量优化控制方式；</w:t>
            </w:r>
          </w:p>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2 应能进行冷水（热泵）机组或热交换器、水泵、阀门等设备的顺序启停和连锁控制；</w:t>
            </w:r>
          </w:p>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3 应能对供、回水温度及压差进行控制或监测，二级泵应能进行自动变频调速控制；</w:t>
            </w:r>
          </w:p>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4 应对设备运行状态进行监测及故障报警；</w:t>
            </w:r>
          </w:p>
          <w:p>
            <w:pPr>
              <w:spacing w:line="400" w:lineRule="exact"/>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应能根据末端需求进行水泵台数和转速的控制。</w:t>
            </w:r>
          </w:p>
          <w:p>
            <w:pPr>
              <w:spacing w:line="400" w:lineRule="exact"/>
              <w:outlineLvl w:val="3"/>
              <w:rPr>
                <w:kern w:val="0"/>
                <w:sz w:val="24"/>
              </w:rPr>
            </w:pPr>
            <w:r>
              <w:rPr>
                <w:kern w:val="0"/>
                <w:sz w:val="24"/>
              </w:rPr>
              <w:t>空调风系统应满足下列基本控制要求：</w:t>
            </w:r>
          </w:p>
          <w:p>
            <w:pPr>
              <w:spacing w:line="400" w:lineRule="exact"/>
              <w:outlineLvl w:val="3"/>
              <w:rPr>
                <w:kern w:val="0"/>
                <w:sz w:val="24"/>
              </w:rPr>
            </w:pPr>
            <w:r>
              <w:rPr>
                <w:rFonts w:hint="eastAsia"/>
                <w:kern w:val="0"/>
                <w:sz w:val="24"/>
              </w:rPr>
              <w:t>1 应能进行空气温、湿度的监测和控制；</w:t>
            </w:r>
          </w:p>
          <w:p>
            <w:pPr>
              <w:spacing w:line="400" w:lineRule="exact"/>
              <w:outlineLvl w:val="3"/>
              <w:rPr>
                <w:kern w:val="0"/>
                <w:sz w:val="24"/>
              </w:rPr>
            </w:pPr>
            <w:r>
              <w:rPr>
                <w:rFonts w:hint="eastAsia"/>
                <w:kern w:val="0"/>
                <w:sz w:val="24"/>
              </w:rPr>
              <w:t>2 应能进行风机、风阀的启停连锁控制；</w:t>
            </w:r>
          </w:p>
          <w:p>
            <w:pPr>
              <w:spacing w:line="400" w:lineRule="exact"/>
              <w:outlineLvl w:val="3"/>
              <w:rPr>
                <w:kern w:val="0"/>
                <w:sz w:val="24"/>
              </w:rPr>
            </w:pPr>
            <w:r>
              <w:rPr>
                <w:rFonts w:hint="eastAsia"/>
                <w:kern w:val="0"/>
                <w:sz w:val="24"/>
              </w:rPr>
              <w:t>3 当采用变风量系统时，风机应采用变速控制方式；</w:t>
            </w:r>
          </w:p>
          <w:p>
            <w:pPr>
              <w:spacing w:line="400" w:lineRule="exact"/>
              <w:outlineLvl w:val="3"/>
              <w:rPr>
                <w:kern w:val="0"/>
                <w:sz w:val="24"/>
              </w:rPr>
            </w:pPr>
            <w:r>
              <w:rPr>
                <w:rFonts w:hint="eastAsia"/>
                <w:kern w:val="0"/>
                <w:sz w:val="24"/>
              </w:rPr>
              <w:t>4 当利用室外免费冷源来进行变新风运行时，应通过室内外焓值比较，来确定采用全新风运行或者最小新风运行；</w:t>
            </w:r>
          </w:p>
          <w:p>
            <w:pPr>
              <w:spacing w:line="400" w:lineRule="exact"/>
              <w:outlineLvl w:val="3"/>
              <w:rPr>
                <w:kern w:val="0"/>
                <w:sz w:val="24"/>
              </w:rPr>
            </w:pPr>
            <w:r>
              <w:rPr>
                <w:rFonts w:hint="eastAsia"/>
                <w:kern w:val="0"/>
                <w:sz w:val="24"/>
              </w:rPr>
              <w:t>5 应能进行设备运行状态的监测及故障报警；</w:t>
            </w:r>
          </w:p>
          <w:p>
            <w:pPr>
              <w:spacing w:line="400" w:lineRule="exact"/>
              <w:outlineLvl w:val="3"/>
              <w:rPr>
                <w:kern w:val="0"/>
                <w:sz w:val="24"/>
              </w:rPr>
            </w:pPr>
            <w:r>
              <w:rPr>
                <w:rFonts w:hint="eastAsia"/>
                <w:kern w:val="0"/>
                <w:sz w:val="24"/>
              </w:rPr>
              <w:t>6 应能进行过滤器超压报警或显示。</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2</w:t>
      </w:r>
      <w:r>
        <w:rPr>
          <w:rFonts w:hint="eastAsia" w:asciiTheme="minorEastAsia" w:hAnsiTheme="minorEastAsia" w:eastAsiaTheme="minorEastAsia"/>
          <w:sz w:val="24"/>
        </w:rPr>
        <w:t>多联式空调（热泵）集中</w:t>
      </w:r>
      <w:r>
        <w:rPr>
          <w:rFonts w:asciiTheme="minorEastAsia" w:hAnsiTheme="minorEastAsia" w:eastAsiaTheme="minorEastAsia"/>
          <w:sz w:val="24"/>
        </w:rPr>
        <w:t>控制</w:t>
      </w:r>
      <w:r>
        <w:rPr>
          <w:rFonts w:hint="eastAsia" w:asciiTheme="minorEastAsia" w:hAnsiTheme="minorEastAsia" w:eastAsiaTheme="minorEastAsia"/>
          <w:sz w:val="24"/>
        </w:rPr>
        <w:t>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 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w:t>
            </w:r>
            <w:r>
              <w:rPr>
                <w:rFonts w:asciiTheme="minorEastAsia" w:hAnsiTheme="minorEastAsia" w:eastAsiaTheme="minorEastAsia"/>
                <w:kern w:val="0"/>
                <w:sz w:val="24"/>
              </w:rPr>
              <w:t>4</w:t>
            </w:r>
            <w:r>
              <w:rPr>
                <w:rFonts w:hint="eastAsia" w:asciiTheme="minorEastAsia" w:hAnsiTheme="minorEastAsia" w:eastAsiaTheme="minorEastAsia"/>
                <w:kern w:val="0"/>
                <w:sz w:val="24"/>
              </w:rPr>
              <w:t>.</w:t>
            </w:r>
            <w:r>
              <w:rPr>
                <w:rFonts w:asciiTheme="minorEastAsia" w:hAnsiTheme="minorEastAsia" w:eastAsiaTheme="minorEastAsia"/>
                <w:kern w:val="0"/>
                <w:sz w:val="24"/>
              </w:rPr>
              <w:t>11</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公共建筑中多联式空调（热泵）系统应设置集中控制系统。</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3</w:t>
      </w:r>
      <w:r>
        <w:rPr>
          <w:rFonts w:hint="eastAsia" w:asciiTheme="minorEastAsia" w:hAnsiTheme="minorEastAsia" w:eastAsiaTheme="minorEastAsia"/>
          <w:sz w:val="24"/>
        </w:rPr>
        <w:t>能量计量要求</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242"/>
        <w:gridCol w:w="3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24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7.1.5条</w:t>
            </w:r>
          </w:p>
        </w:tc>
        <w:tc>
          <w:tcPr>
            <w:tcW w:w="328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锅炉房、换热机房和制冷机房的能量计量应符合下列规定：应计量燃料的消耗量；应计量制冷机的耗电量；应计量集中供热系统的供热量；应计量补水量</w:t>
            </w:r>
            <w:r>
              <w:rPr>
                <w:rFonts w:asciiTheme="minorEastAsia" w:hAnsiTheme="minorEastAsia" w:eastAsiaTheme="minorEastAsia"/>
                <w:kern w:val="0"/>
                <w:sz w:val="24"/>
              </w:rPr>
              <w:t>。</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4</w:t>
      </w:r>
      <w:r>
        <w:rPr>
          <w:rFonts w:hint="eastAsia" w:asciiTheme="minorEastAsia" w:hAnsiTheme="minorEastAsia" w:eastAsiaTheme="minorEastAsia"/>
          <w:sz w:val="24"/>
        </w:rPr>
        <w:t>地下车库CO浓度监测系统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45"/>
        <w:gridCol w:w="3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4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5.1.9条</w:t>
            </w:r>
          </w:p>
        </w:tc>
        <w:tc>
          <w:tcPr>
            <w:tcW w:w="308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44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w:t>
            </w:r>
            <w:r>
              <w:rPr>
                <w:rFonts w:asciiTheme="minorEastAsia" w:hAnsiTheme="minorEastAsia" w:eastAsiaTheme="minorEastAsia"/>
                <w:kern w:val="0"/>
                <w:sz w:val="24"/>
              </w:rPr>
              <w:t>9</w:t>
            </w:r>
            <w:r>
              <w:rPr>
                <w:rFonts w:hint="eastAsia" w:asciiTheme="minorEastAsia" w:hAnsiTheme="minorEastAsia" w:eastAsiaTheme="minorEastAsia"/>
                <w:kern w:val="0"/>
                <w:sz w:val="24"/>
              </w:rPr>
              <w:t>条</w:t>
            </w:r>
          </w:p>
        </w:tc>
        <w:tc>
          <w:tcPr>
            <w:tcW w:w="308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地下车库应设置与排风设备联动的一氧化碳浓度监测装置。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CO浓度监控系统监测点宜每个防烟分区设置一个及以上，敷设于车库行车通道两侧的结构柱上并远离车库出入口，监测点距离车库地面完成面1.5m。当CO短时间接触浓度（15分钟的时间加权平均浓度）大于20mg/m</w:t>
            </w:r>
            <w:r>
              <w:rPr>
                <w:rFonts w:hint="eastAsia" w:asciiTheme="minorEastAsia" w:hAnsiTheme="minorEastAsia" w:eastAsiaTheme="minorEastAsia"/>
                <w:kern w:val="0"/>
                <w:sz w:val="24"/>
                <w:vertAlign w:val="superscript"/>
              </w:rPr>
              <w:t>3</w:t>
            </w:r>
            <w:r>
              <w:rPr>
                <w:rFonts w:hint="eastAsia" w:asciiTheme="minorEastAsia" w:hAnsiTheme="minorEastAsia" w:eastAsiaTheme="minorEastAsia"/>
                <w:kern w:val="0"/>
                <w:sz w:val="24"/>
              </w:rPr>
              <w:t>时启动该防烟分区排风机及其联动的进风机运行。</w:t>
            </w:r>
          </w:p>
        </w:tc>
      </w:tr>
    </w:tbl>
    <w:p>
      <w:pPr>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5</w:t>
      </w:r>
      <w:r>
        <w:rPr>
          <w:rFonts w:hint="eastAsia" w:asciiTheme="minorEastAsia" w:hAnsiTheme="minorEastAsia" w:eastAsiaTheme="minorEastAsia"/>
          <w:sz w:val="24"/>
        </w:rPr>
        <w:t>室内空气质量监测系统</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364"/>
        <w:gridCol w:w="3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6.2.7条</w:t>
            </w:r>
          </w:p>
        </w:tc>
        <w:tc>
          <w:tcPr>
            <w:tcW w:w="31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8.3.9条</w:t>
            </w:r>
          </w:p>
        </w:tc>
        <w:tc>
          <w:tcPr>
            <w:tcW w:w="31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对于人员停留的主要功能房间，应设置包含 CO2、PM2.5及PM10的测量功能的室内空气质量监测系统，并具备定时连续测量、显示、记录和数据传输功能，监测系统对污染物的采样周期不应大于10min。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8080"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主要功能房间是指设置热环境调节装置的房间。</w:t>
            </w:r>
          </w:p>
        </w:tc>
      </w:tr>
      <w:bookmarkEnd w:id="40"/>
    </w:tbl>
    <w:p>
      <w:pPr>
        <w:spacing w:line="360" w:lineRule="auto"/>
        <w:ind w:firstLine="562"/>
        <w:jc w:val="center"/>
        <w:rPr>
          <w:rFonts w:asciiTheme="minorEastAsia" w:hAnsiTheme="minorEastAsia" w:eastAsiaTheme="minorEastAsia"/>
          <w:b/>
          <w:sz w:val="24"/>
        </w:rPr>
      </w:pPr>
      <w:r>
        <w:rPr>
          <w:rFonts w:asciiTheme="minorEastAsia" w:hAnsiTheme="minorEastAsia" w:eastAsiaTheme="minorEastAsia"/>
          <w:b/>
          <w:sz w:val="24"/>
        </w:rPr>
        <w:br w:type="page"/>
      </w:r>
    </w:p>
    <w:p>
      <w:pPr>
        <w:pStyle w:val="4"/>
        <w:jc w:val="center"/>
      </w:pPr>
      <w:bookmarkStart w:id="41" w:name="_Toc109325939"/>
      <w:bookmarkStart w:id="42" w:name="_Toc113028989"/>
      <w:bookmarkStart w:id="43" w:name="_Hlk93503767"/>
      <w:r>
        <w:t>3</w:t>
      </w:r>
      <w:r>
        <w:rPr>
          <w:rFonts w:hint="eastAsia"/>
        </w:rPr>
        <w:t>.</w:t>
      </w:r>
      <w:r>
        <w:t>6</w:t>
      </w:r>
      <w:r>
        <w:rPr>
          <w:rFonts w:hint="eastAsia"/>
        </w:rPr>
        <w:t xml:space="preserve"> 电气及智能化专业填写说明</w:t>
      </w:r>
      <w:bookmarkEnd w:id="41"/>
      <w:bookmarkEnd w:id="42"/>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一、电气及智能化主要设计依据: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此项应包括项目进行建筑绿色与节能设计时所遵循的主要设计依据。包括法律法规、政策文件及现行国家与地方的标准、规范；还包括项目已取得的节能审查意见书及其附件：节能评估报告书（表）和专家评审意见。</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2、设计人员应按项目选用的相关技术与措施，增补有关标准、规范依据。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3、设计人员应根据项目所在地特性，增加相应的相关政府性文件为依据。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二、电气</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为方便设计人员更准确理解专篇的填写目的与要求，本说明对专篇中列入的每项条款均以表格形式进行了说明。填写说明主要包含三部分内容，分别为：条文来源、依据材料、备注。</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“条文来源”主要注明条款的出处、依据：</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浙江省《绿色建筑设计标准》 DB 33/1092-2021（以下简称“DB 33/1092-2021”）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浙江省《公共建筑节能设计标准》 DB 33/1036-2021（以下简称“DB 33/1036-2021”）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国家标准《绿色建筑评价标准》GB/T 50378-2019（以下简称“GB/T 50378-2019”）</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国家标准《建筑节能与可再生能源利用通用规范》GB 55015-2021（以下简称“GB 55015-2021”）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国家标准《建筑环境通用规范》GB 55016-2021（以下简称“GB 55016-2021”）。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“依据材料”是明确设计人员填写各条款时，所依据的相应基础资料、设计文件等相关内容。</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“备注”是对条款填写中需要注意与重点核查的内容进行详细说明，或对相关条文进行解释和补充。</w:t>
      </w:r>
    </w:p>
    <w:p>
      <w:pPr>
        <w:pStyle w:val="17"/>
        <w:spacing w:line="360" w:lineRule="auto"/>
        <w:ind w:firstLine="420"/>
        <w:rPr>
          <w:rFonts w:asciiTheme="minorEastAsia" w:hAnsiTheme="minorEastAsia" w:eastAsiaTheme="minorEastAsia"/>
          <w:sz w:val="24"/>
        </w:rPr>
      </w:pPr>
    </w:p>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◇条款说明</w:t>
      </w:r>
    </w:p>
    <w:p>
      <w:pPr>
        <w:spacing w:line="360" w:lineRule="auto"/>
        <w:ind w:firstLine="482"/>
        <w:jc w:val="center"/>
        <w:rPr>
          <w:rFonts w:asciiTheme="minorEastAsia" w:hAnsiTheme="minorEastAsia" w:eastAsiaTheme="minorEastAsia"/>
          <w:b/>
          <w:sz w:val="24"/>
        </w:rPr>
      </w:pPr>
      <w:r>
        <w:rPr>
          <w:rFonts w:hint="eastAsia" w:asciiTheme="minorEastAsia" w:hAnsiTheme="minorEastAsia" w:eastAsiaTheme="minorEastAsia"/>
          <w:b/>
          <w:sz w:val="24"/>
        </w:rPr>
        <w:t>1 电气设计绿色技术措施</w:t>
      </w:r>
    </w:p>
    <w:p>
      <w:pPr>
        <w:spacing w:line="360" w:lineRule="auto"/>
        <w:ind w:firstLine="482"/>
        <w:jc w:val="center"/>
        <w:rPr>
          <w:rFonts w:asciiTheme="minorEastAsia" w:hAnsiTheme="minorEastAsia" w:eastAsiaTheme="minorEastAsia"/>
          <w:b/>
          <w:sz w:val="24"/>
        </w:rPr>
      </w:pPr>
    </w:p>
    <w:p>
      <w:pPr>
        <w:pStyle w:val="17"/>
        <w:spacing w:line="360" w:lineRule="auto"/>
        <w:ind w:firstLine="482"/>
        <w:rPr>
          <w:rFonts w:asciiTheme="minorEastAsia" w:hAnsiTheme="minorEastAsia" w:eastAsiaTheme="minorEastAsia" w:cstheme="minorBidi"/>
          <w:sz w:val="24"/>
        </w:rPr>
      </w:pPr>
      <w:r>
        <w:rPr>
          <w:rFonts w:hint="eastAsia" w:asciiTheme="minorEastAsia" w:hAnsiTheme="minorEastAsia" w:eastAsiaTheme="minorEastAsia"/>
          <w:b/>
          <w:sz w:val="24"/>
        </w:rPr>
        <w:t>控制项内容：</w:t>
      </w:r>
      <w:r>
        <w:rPr>
          <w:rFonts w:hint="eastAsia" w:asciiTheme="minorEastAsia" w:hAnsiTheme="minorEastAsia" w:eastAsiaTheme="minorEastAsia" w:cstheme="minorBidi"/>
          <w:sz w:val="24"/>
        </w:rPr>
        <w:t>本栏各条均为DB 33/1092-2021的一般规定，是绿色建筑设计的强制性控制内容，必须逐条满足。在项目实际设计中，若未涉及某一条内容，则不必列写该条。</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1、负荷计算采用</w:t>
      </w:r>
      <w:r>
        <w:rPr>
          <w:rFonts w:hint="eastAsia" w:asciiTheme="minorEastAsia" w:hAnsiTheme="minorEastAsia" w:eastAsiaTheme="minorEastAsia"/>
          <w:sz w:val="24"/>
          <w:u w:val="single"/>
          <w:lang w:val="en-GB"/>
        </w:rPr>
        <w:t xml:space="preserve">       </w:t>
      </w:r>
      <w:r>
        <w:rPr>
          <w:rFonts w:hint="eastAsia" w:asciiTheme="minorEastAsia" w:hAnsiTheme="minorEastAsia" w:eastAsiaTheme="minorEastAsia"/>
          <w:sz w:val="24"/>
          <w:lang w:val="en-GB"/>
        </w:rPr>
        <w:t>法；负荷的总计算容量为</w:t>
      </w:r>
      <w:r>
        <w:rPr>
          <w:rFonts w:asciiTheme="minorEastAsia" w:hAnsiTheme="minorEastAsia" w:eastAsiaTheme="minorEastAsia"/>
          <w:sz w:val="24"/>
          <w:u w:val="single"/>
          <w:lang w:val="en-GB"/>
        </w:rPr>
        <w:t xml:space="preserve">        </w:t>
      </w:r>
      <w:r>
        <w:rPr>
          <w:rFonts w:asciiTheme="minorEastAsia" w:hAnsiTheme="minorEastAsia" w:eastAsiaTheme="minorEastAsia"/>
          <w:sz w:val="24"/>
          <w:lang w:val="en-GB"/>
        </w:rPr>
        <w:t>kW；</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供电电压等级：</w:t>
      </w:r>
      <w:r>
        <w:rPr>
          <w:rFonts w:hint="eastAsia" w:asciiTheme="minorEastAsia" w:hAnsiTheme="minorEastAsia" w:eastAsiaTheme="minorEastAsia"/>
          <w:sz w:val="24"/>
          <w:u w:val="single"/>
          <w:lang w:val="en-GB"/>
        </w:rPr>
        <w:t xml:space="preserve">   </w:t>
      </w:r>
      <w:r>
        <w:rPr>
          <w:rFonts w:asciiTheme="minorEastAsia" w:hAnsiTheme="minorEastAsia" w:eastAsiaTheme="minorEastAsia"/>
          <w:sz w:val="24"/>
          <w:lang w:val="en-GB"/>
        </w:rPr>
        <w:t xml:space="preserve">kV </w:t>
      </w:r>
      <w:r>
        <w:rPr>
          <w:rFonts w:hint="eastAsia" w:asciiTheme="minorEastAsia" w:hAnsiTheme="minorEastAsia" w:eastAsiaTheme="minorEastAsia"/>
          <w:sz w:val="24"/>
          <w:lang w:val="en-GB"/>
        </w:rPr>
        <w:t>，变压器容量共</w:t>
      </w:r>
      <w:r>
        <w:rPr>
          <w:rFonts w:hint="eastAsia" w:asciiTheme="minorEastAsia" w:hAnsiTheme="minorEastAsia" w:eastAsiaTheme="minorEastAsia"/>
          <w:sz w:val="24"/>
          <w:u w:val="single"/>
          <w:lang w:val="en-GB"/>
        </w:rPr>
        <w:t xml:space="preserve">   </w:t>
      </w:r>
      <w:r>
        <w:rPr>
          <w:rFonts w:asciiTheme="minorEastAsia" w:hAnsiTheme="minorEastAsia" w:eastAsiaTheme="minorEastAsia"/>
          <w:sz w:val="24"/>
          <w:u w:val="single"/>
          <w:lang w:val="en-GB"/>
        </w:rPr>
        <w:t xml:space="preserve"> </w:t>
      </w:r>
      <w:r>
        <w:rPr>
          <w:rFonts w:asciiTheme="minorEastAsia" w:hAnsiTheme="minorEastAsia" w:eastAsiaTheme="minorEastAsia"/>
          <w:sz w:val="24"/>
          <w:lang w:val="en-GB"/>
        </w:rPr>
        <w:t>kVA</w:t>
      </w:r>
      <w:r>
        <w:rPr>
          <w:rFonts w:hint="eastAsia" w:asciiTheme="minorEastAsia" w:hAnsiTheme="minorEastAsia" w:eastAsiaTheme="minorEastAsia"/>
          <w:sz w:val="24"/>
          <w:lang w:val="en-GB"/>
        </w:rPr>
        <w:t>；变配电所靠近负荷中心，供配电线路的敷设路径设计合理。</w:t>
      </w:r>
    </w:p>
    <w:tbl>
      <w:tblPr>
        <w:tblStyle w:val="44"/>
        <w:tblW w:w="9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3375"/>
        <w:gridCol w:w="2551"/>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969" w:type="dxa"/>
            <w:vMerge w:val="restart"/>
            <w:shd w:val="clear" w:color="auto" w:fill="auto"/>
            <w:vAlign w:val="center"/>
          </w:tcPr>
          <w:p>
            <w:pPr>
              <w:pStyle w:val="84"/>
              <w:spacing w:line="360" w:lineRule="auto"/>
              <w:rPr>
                <w:sz w:val="24"/>
              </w:rPr>
            </w:pPr>
            <w:r>
              <w:rPr>
                <w:rFonts w:hint="eastAsia"/>
                <w:sz w:val="24"/>
              </w:rPr>
              <w:t>条文来源</w:t>
            </w:r>
          </w:p>
        </w:tc>
        <w:tc>
          <w:tcPr>
            <w:tcW w:w="3375" w:type="dxa"/>
            <w:shd w:val="clear" w:color="auto" w:fill="auto"/>
            <w:vAlign w:val="center"/>
          </w:tcPr>
          <w:p>
            <w:pPr>
              <w:pStyle w:val="84"/>
              <w:spacing w:line="360" w:lineRule="auto"/>
              <w:rPr>
                <w:sz w:val="24"/>
              </w:rPr>
            </w:pPr>
            <w:r>
              <w:rPr>
                <w:rFonts w:hint="eastAsia"/>
                <w:sz w:val="24"/>
              </w:rPr>
              <w:t>《建筑工程设计文件编制深度规定》（2016版）</w:t>
            </w:r>
          </w:p>
        </w:tc>
        <w:tc>
          <w:tcPr>
            <w:tcW w:w="2551" w:type="dxa"/>
            <w:shd w:val="clear" w:color="auto" w:fill="auto"/>
          </w:tcPr>
          <w:p>
            <w:pPr>
              <w:pStyle w:val="84"/>
              <w:spacing w:line="360" w:lineRule="auto"/>
              <w:rPr>
                <w:sz w:val="24"/>
              </w:rPr>
            </w:pPr>
            <w:r>
              <w:rPr>
                <w:rFonts w:hint="eastAsia"/>
                <w:sz w:val="24"/>
              </w:rPr>
              <w:t>3.6.5条、4.5.13条</w:t>
            </w:r>
          </w:p>
        </w:tc>
        <w:tc>
          <w:tcPr>
            <w:tcW w:w="2552" w:type="dxa"/>
            <w:shd w:val="clear" w:color="auto" w:fill="auto"/>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Merge w:val="continue"/>
            <w:shd w:val="clear" w:color="auto" w:fill="auto"/>
            <w:vAlign w:val="center"/>
          </w:tcPr>
          <w:p>
            <w:pPr>
              <w:pStyle w:val="84"/>
              <w:spacing w:line="360" w:lineRule="auto"/>
              <w:rPr>
                <w:sz w:val="24"/>
              </w:rPr>
            </w:pPr>
          </w:p>
        </w:tc>
        <w:tc>
          <w:tcPr>
            <w:tcW w:w="3375" w:type="dxa"/>
            <w:shd w:val="clear" w:color="auto" w:fill="auto"/>
            <w:vAlign w:val="center"/>
          </w:tcPr>
          <w:p>
            <w:pPr>
              <w:pStyle w:val="84"/>
              <w:spacing w:line="360" w:lineRule="auto"/>
              <w:rPr>
                <w:sz w:val="24"/>
              </w:rPr>
            </w:pPr>
            <w:r>
              <w:rPr>
                <w:rFonts w:hint="eastAsia"/>
                <w:sz w:val="24"/>
              </w:rPr>
              <w:t>DB33/1092-2021</w:t>
            </w:r>
          </w:p>
        </w:tc>
        <w:tc>
          <w:tcPr>
            <w:tcW w:w="2551" w:type="dxa"/>
            <w:shd w:val="clear" w:color="auto" w:fill="auto"/>
          </w:tcPr>
          <w:p>
            <w:pPr>
              <w:pStyle w:val="84"/>
              <w:spacing w:line="360" w:lineRule="auto"/>
              <w:rPr>
                <w:sz w:val="24"/>
              </w:rPr>
            </w:pPr>
            <w:r>
              <w:rPr>
                <w:rFonts w:hint="eastAsia"/>
                <w:sz w:val="24"/>
              </w:rPr>
              <w:t>9.1.</w:t>
            </w:r>
            <w:r>
              <w:rPr>
                <w:sz w:val="24"/>
              </w:rPr>
              <w:t>1</w:t>
            </w:r>
            <w:r>
              <w:rPr>
                <w:rFonts w:hint="eastAsia"/>
                <w:sz w:val="24"/>
              </w:rPr>
              <w:t>条、9.1.2条</w:t>
            </w:r>
          </w:p>
        </w:tc>
        <w:tc>
          <w:tcPr>
            <w:tcW w:w="2552" w:type="dxa"/>
            <w:shd w:val="clear" w:color="auto" w:fill="auto"/>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shd w:val="clear" w:color="auto" w:fill="auto"/>
            <w:vAlign w:val="center"/>
          </w:tcPr>
          <w:p>
            <w:pPr>
              <w:pStyle w:val="84"/>
              <w:spacing w:line="360" w:lineRule="auto"/>
              <w:rPr>
                <w:sz w:val="24"/>
              </w:rPr>
            </w:pPr>
            <w:r>
              <w:rPr>
                <w:rFonts w:hint="eastAsia"/>
                <w:sz w:val="24"/>
              </w:rPr>
              <w:t>依据材料</w:t>
            </w:r>
          </w:p>
        </w:tc>
        <w:tc>
          <w:tcPr>
            <w:tcW w:w="8478" w:type="dxa"/>
            <w:gridSpan w:val="3"/>
            <w:shd w:val="clear" w:color="auto" w:fill="auto"/>
          </w:tcPr>
          <w:p>
            <w:pPr>
              <w:pStyle w:val="84"/>
              <w:spacing w:line="360" w:lineRule="auto"/>
              <w:jc w:val="left"/>
              <w:rPr>
                <w:sz w:val="24"/>
              </w:rPr>
            </w:pPr>
            <w:r>
              <w:rPr>
                <w:rFonts w:hint="eastAsia"/>
                <w:sz w:val="24"/>
              </w:rPr>
              <w:t>设计人员应根据</w:t>
            </w:r>
            <w:r>
              <w:rPr>
                <w:sz w:val="24"/>
              </w:rPr>
              <w:t>项目的</w:t>
            </w:r>
            <w:r>
              <w:rPr>
                <w:rFonts w:hint="eastAsia"/>
                <w:sz w:val="24"/>
              </w:rPr>
              <w:t>负荷计算书（表）及采用的计算方法、计算结果，结合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shd w:val="clear" w:color="auto" w:fill="auto"/>
            <w:vAlign w:val="center"/>
          </w:tcPr>
          <w:p>
            <w:pPr>
              <w:pStyle w:val="84"/>
              <w:spacing w:line="360" w:lineRule="auto"/>
              <w:rPr>
                <w:sz w:val="24"/>
              </w:rPr>
            </w:pPr>
            <w:r>
              <w:rPr>
                <w:rFonts w:hint="eastAsia"/>
                <w:sz w:val="24"/>
              </w:rPr>
              <w:t>备注</w:t>
            </w:r>
          </w:p>
        </w:tc>
        <w:tc>
          <w:tcPr>
            <w:tcW w:w="8478" w:type="dxa"/>
            <w:gridSpan w:val="3"/>
            <w:shd w:val="clear" w:color="auto" w:fill="auto"/>
          </w:tcPr>
          <w:p>
            <w:pPr>
              <w:pStyle w:val="84"/>
              <w:spacing w:line="360" w:lineRule="auto"/>
              <w:jc w:val="left"/>
              <w:rPr>
                <w:sz w:val="24"/>
              </w:rPr>
            </w:pPr>
            <w:r>
              <w:rPr>
                <w:rFonts w:hint="eastAsia"/>
                <w:sz w:val="24"/>
              </w:rPr>
              <w:t>合理、准确的计算是绿色设计的基础。施工图设计的负荷计算应采用需要系数法或不小于其准确度的其它方法，并如实填写计算方法、计算结果。项目星级评定时，应提供负荷计算书。本条属于基本要求、基本情况，必须满足或填写。</w:t>
            </w:r>
          </w:p>
        </w:tc>
      </w:tr>
    </w:tbl>
    <w:p>
      <w:pPr>
        <w:spacing w:line="360" w:lineRule="auto"/>
        <w:ind w:firstLine="324" w:firstLineChars="135"/>
        <w:rPr>
          <w:rFonts w:asciiTheme="minorEastAsia" w:hAnsiTheme="minorEastAsia" w:eastAsiaTheme="minorEastAsia"/>
          <w:bCs/>
          <w:sz w:val="24"/>
        </w:rPr>
      </w:pPr>
    </w:p>
    <w:p>
      <w:pPr>
        <w:spacing w:line="360" w:lineRule="auto"/>
        <w:ind w:firstLine="360" w:firstLineChars="150"/>
        <w:rPr>
          <w:rFonts w:asciiTheme="minorEastAsia" w:hAnsiTheme="minorEastAsia" w:eastAsiaTheme="minorEastAsia"/>
          <w:sz w:val="24"/>
          <w:lang w:val="en-GB"/>
        </w:rPr>
      </w:pPr>
      <w:r>
        <w:rPr>
          <w:rFonts w:asciiTheme="minorEastAsia" w:hAnsiTheme="minorEastAsia" w:eastAsiaTheme="minorEastAsia"/>
          <w:bCs/>
          <w:sz w:val="24"/>
        </w:rPr>
        <w:t>2</w:t>
      </w:r>
      <w:r>
        <w:rPr>
          <w:rFonts w:hint="eastAsia" w:asciiTheme="minorEastAsia" w:hAnsiTheme="minorEastAsia" w:eastAsiaTheme="minorEastAsia"/>
          <w:sz w:val="24"/>
          <w:lang w:val="en-GB"/>
        </w:rPr>
        <w:t>、用户系统的功率因数、无功补偿满足电力部门的要求；</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供配电系统向公共电网注入的谐波电流满足现行国家标准《电能质量 公共电网谐波》GB/T14549的规定。</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1896"/>
        <w:gridCol w:w="1519"/>
        <w:gridCol w:w="4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shd w:val="clear" w:color="auto" w:fill="auto"/>
            <w:vAlign w:val="center"/>
          </w:tcPr>
          <w:p>
            <w:pPr>
              <w:pStyle w:val="84"/>
              <w:spacing w:line="360" w:lineRule="auto"/>
              <w:rPr>
                <w:sz w:val="24"/>
              </w:rPr>
            </w:pPr>
            <w:r>
              <w:rPr>
                <w:rFonts w:hint="eastAsia"/>
                <w:sz w:val="24"/>
              </w:rPr>
              <w:t>条文来源</w:t>
            </w:r>
          </w:p>
        </w:tc>
        <w:tc>
          <w:tcPr>
            <w:tcW w:w="1446"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tcPr>
          <w:p>
            <w:pPr>
              <w:pStyle w:val="84"/>
              <w:spacing w:line="360" w:lineRule="auto"/>
              <w:rPr>
                <w:sz w:val="24"/>
              </w:rPr>
            </w:pPr>
            <w:r>
              <w:rPr>
                <w:rFonts w:hint="eastAsia"/>
                <w:sz w:val="24"/>
              </w:rPr>
              <w:t>9.1.</w:t>
            </w:r>
            <w:r>
              <w:rPr>
                <w:sz w:val="24"/>
              </w:rPr>
              <w:t>3</w:t>
            </w:r>
            <w:r>
              <w:rPr>
                <w:rFonts w:hint="eastAsia"/>
                <w:sz w:val="24"/>
              </w:rPr>
              <w:t>条</w:t>
            </w:r>
          </w:p>
        </w:tc>
        <w:tc>
          <w:tcPr>
            <w:tcW w:w="4946" w:type="dxa"/>
            <w:shd w:val="clear" w:color="auto" w:fill="auto"/>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shd w:val="clear" w:color="auto" w:fill="auto"/>
            <w:vAlign w:val="center"/>
          </w:tcPr>
          <w:p>
            <w:pPr>
              <w:pStyle w:val="84"/>
              <w:spacing w:line="360" w:lineRule="auto"/>
              <w:rPr>
                <w:sz w:val="24"/>
              </w:rPr>
            </w:pPr>
            <w:r>
              <w:rPr>
                <w:rFonts w:hint="eastAsia"/>
                <w:sz w:val="24"/>
              </w:rPr>
              <w:t>依据材料</w:t>
            </w:r>
          </w:p>
        </w:tc>
        <w:tc>
          <w:tcPr>
            <w:tcW w:w="7965" w:type="dxa"/>
            <w:gridSpan w:val="3"/>
            <w:shd w:val="clear" w:color="auto" w:fill="auto"/>
          </w:tcPr>
          <w:p>
            <w:pPr>
              <w:pStyle w:val="84"/>
              <w:spacing w:line="360" w:lineRule="auto"/>
              <w:jc w:val="left"/>
              <w:rPr>
                <w:sz w:val="24"/>
              </w:rPr>
            </w:pPr>
            <w:r>
              <w:rPr>
                <w:rFonts w:hint="eastAsia"/>
                <w:sz w:val="24"/>
              </w:rPr>
              <w:t>设计人员应根据变电所设计施工图、配电箱系统图，结合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0" w:type="dxa"/>
            <w:shd w:val="clear" w:color="auto" w:fill="auto"/>
            <w:vAlign w:val="center"/>
          </w:tcPr>
          <w:p>
            <w:pPr>
              <w:pStyle w:val="84"/>
              <w:spacing w:line="360" w:lineRule="auto"/>
              <w:rPr>
                <w:sz w:val="24"/>
              </w:rPr>
            </w:pPr>
            <w:r>
              <w:rPr>
                <w:rFonts w:hint="eastAsia"/>
                <w:sz w:val="24"/>
              </w:rPr>
              <w:t>备注</w:t>
            </w:r>
          </w:p>
        </w:tc>
        <w:tc>
          <w:tcPr>
            <w:tcW w:w="7965" w:type="dxa"/>
            <w:gridSpan w:val="3"/>
            <w:shd w:val="clear" w:color="auto" w:fill="auto"/>
          </w:tcPr>
          <w:p>
            <w:pPr>
              <w:pStyle w:val="84"/>
              <w:spacing w:line="360" w:lineRule="auto"/>
              <w:jc w:val="left"/>
              <w:rPr>
                <w:sz w:val="24"/>
              </w:rPr>
            </w:pPr>
            <w:r>
              <w:rPr>
                <w:rFonts w:hint="eastAsia"/>
                <w:sz w:val="24"/>
              </w:rPr>
              <w:t>无功补偿是提高功率因数、降低线路电流的重要措施之一。</w:t>
            </w:r>
          </w:p>
          <w:p>
            <w:pPr>
              <w:pStyle w:val="84"/>
              <w:spacing w:line="360" w:lineRule="auto"/>
              <w:jc w:val="left"/>
              <w:rPr>
                <w:sz w:val="24"/>
              </w:rPr>
            </w:pPr>
            <w:r>
              <w:rPr>
                <w:sz w:val="24"/>
              </w:rPr>
              <w:t>高次谐波是电气系统</w:t>
            </w:r>
            <w:r>
              <w:rPr>
                <w:rFonts w:hint="eastAsia"/>
                <w:sz w:val="24"/>
              </w:rPr>
              <w:t>中</w:t>
            </w:r>
            <w:r>
              <w:rPr>
                <w:sz w:val="24"/>
              </w:rPr>
              <w:t>的污染，</w:t>
            </w:r>
            <w:r>
              <w:rPr>
                <w:rFonts w:hint="eastAsia"/>
                <w:sz w:val="24"/>
              </w:rPr>
              <w:t>降低电能质量</w:t>
            </w:r>
            <w:r>
              <w:rPr>
                <w:sz w:val="24"/>
              </w:rPr>
              <w:t>和损害电气设备，必须防治。</w:t>
            </w:r>
          </w:p>
          <w:p>
            <w:pPr>
              <w:pStyle w:val="84"/>
              <w:spacing w:line="360" w:lineRule="auto"/>
              <w:jc w:val="left"/>
              <w:rPr>
                <w:sz w:val="24"/>
              </w:rPr>
            </w:pPr>
            <w:r>
              <w:rPr>
                <w:rFonts w:hint="eastAsia"/>
                <w:sz w:val="24"/>
              </w:rPr>
              <w:t>本条属于基本要求，必须满足。</w:t>
            </w:r>
          </w:p>
        </w:tc>
      </w:tr>
    </w:tbl>
    <w:p>
      <w:pPr>
        <w:spacing w:line="360" w:lineRule="auto"/>
        <w:ind w:firstLine="420"/>
        <w:rPr>
          <w:rFonts w:asciiTheme="minorEastAsia" w:hAnsiTheme="minorEastAsia" w:eastAsiaTheme="minorEastAsia"/>
          <w:bCs/>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3、</w:t>
      </w:r>
      <w:r>
        <w:rPr>
          <w:rFonts w:asciiTheme="minorEastAsia" w:hAnsiTheme="minorEastAsia" w:eastAsiaTheme="minorEastAsia"/>
          <w:sz w:val="24"/>
          <w:lang w:val="en-GB"/>
        </w:rPr>
        <w:t>电动汽车充电设施</w:t>
      </w:r>
      <w:r>
        <w:rPr>
          <w:rFonts w:hint="eastAsia" w:asciiTheme="minorEastAsia" w:hAnsiTheme="minorEastAsia" w:eastAsiaTheme="minorEastAsia"/>
          <w:sz w:val="24"/>
          <w:lang w:val="en-GB"/>
        </w:rPr>
        <w:t>的供配电设计满足浙江省</w:t>
      </w:r>
      <w:r>
        <w:rPr>
          <w:rFonts w:asciiTheme="minorEastAsia" w:hAnsiTheme="minorEastAsia" w:eastAsiaTheme="minorEastAsia"/>
          <w:sz w:val="24"/>
          <w:lang w:val="en-GB"/>
        </w:rPr>
        <w:t>《</w:t>
      </w:r>
      <w:r>
        <w:rPr>
          <w:rFonts w:hint="eastAsia" w:asciiTheme="minorEastAsia" w:hAnsiTheme="minorEastAsia" w:eastAsiaTheme="minorEastAsia"/>
          <w:sz w:val="24"/>
          <w:lang w:val="en-GB"/>
        </w:rPr>
        <w:t>民</w:t>
      </w:r>
      <w:r>
        <w:rPr>
          <w:rFonts w:asciiTheme="minorEastAsia" w:hAnsiTheme="minorEastAsia" w:eastAsiaTheme="minorEastAsia"/>
          <w:sz w:val="24"/>
          <w:lang w:val="en-GB"/>
        </w:rPr>
        <w:t>用建筑电动汽车充电设施配置与设计规范》</w:t>
      </w:r>
      <w:r>
        <w:rPr>
          <w:rFonts w:hint="eastAsia" w:asciiTheme="minorEastAsia" w:hAnsiTheme="minorEastAsia" w:eastAsiaTheme="minorEastAsia"/>
          <w:sz w:val="24"/>
          <w:lang w:val="en-GB"/>
        </w:rPr>
        <w:t>DB33/1121</w:t>
      </w:r>
      <w:r>
        <w:rPr>
          <w:rFonts w:asciiTheme="minorEastAsia" w:hAnsiTheme="minorEastAsia" w:eastAsiaTheme="minorEastAsia"/>
          <w:sz w:val="24"/>
          <w:lang w:val="en-GB"/>
        </w:rPr>
        <w:t>的</w:t>
      </w:r>
      <w:r>
        <w:rPr>
          <w:rFonts w:hint="eastAsia" w:asciiTheme="minorEastAsia" w:hAnsiTheme="minorEastAsia" w:eastAsiaTheme="minorEastAsia"/>
          <w:sz w:val="24"/>
          <w:lang w:val="en-GB"/>
        </w:rPr>
        <w:t>要求。</w:t>
      </w:r>
    </w:p>
    <w:tbl>
      <w:tblPr>
        <w:tblStyle w:val="44"/>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3"/>
        <w:gridCol w:w="2410"/>
        <w:gridCol w:w="1560"/>
        <w:gridCol w:w="4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restart"/>
            <w:shd w:val="clear" w:color="auto" w:fill="auto"/>
            <w:vAlign w:val="center"/>
          </w:tcPr>
          <w:p>
            <w:pPr>
              <w:pStyle w:val="84"/>
              <w:spacing w:line="360" w:lineRule="auto"/>
              <w:rPr>
                <w:sz w:val="24"/>
              </w:rPr>
            </w:pPr>
            <w:r>
              <w:rPr>
                <w:rFonts w:hint="eastAsia"/>
                <w:sz w:val="24"/>
              </w:rPr>
              <w:t>条文来源</w:t>
            </w:r>
          </w:p>
        </w:tc>
        <w:tc>
          <w:tcPr>
            <w:tcW w:w="2410" w:type="dxa"/>
            <w:shd w:val="clear" w:color="auto" w:fill="auto"/>
            <w:vAlign w:val="center"/>
          </w:tcPr>
          <w:p>
            <w:pPr>
              <w:pStyle w:val="84"/>
              <w:spacing w:line="360" w:lineRule="auto"/>
              <w:rPr>
                <w:sz w:val="24"/>
              </w:rPr>
            </w:pPr>
            <w:r>
              <w:rPr>
                <w:rFonts w:hint="eastAsia"/>
                <w:sz w:val="24"/>
              </w:rPr>
              <w:t>《浙江省绿色条例》</w:t>
            </w:r>
          </w:p>
        </w:tc>
        <w:tc>
          <w:tcPr>
            <w:tcW w:w="1560" w:type="dxa"/>
            <w:shd w:val="clear" w:color="auto" w:fill="auto"/>
          </w:tcPr>
          <w:p>
            <w:pPr>
              <w:pStyle w:val="84"/>
              <w:spacing w:line="360" w:lineRule="auto"/>
              <w:rPr>
                <w:sz w:val="24"/>
              </w:rPr>
            </w:pPr>
            <w:r>
              <w:rPr>
                <w:rFonts w:hint="eastAsia"/>
                <w:sz w:val="24"/>
              </w:rPr>
              <w:t>第三十一条</w:t>
            </w:r>
          </w:p>
        </w:tc>
        <w:tc>
          <w:tcPr>
            <w:tcW w:w="4252" w:type="dxa"/>
            <w:shd w:val="clear" w:color="auto" w:fill="auto"/>
          </w:tcPr>
          <w:p>
            <w:pPr>
              <w:pStyle w:val="84"/>
              <w:spacing w:line="360" w:lineRule="auto"/>
              <w:rPr>
                <w:sz w:val="24"/>
              </w:rPr>
            </w:pPr>
            <w:r>
              <w:rPr>
                <w:rFonts w:hint="eastAsia"/>
                <w:sz w:val="24"/>
              </w:rPr>
              <w:t>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vMerge w:val="continue"/>
            <w:shd w:val="clear" w:color="auto" w:fill="auto"/>
            <w:vAlign w:val="center"/>
          </w:tcPr>
          <w:p>
            <w:pPr>
              <w:pStyle w:val="84"/>
              <w:spacing w:line="360" w:lineRule="auto"/>
              <w:rPr>
                <w:sz w:val="24"/>
              </w:rPr>
            </w:pPr>
          </w:p>
        </w:tc>
        <w:tc>
          <w:tcPr>
            <w:tcW w:w="2410" w:type="dxa"/>
            <w:shd w:val="clear" w:color="auto" w:fill="auto"/>
            <w:vAlign w:val="center"/>
          </w:tcPr>
          <w:p>
            <w:pPr>
              <w:pStyle w:val="84"/>
              <w:spacing w:line="360" w:lineRule="auto"/>
              <w:rPr>
                <w:sz w:val="24"/>
              </w:rPr>
            </w:pPr>
            <w:r>
              <w:rPr>
                <w:rFonts w:hint="eastAsia"/>
                <w:sz w:val="24"/>
              </w:rPr>
              <w:t>DB33/1092-2021</w:t>
            </w:r>
          </w:p>
        </w:tc>
        <w:tc>
          <w:tcPr>
            <w:tcW w:w="1560" w:type="dxa"/>
            <w:shd w:val="clear" w:color="auto" w:fill="auto"/>
          </w:tcPr>
          <w:p>
            <w:pPr>
              <w:pStyle w:val="84"/>
              <w:spacing w:line="360" w:lineRule="auto"/>
              <w:rPr>
                <w:sz w:val="24"/>
              </w:rPr>
            </w:pPr>
            <w:r>
              <w:rPr>
                <w:rFonts w:hint="eastAsia"/>
                <w:sz w:val="24"/>
              </w:rPr>
              <w:t>9.1.</w:t>
            </w:r>
            <w:r>
              <w:rPr>
                <w:sz w:val="24"/>
              </w:rPr>
              <w:t>4</w:t>
            </w:r>
            <w:r>
              <w:rPr>
                <w:rFonts w:hint="eastAsia"/>
                <w:sz w:val="24"/>
              </w:rPr>
              <w:t>条</w:t>
            </w:r>
          </w:p>
        </w:tc>
        <w:tc>
          <w:tcPr>
            <w:tcW w:w="4252" w:type="dxa"/>
            <w:shd w:val="clear" w:color="auto" w:fill="auto"/>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shd w:val="clear" w:color="auto" w:fill="auto"/>
            <w:vAlign w:val="center"/>
          </w:tcPr>
          <w:p>
            <w:pPr>
              <w:pStyle w:val="84"/>
              <w:spacing w:line="360" w:lineRule="auto"/>
              <w:rPr>
                <w:sz w:val="24"/>
              </w:rPr>
            </w:pPr>
            <w:r>
              <w:rPr>
                <w:rFonts w:hint="eastAsia"/>
                <w:sz w:val="24"/>
              </w:rPr>
              <w:t>依据材料</w:t>
            </w:r>
          </w:p>
        </w:tc>
        <w:tc>
          <w:tcPr>
            <w:tcW w:w="8222" w:type="dxa"/>
            <w:gridSpan w:val="3"/>
            <w:shd w:val="clear" w:color="auto" w:fill="auto"/>
          </w:tcPr>
          <w:p>
            <w:pPr>
              <w:pStyle w:val="84"/>
              <w:spacing w:line="360" w:lineRule="auto"/>
              <w:jc w:val="left"/>
              <w:rPr>
                <w:sz w:val="24"/>
              </w:rPr>
            </w:pPr>
            <w:r>
              <w:rPr>
                <w:rFonts w:hint="eastAsia"/>
                <w:sz w:val="24"/>
              </w:rPr>
              <w:t>设计人员应根据</w:t>
            </w:r>
            <w:r>
              <w:rPr>
                <w:sz w:val="24"/>
              </w:rPr>
              <w:t>项目</w:t>
            </w:r>
            <w:r>
              <w:rPr>
                <w:rFonts w:hint="eastAsia"/>
                <w:sz w:val="24"/>
              </w:rPr>
              <w:t>设计</w:t>
            </w:r>
            <w:r>
              <w:rPr>
                <w:sz w:val="24"/>
              </w:rPr>
              <w:t>的</w:t>
            </w:r>
            <w:r>
              <w:rPr>
                <w:rFonts w:hint="eastAsia"/>
                <w:sz w:val="24"/>
              </w:rPr>
              <w:t>负荷计算书（表）、施工图，结合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3" w:type="dxa"/>
            <w:shd w:val="clear" w:color="auto" w:fill="auto"/>
            <w:vAlign w:val="center"/>
          </w:tcPr>
          <w:p>
            <w:pPr>
              <w:pStyle w:val="84"/>
              <w:spacing w:line="360" w:lineRule="auto"/>
              <w:rPr>
                <w:sz w:val="24"/>
              </w:rPr>
            </w:pPr>
            <w:r>
              <w:rPr>
                <w:rFonts w:hint="eastAsia"/>
                <w:sz w:val="24"/>
              </w:rPr>
              <w:t>备注</w:t>
            </w:r>
          </w:p>
        </w:tc>
        <w:tc>
          <w:tcPr>
            <w:tcW w:w="8222" w:type="dxa"/>
            <w:gridSpan w:val="3"/>
            <w:shd w:val="clear" w:color="auto" w:fill="auto"/>
          </w:tcPr>
          <w:p>
            <w:pPr>
              <w:pStyle w:val="84"/>
              <w:spacing w:line="360" w:lineRule="auto"/>
              <w:jc w:val="left"/>
              <w:rPr>
                <w:sz w:val="24"/>
              </w:rPr>
            </w:pPr>
            <w:r>
              <w:rPr>
                <w:rFonts w:hint="eastAsia"/>
                <w:sz w:val="24"/>
              </w:rPr>
              <w:t>浙江省</w:t>
            </w:r>
            <w:r>
              <w:rPr>
                <w:sz w:val="24"/>
              </w:rPr>
              <w:t>《</w:t>
            </w:r>
            <w:r>
              <w:rPr>
                <w:rFonts w:hint="eastAsia"/>
                <w:sz w:val="24"/>
              </w:rPr>
              <w:t>民</w:t>
            </w:r>
            <w:r>
              <w:rPr>
                <w:sz w:val="24"/>
              </w:rPr>
              <w:t>用建筑电动汽车充电设施配置与设计规范》</w:t>
            </w:r>
            <w:r>
              <w:rPr>
                <w:rFonts w:hint="eastAsia"/>
                <w:sz w:val="24"/>
              </w:rPr>
              <w:t>DB33/1121对</w:t>
            </w:r>
            <w:r>
              <w:rPr>
                <w:sz w:val="24"/>
              </w:rPr>
              <w:t>充电设施</w:t>
            </w:r>
            <w:r>
              <w:rPr>
                <w:rFonts w:hint="eastAsia"/>
                <w:sz w:val="24"/>
              </w:rPr>
              <w:t>供配电系统设计做了具体的要求。</w:t>
            </w:r>
          </w:p>
          <w:p>
            <w:pPr>
              <w:pStyle w:val="84"/>
              <w:spacing w:line="360" w:lineRule="auto"/>
              <w:jc w:val="left"/>
              <w:rPr>
                <w:sz w:val="24"/>
              </w:rPr>
            </w:pPr>
            <w:r>
              <w:rPr>
                <w:rFonts w:hint="eastAsia"/>
                <w:sz w:val="24"/>
              </w:rPr>
              <w:t>本条为基本要求，必须满足。</w:t>
            </w:r>
          </w:p>
        </w:tc>
      </w:tr>
    </w:tbl>
    <w:p>
      <w:pPr>
        <w:spacing w:line="360" w:lineRule="auto"/>
        <w:ind w:firstLine="420"/>
        <w:rPr>
          <w:rFonts w:asciiTheme="minorEastAsia" w:hAnsiTheme="minorEastAsia" w:eastAsiaTheme="minorEastAsia"/>
          <w:bCs/>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4、照明设计满足《建筑照明设计标准》</w:t>
      </w:r>
      <w:r>
        <w:rPr>
          <w:rFonts w:asciiTheme="minorEastAsia" w:hAnsiTheme="minorEastAsia" w:eastAsiaTheme="minorEastAsia"/>
          <w:sz w:val="24"/>
          <w:lang w:val="en-GB"/>
        </w:rPr>
        <w:t>GB50034规定的照度标准、均匀度、眩光值、显色指数；</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各场所的照明功率密度值满足《建筑节能与可再生能源利用通用规范》GB 55015的规定；</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室内、外照明主要控制方式说明：</w:t>
      </w:r>
      <w:r>
        <w:rPr>
          <w:rFonts w:asciiTheme="minorEastAsia" w:hAnsiTheme="minorEastAsia" w:eastAsiaTheme="minorEastAsia"/>
          <w:sz w:val="24"/>
          <w:u w:val="single"/>
          <w:lang w:val="en-GB"/>
        </w:rPr>
        <w:t xml:space="preserve">                            </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人员长期停留的场所采用光生物安全性为“无危险类（RG0）”的照明产品；</w:t>
      </w:r>
    </w:p>
    <w:p>
      <w:pPr>
        <w:tabs>
          <w:tab w:val="left" w:pos="426"/>
        </w:tabs>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各场所选用光源和灯具的闪变指数（PstLM）不大于1； 儿童及青少年长时间学习或活动的场所选用光源和灯具的频闪效应可视度（SVM）不大于1.0。</w:t>
      </w:r>
    </w:p>
    <w:tbl>
      <w:tblPr>
        <w:tblStyle w:val="44"/>
        <w:tblW w:w="96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2301"/>
        <w:gridCol w:w="2835"/>
        <w:gridCol w:w="3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4" w:type="dxa"/>
            <w:shd w:val="clear" w:color="auto" w:fill="auto"/>
            <w:vAlign w:val="center"/>
          </w:tcPr>
          <w:p>
            <w:pPr>
              <w:pStyle w:val="84"/>
              <w:spacing w:line="400" w:lineRule="exact"/>
              <w:rPr>
                <w:sz w:val="24"/>
              </w:rPr>
            </w:pPr>
            <w:r>
              <w:rPr>
                <w:rFonts w:hint="eastAsia"/>
                <w:sz w:val="24"/>
              </w:rPr>
              <w:t>条文来源</w:t>
            </w:r>
          </w:p>
        </w:tc>
        <w:tc>
          <w:tcPr>
            <w:tcW w:w="2301" w:type="dxa"/>
            <w:shd w:val="clear" w:color="auto" w:fill="auto"/>
            <w:vAlign w:val="center"/>
          </w:tcPr>
          <w:p>
            <w:pPr>
              <w:pStyle w:val="84"/>
              <w:spacing w:line="400" w:lineRule="exact"/>
              <w:rPr>
                <w:sz w:val="24"/>
              </w:rPr>
            </w:pPr>
            <w:r>
              <w:rPr>
                <w:rFonts w:hint="eastAsia"/>
                <w:sz w:val="24"/>
              </w:rPr>
              <w:t>DB33/1092-2021</w:t>
            </w:r>
          </w:p>
          <w:p>
            <w:pPr>
              <w:pStyle w:val="84"/>
              <w:spacing w:line="400" w:lineRule="exact"/>
              <w:rPr>
                <w:sz w:val="24"/>
              </w:rPr>
            </w:pPr>
            <w:r>
              <w:rPr>
                <w:sz w:val="24"/>
              </w:rPr>
              <w:t>GB 55015-2021</w:t>
            </w:r>
          </w:p>
          <w:p>
            <w:pPr>
              <w:pStyle w:val="84"/>
              <w:spacing w:line="400" w:lineRule="exact"/>
              <w:rPr>
                <w:sz w:val="24"/>
              </w:rPr>
            </w:pPr>
            <w:r>
              <w:rPr>
                <w:sz w:val="24"/>
              </w:rPr>
              <w:t>GB 55016-2021</w:t>
            </w:r>
          </w:p>
        </w:tc>
        <w:tc>
          <w:tcPr>
            <w:tcW w:w="2835" w:type="dxa"/>
            <w:shd w:val="clear" w:color="auto" w:fill="auto"/>
          </w:tcPr>
          <w:p>
            <w:pPr>
              <w:pStyle w:val="84"/>
              <w:spacing w:line="400" w:lineRule="exact"/>
              <w:jc w:val="left"/>
              <w:rPr>
                <w:sz w:val="24"/>
              </w:rPr>
            </w:pPr>
            <w:r>
              <w:rPr>
                <w:rFonts w:hint="eastAsia"/>
                <w:sz w:val="24"/>
              </w:rPr>
              <w:t>9.1.</w:t>
            </w:r>
            <w:r>
              <w:rPr>
                <w:sz w:val="24"/>
              </w:rPr>
              <w:t>5</w:t>
            </w:r>
            <w:r>
              <w:rPr>
                <w:rFonts w:hint="eastAsia"/>
                <w:sz w:val="24"/>
              </w:rPr>
              <w:t>条</w:t>
            </w:r>
          </w:p>
          <w:p>
            <w:pPr>
              <w:pStyle w:val="84"/>
              <w:spacing w:line="400" w:lineRule="exact"/>
              <w:jc w:val="left"/>
              <w:rPr>
                <w:sz w:val="24"/>
              </w:rPr>
            </w:pPr>
            <w:r>
              <w:rPr>
                <w:rFonts w:hint="eastAsia"/>
                <w:sz w:val="24"/>
              </w:rPr>
              <w:t>3.3.7条</w:t>
            </w:r>
          </w:p>
          <w:p>
            <w:pPr>
              <w:pStyle w:val="84"/>
              <w:spacing w:line="400" w:lineRule="exact"/>
              <w:jc w:val="left"/>
              <w:rPr>
                <w:sz w:val="24"/>
              </w:rPr>
            </w:pPr>
            <w:r>
              <w:rPr>
                <w:rFonts w:hint="eastAsia"/>
                <w:sz w:val="24"/>
              </w:rPr>
              <w:t>3.3.6条、3.3.7条</w:t>
            </w:r>
          </w:p>
        </w:tc>
        <w:tc>
          <w:tcPr>
            <w:tcW w:w="3261" w:type="dxa"/>
            <w:shd w:val="clear" w:color="auto" w:fill="auto"/>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4" w:type="dxa"/>
            <w:shd w:val="clear" w:color="auto" w:fill="auto"/>
            <w:vAlign w:val="center"/>
          </w:tcPr>
          <w:p>
            <w:pPr>
              <w:pStyle w:val="84"/>
              <w:spacing w:line="360" w:lineRule="auto"/>
              <w:rPr>
                <w:sz w:val="24"/>
              </w:rPr>
            </w:pPr>
            <w:r>
              <w:rPr>
                <w:rFonts w:hint="eastAsia"/>
                <w:sz w:val="24"/>
              </w:rPr>
              <w:t>依据材料</w:t>
            </w:r>
          </w:p>
        </w:tc>
        <w:tc>
          <w:tcPr>
            <w:tcW w:w="8397" w:type="dxa"/>
            <w:gridSpan w:val="3"/>
            <w:shd w:val="clear" w:color="auto" w:fill="auto"/>
          </w:tcPr>
          <w:p>
            <w:pPr>
              <w:pStyle w:val="84"/>
              <w:spacing w:line="360" w:lineRule="auto"/>
              <w:jc w:val="left"/>
              <w:rPr>
                <w:sz w:val="24"/>
              </w:rPr>
            </w:pPr>
            <w:r>
              <w:rPr>
                <w:rFonts w:hint="eastAsia"/>
                <w:sz w:val="24"/>
              </w:rPr>
              <w:t>设计人员应根据照明计算书、照明设计施工图，结合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4" w:type="dxa"/>
            <w:shd w:val="clear" w:color="auto" w:fill="auto"/>
            <w:vAlign w:val="center"/>
          </w:tcPr>
          <w:p>
            <w:pPr>
              <w:pStyle w:val="84"/>
              <w:spacing w:line="360" w:lineRule="auto"/>
              <w:rPr>
                <w:sz w:val="24"/>
              </w:rPr>
            </w:pPr>
            <w:r>
              <w:rPr>
                <w:rFonts w:hint="eastAsia"/>
                <w:sz w:val="24"/>
              </w:rPr>
              <w:t>备注</w:t>
            </w:r>
          </w:p>
        </w:tc>
        <w:tc>
          <w:tcPr>
            <w:tcW w:w="8397" w:type="dxa"/>
            <w:gridSpan w:val="3"/>
            <w:shd w:val="clear" w:color="auto" w:fill="auto"/>
          </w:tcPr>
          <w:p>
            <w:pPr>
              <w:pStyle w:val="84"/>
              <w:spacing w:line="360" w:lineRule="auto"/>
              <w:jc w:val="left"/>
              <w:rPr>
                <w:sz w:val="24"/>
              </w:rPr>
            </w:pPr>
            <w:r>
              <w:rPr>
                <w:rFonts w:hint="eastAsia"/>
                <w:sz w:val="24"/>
              </w:rPr>
              <w:t>节能的前提是不降低照明标准、照明质量。良好的照明有利于提高工作、学习效率，也有利于身心健康。</w:t>
            </w:r>
          </w:p>
          <w:p>
            <w:pPr>
              <w:pStyle w:val="84"/>
              <w:spacing w:line="360" w:lineRule="auto"/>
              <w:jc w:val="left"/>
              <w:rPr>
                <w:sz w:val="24"/>
              </w:rPr>
            </w:pPr>
            <w:r>
              <w:rPr>
                <w:rFonts w:hint="eastAsia"/>
                <w:sz w:val="24"/>
              </w:rPr>
              <w:t>关于照明功率密度值（LPD）的要求：要求所有区域满足现行值，这是基本要求。</w:t>
            </w:r>
          </w:p>
          <w:p>
            <w:pPr>
              <w:pStyle w:val="84"/>
              <w:spacing w:line="360" w:lineRule="auto"/>
              <w:jc w:val="left"/>
              <w:rPr>
                <w:sz w:val="24"/>
              </w:rPr>
            </w:pPr>
            <w:r>
              <w:rPr>
                <w:sz w:val="24"/>
              </w:rPr>
              <w:t>施工图设计</w:t>
            </w:r>
            <w:r>
              <w:rPr>
                <w:rFonts w:hint="eastAsia"/>
                <w:sz w:val="24"/>
              </w:rPr>
              <w:t>的</w:t>
            </w:r>
            <w:r>
              <w:rPr>
                <w:sz w:val="24"/>
              </w:rPr>
              <w:t>照度计算方法有利用系数法、点照度法等等，应按工程特点选择，</w:t>
            </w:r>
            <w:r>
              <w:rPr>
                <w:rFonts w:hint="eastAsia"/>
                <w:sz w:val="24"/>
              </w:rPr>
              <w:t>要求高或复杂的场所也可借助计算机软件计算</w:t>
            </w:r>
            <w:r>
              <w:rPr>
                <w:sz w:val="24"/>
              </w:rPr>
              <w:t>。</w:t>
            </w:r>
            <w:r>
              <w:rPr>
                <w:rFonts w:hint="eastAsia"/>
                <w:sz w:val="24"/>
              </w:rPr>
              <w:t>项目星级评定时，应提供照明计算书。</w:t>
            </w:r>
          </w:p>
          <w:p>
            <w:pPr>
              <w:pStyle w:val="84"/>
              <w:spacing w:line="360" w:lineRule="auto"/>
              <w:jc w:val="left"/>
              <w:rPr>
                <w:sz w:val="24"/>
              </w:rPr>
            </w:pPr>
            <w:r>
              <w:rPr>
                <w:sz w:val="24"/>
              </w:rPr>
              <w:t>照明控制</w:t>
            </w:r>
            <w:r>
              <w:rPr>
                <w:rFonts w:hint="eastAsia"/>
                <w:sz w:val="24"/>
              </w:rPr>
              <w:t>方式多种多样</w:t>
            </w:r>
            <w:r>
              <w:rPr>
                <w:sz w:val="24"/>
              </w:rPr>
              <w:t>，</w:t>
            </w:r>
            <w:r>
              <w:rPr>
                <w:rFonts w:hint="eastAsia"/>
                <w:sz w:val="24"/>
              </w:rPr>
              <w:t>如分区、分组、定时、感应等等，各有各的适用场合，</w:t>
            </w:r>
            <w:r>
              <w:rPr>
                <w:sz w:val="24"/>
              </w:rPr>
              <w:t>应根据具体情况选择恰当</w:t>
            </w:r>
            <w:r>
              <w:rPr>
                <w:rFonts w:hint="eastAsia"/>
                <w:sz w:val="24"/>
              </w:rPr>
              <w:t>的</w:t>
            </w:r>
            <w:r>
              <w:rPr>
                <w:sz w:val="24"/>
              </w:rPr>
              <w:t>控制方式。</w:t>
            </w:r>
          </w:p>
          <w:p>
            <w:pPr>
              <w:pStyle w:val="84"/>
              <w:spacing w:line="360" w:lineRule="auto"/>
              <w:jc w:val="left"/>
              <w:rPr>
                <w:sz w:val="24"/>
              </w:rPr>
            </w:pPr>
            <w:r>
              <w:rPr>
                <w:sz w:val="24"/>
              </w:rPr>
              <w:t>为保障健康，人员长期停留场所的照明应选</w:t>
            </w:r>
            <w:r>
              <w:rPr>
                <w:rFonts w:hint="eastAsia"/>
                <w:sz w:val="24"/>
              </w:rPr>
              <w:t>择安全组别为无危险类的产品。</w:t>
            </w:r>
          </w:p>
          <w:p>
            <w:pPr>
              <w:pStyle w:val="84"/>
              <w:spacing w:line="360" w:lineRule="auto"/>
              <w:jc w:val="left"/>
              <w:rPr>
                <w:sz w:val="24"/>
              </w:rPr>
            </w:pPr>
            <w:r>
              <w:rPr>
                <w:rFonts w:hint="eastAsia"/>
                <w:sz w:val="24"/>
              </w:rPr>
              <w:t>光源和灯具的闪变指数、频闪效应可视度，</w:t>
            </w:r>
            <w:r>
              <w:rPr>
                <w:sz w:val="24"/>
              </w:rPr>
              <w:t>用来评价光输出的波动对人的影响。</w:t>
            </w:r>
          </w:p>
          <w:p>
            <w:pPr>
              <w:pStyle w:val="84"/>
              <w:spacing w:line="360" w:lineRule="auto"/>
              <w:jc w:val="left"/>
              <w:rPr>
                <w:sz w:val="24"/>
              </w:rPr>
            </w:pPr>
            <w:r>
              <w:rPr>
                <w:rFonts w:hint="eastAsia"/>
                <w:sz w:val="24"/>
              </w:rPr>
              <w:t>本条为基本要求，必须满足。</w:t>
            </w:r>
          </w:p>
        </w:tc>
      </w:tr>
    </w:tbl>
    <w:p>
      <w:pPr>
        <w:spacing w:line="360" w:lineRule="auto"/>
        <w:ind w:firstLine="324" w:firstLineChars="135"/>
        <w:rPr>
          <w:rFonts w:asciiTheme="minorEastAsia" w:hAnsiTheme="minorEastAsia" w:eastAsiaTheme="minorEastAsia"/>
          <w:sz w:val="24"/>
          <w:lang w:val="en-GB"/>
        </w:rPr>
      </w:pPr>
    </w:p>
    <w:p>
      <w:pPr>
        <w:spacing w:line="360" w:lineRule="auto"/>
        <w:ind w:firstLine="360" w:firstLineChars="150"/>
        <w:rPr>
          <w:rFonts w:asciiTheme="minorEastAsia" w:hAnsiTheme="minorEastAsia" w:eastAsiaTheme="minorEastAsia"/>
          <w:bCs/>
          <w:sz w:val="24"/>
        </w:rPr>
      </w:pPr>
      <w:r>
        <w:rPr>
          <w:rFonts w:hint="eastAsia" w:asciiTheme="minorEastAsia" w:hAnsiTheme="minorEastAsia" w:eastAsiaTheme="minorEastAsia"/>
          <w:sz w:val="24"/>
          <w:lang w:val="en-GB"/>
        </w:rPr>
        <w:t>5、用电分项、分区计量系统的设置满足现行浙江省标准《公共建筑用电分项分区计量系统设计标准》DB33/1090的要求。</w:t>
      </w:r>
    </w:p>
    <w:tbl>
      <w:tblPr>
        <w:tblStyle w:val="44"/>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9"/>
        <w:gridCol w:w="1896"/>
        <w:gridCol w:w="1532"/>
        <w:gridCol w:w="4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7" w:type="dxa"/>
            <w:shd w:val="clear" w:color="auto" w:fill="auto"/>
            <w:vAlign w:val="center"/>
          </w:tcPr>
          <w:p>
            <w:pPr>
              <w:pStyle w:val="84"/>
              <w:spacing w:line="360" w:lineRule="auto"/>
              <w:rPr>
                <w:sz w:val="24"/>
              </w:rPr>
            </w:pPr>
            <w:r>
              <w:rPr>
                <w:rFonts w:hint="eastAsia"/>
                <w:sz w:val="24"/>
              </w:rPr>
              <w:t>条文来源</w:t>
            </w:r>
          </w:p>
        </w:tc>
        <w:tc>
          <w:tcPr>
            <w:tcW w:w="1514" w:type="dxa"/>
            <w:shd w:val="clear" w:color="auto" w:fill="auto"/>
            <w:vAlign w:val="center"/>
          </w:tcPr>
          <w:p>
            <w:pPr>
              <w:pStyle w:val="84"/>
              <w:spacing w:line="360" w:lineRule="auto"/>
              <w:rPr>
                <w:sz w:val="24"/>
              </w:rPr>
            </w:pPr>
            <w:r>
              <w:rPr>
                <w:rFonts w:hint="eastAsia"/>
                <w:sz w:val="24"/>
              </w:rPr>
              <w:t>DB33/1092-2021</w:t>
            </w:r>
          </w:p>
          <w:p>
            <w:pPr>
              <w:pStyle w:val="84"/>
              <w:spacing w:line="360" w:lineRule="auto"/>
              <w:rPr>
                <w:sz w:val="24"/>
              </w:rPr>
            </w:pPr>
            <w:r>
              <w:rPr>
                <w:sz w:val="24"/>
              </w:rPr>
              <w:t>GB 55015-2021</w:t>
            </w:r>
          </w:p>
        </w:tc>
        <w:tc>
          <w:tcPr>
            <w:tcW w:w="1578" w:type="dxa"/>
            <w:shd w:val="clear" w:color="auto" w:fill="auto"/>
            <w:vAlign w:val="center"/>
          </w:tcPr>
          <w:p>
            <w:pPr>
              <w:pStyle w:val="84"/>
              <w:spacing w:line="360" w:lineRule="auto"/>
              <w:rPr>
                <w:sz w:val="24"/>
              </w:rPr>
            </w:pPr>
            <w:r>
              <w:rPr>
                <w:rFonts w:hint="eastAsia"/>
                <w:sz w:val="24"/>
              </w:rPr>
              <w:t>9.1.</w:t>
            </w:r>
            <w:r>
              <w:rPr>
                <w:sz w:val="24"/>
              </w:rPr>
              <w:t>6</w:t>
            </w:r>
            <w:r>
              <w:rPr>
                <w:rFonts w:hint="eastAsia"/>
                <w:sz w:val="24"/>
              </w:rPr>
              <w:t>条</w:t>
            </w:r>
          </w:p>
          <w:p>
            <w:pPr>
              <w:pStyle w:val="84"/>
              <w:spacing w:line="360" w:lineRule="auto"/>
              <w:rPr>
                <w:sz w:val="24"/>
              </w:rPr>
            </w:pPr>
            <w:r>
              <w:rPr>
                <w:rFonts w:hint="eastAsia"/>
                <w:sz w:val="24"/>
              </w:rPr>
              <w:t>3.3.5条</w:t>
            </w:r>
          </w:p>
        </w:tc>
        <w:tc>
          <w:tcPr>
            <w:tcW w:w="5093" w:type="dxa"/>
            <w:shd w:val="clear" w:color="auto" w:fill="auto"/>
            <w:vAlign w:val="center"/>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7" w:type="dxa"/>
            <w:shd w:val="clear" w:color="auto" w:fill="auto"/>
            <w:vAlign w:val="center"/>
          </w:tcPr>
          <w:p>
            <w:pPr>
              <w:pStyle w:val="84"/>
              <w:spacing w:line="360" w:lineRule="auto"/>
              <w:rPr>
                <w:sz w:val="24"/>
              </w:rPr>
            </w:pPr>
            <w:r>
              <w:rPr>
                <w:rFonts w:hint="eastAsia"/>
                <w:sz w:val="24"/>
              </w:rPr>
              <w:t>依据材料</w:t>
            </w:r>
          </w:p>
        </w:tc>
        <w:tc>
          <w:tcPr>
            <w:tcW w:w="8185" w:type="dxa"/>
            <w:gridSpan w:val="3"/>
            <w:shd w:val="clear" w:color="auto" w:fill="auto"/>
          </w:tcPr>
          <w:p>
            <w:pPr>
              <w:pStyle w:val="84"/>
              <w:spacing w:line="360" w:lineRule="auto"/>
              <w:jc w:val="left"/>
              <w:rPr>
                <w:sz w:val="24"/>
              </w:rPr>
            </w:pPr>
            <w:r>
              <w:rPr>
                <w:rFonts w:hint="eastAsia"/>
                <w:sz w:val="24"/>
              </w:rPr>
              <w:t>设计人员应根据供配电系统设计施工图，结合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7" w:type="dxa"/>
            <w:shd w:val="clear" w:color="auto" w:fill="auto"/>
            <w:vAlign w:val="center"/>
          </w:tcPr>
          <w:p>
            <w:pPr>
              <w:pStyle w:val="84"/>
              <w:spacing w:line="360" w:lineRule="auto"/>
              <w:rPr>
                <w:sz w:val="24"/>
              </w:rPr>
            </w:pPr>
            <w:r>
              <w:rPr>
                <w:rFonts w:hint="eastAsia"/>
                <w:sz w:val="24"/>
              </w:rPr>
              <w:t>备注</w:t>
            </w:r>
          </w:p>
        </w:tc>
        <w:tc>
          <w:tcPr>
            <w:tcW w:w="8185" w:type="dxa"/>
            <w:gridSpan w:val="3"/>
            <w:shd w:val="clear" w:color="auto" w:fill="auto"/>
          </w:tcPr>
          <w:p>
            <w:pPr>
              <w:pStyle w:val="84"/>
              <w:spacing w:line="360" w:lineRule="auto"/>
              <w:jc w:val="left"/>
              <w:rPr>
                <w:sz w:val="24"/>
              </w:rPr>
            </w:pPr>
            <w:r>
              <w:rPr>
                <w:rFonts w:hint="eastAsia"/>
                <w:sz w:val="24"/>
              </w:rPr>
              <w:t>用电分项计量系统的具体设置要求参照 DB33/1090。</w:t>
            </w:r>
          </w:p>
          <w:p>
            <w:pPr>
              <w:pStyle w:val="84"/>
              <w:spacing w:line="360" w:lineRule="auto"/>
              <w:jc w:val="left"/>
              <w:rPr>
                <w:sz w:val="24"/>
              </w:rPr>
            </w:pPr>
            <w:r>
              <w:rPr>
                <w:rFonts w:hint="eastAsia"/>
                <w:sz w:val="24"/>
              </w:rPr>
              <w:t>本条为基本要求，必须满足。</w:t>
            </w:r>
          </w:p>
        </w:tc>
      </w:tr>
    </w:tbl>
    <w:p>
      <w:pPr>
        <w:spacing w:line="360" w:lineRule="auto"/>
        <w:ind w:firstLine="420"/>
        <w:rPr>
          <w:rFonts w:asciiTheme="minorEastAsia" w:hAnsiTheme="minorEastAsia" w:eastAsiaTheme="minorEastAsia"/>
          <w:bCs/>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6、可再生能源发电系统与建筑同步设计，同步实施。</w:t>
      </w:r>
    </w:p>
    <w:tbl>
      <w:tblPr>
        <w:tblStyle w:val="44"/>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896"/>
        <w:gridCol w:w="1555"/>
        <w:gridCol w:w="4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dxa"/>
            <w:vMerge w:val="restart"/>
            <w:shd w:val="clear" w:color="auto" w:fill="auto"/>
            <w:vAlign w:val="center"/>
          </w:tcPr>
          <w:p>
            <w:pPr>
              <w:pStyle w:val="84"/>
              <w:spacing w:line="360" w:lineRule="auto"/>
              <w:rPr>
                <w:sz w:val="24"/>
              </w:rPr>
            </w:pPr>
            <w:r>
              <w:rPr>
                <w:rFonts w:hint="eastAsia"/>
                <w:sz w:val="24"/>
              </w:rPr>
              <w:t>条文来源</w:t>
            </w:r>
          </w:p>
        </w:tc>
        <w:tc>
          <w:tcPr>
            <w:tcW w:w="1711" w:type="dxa"/>
            <w:vMerge w:val="restart"/>
            <w:shd w:val="clear" w:color="auto" w:fill="auto"/>
            <w:vAlign w:val="center"/>
          </w:tcPr>
          <w:p>
            <w:pPr>
              <w:pStyle w:val="84"/>
              <w:spacing w:line="360" w:lineRule="auto"/>
              <w:rPr>
                <w:sz w:val="24"/>
              </w:rPr>
            </w:pPr>
            <w:r>
              <w:rPr>
                <w:rFonts w:hint="eastAsia"/>
                <w:sz w:val="24"/>
              </w:rPr>
              <w:t>DB33/1092-2021</w:t>
            </w:r>
          </w:p>
        </w:tc>
        <w:tc>
          <w:tcPr>
            <w:tcW w:w="1578" w:type="dxa"/>
            <w:shd w:val="clear" w:color="auto" w:fill="auto"/>
            <w:vAlign w:val="center"/>
          </w:tcPr>
          <w:p>
            <w:pPr>
              <w:pStyle w:val="84"/>
              <w:spacing w:line="360" w:lineRule="auto"/>
              <w:rPr>
                <w:sz w:val="24"/>
              </w:rPr>
            </w:pPr>
            <w:r>
              <w:rPr>
                <w:rFonts w:hint="eastAsia"/>
                <w:sz w:val="24"/>
              </w:rPr>
              <w:t>3.0.9条</w:t>
            </w:r>
          </w:p>
        </w:tc>
        <w:tc>
          <w:tcPr>
            <w:tcW w:w="5093" w:type="dxa"/>
            <w:shd w:val="clear" w:color="auto" w:fill="auto"/>
            <w:vAlign w:val="center"/>
          </w:tcPr>
          <w:p>
            <w:pPr>
              <w:pStyle w:val="84"/>
              <w:spacing w:line="360" w:lineRule="auto"/>
              <w:rPr>
                <w:sz w:val="24"/>
              </w:rPr>
            </w:pPr>
            <w:r>
              <w:rPr>
                <w:rFonts w:hint="eastAsia"/>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dxa"/>
            <w:vMerge w:val="continue"/>
            <w:shd w:val="clear" w:color="auto" w:fill="auto"/>
            <w:vAlign w:val="center"/>
          </w:tcPr>
          <w:p>
            <w:pPr>
              <w:pStyle w:val="84"/>
              <w:spacing w:line="360" w:lineRule="auto"/>
              <w:rPr>
                <w:sz w:val="24"/>
              </w:rPr>
            </w:pPr>
          </w:p>
        </w:tc>
        <w:tc>
          <w:tcPr>
            <w:tcW w:w="1711" w:type="dxa"/>
            <w:vMerge w:val="continue"/>
            <w:shd w:val="clear" w:color="auto" w:fill="auto"/>
            <w:vAlign w:val="center"/>
          </w:tcPr>
          <w:p>
            <w:pPr>
              <w:pStyle w:val="84"/>
              <w:spacing w:line="360" w:lineRule="auto"/>
              <w:rPr>
                <w:sz w:val="24"/>
              </w:rPr>
            </w:pPr>
          </w:p>
        </w:tc>
        <w:tc>
          <w:tcPr>
            <w:tcW w:w="1578" w:type="dxa"/>
            <w:shd w:val="clear" w:color="auto" w:fill="auto"/>
            <w:vAlign w:val="center"/>
          </w:tcPr>
          <w:p>
            <w:pPr>
              <w:pStyle w:val="84"/>
              <w:spacing w:line="360" w:lineRule="auto"/>
              <w:rPr>
                <w:sz w:val="24"/>
              </w:rPr>
            </w:pPr>
            <w:r>
              <w:rPr>
                <w:rFonts w:hint="eastAsia"/>
                <w:sz w:val="24"/>
              </w:rPr>
              <w:t>9.1.9条</w:t>
            </w:r>
          </w:p>
        </w:tc>
        <w:tc>
          <w:tcPr>
            <w:tcW w:w="5093" w:type="dxa"/>
            <w:shd w:val="clear" w:color="auto" w:fill="auto"/>
            <w:vAlign w:val="center"/>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dxa"/>
            <w:shd w:val="clear" w:color="auto" w:fill="auto"/>
            <w:vAlign w:val="center"/>
          </w:tcPr>
          <w:p>
            <w:pPr>
              <w:pStyle w:val="84"/>
              <w:spacing w:line="360" w:lineRule="auto"/>
              <w:rPr>
                <w:sz w:val="24"/>
              </w:rPr>
            </w:pPr>
            <w:r>
              <w:rPr>
                <w:rFonts w:hint="eastAsia"/>
                <w:sz w:val="24"/>
              </w:rPr>
              <w:t>依据材料</w:t>
            </w:r>
          </w:p>
        </w:tc>
        <w:tc>
          <w:tcPr>
            <w:tcW w:w="8382" w:type="dxa"/>
            <w:gridSpan w:val="3"/>
            <w:shd w:val="clear" w:color="auto" w:fill="auto"/>
          </w:tcPr>
          <w:p>
            <w:pPr>
              <w:pStyle w:val="84"/>
              <w:spacing w:line="360" w:lineRule="auto"/>
              <w:jc w:val="left"/>
              <w:rPr>
                <w:sz w:val="24"/>
              </w:rPr>
            </w:pPr>
            <w:r>
              <w:rPr>
                <w:rFonts w:hint="eastAsia"/>
                <w:sz w:val="24"/>
              </w:rPr>
              <w:t>设计人员应根据可再生能源发电系统设计施工图，结合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。若未设置可再生能源发电系统，则删去此条不再列出。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30" w:type="dxa"/>
            <w:shd w:val="clear" w:color="auto" w:fill="auto"/>
            <w:vAlign w:val="center"/>
          </w:tcPr>
          <w:p>
            <w:pPr>
              <w:pStyle w:val="84"/>
              <w:spacing w:line="360" w:lineRule="auto"/>
              <w:rPr>
                <w:sz w:val="24"/>
              </w:rPr>
            </w:pPr>
            <w:r>
              <w:rPr>
                <w:rFonts w:hint="eastAsia"/>
                <w:sz w:val="24"/>
              </w:rPr>
              <w:t>备注</w:t>
            </w:r>
          </w:p>
        </w:tc>
        <w:tc>
          <w:tcPr>
            <w:tcW w:w="8382" w:type="dxa"/>
            <w:gridSpan w:val="3"/>
            <w:shd w:val="clear" w:color="auto" w:fill="auto"/>
          </w:tcPr>
          <w:p>
            <w:pPr>
              <w:pStyle w:val="84"/>
              <w:spacing w:line="360" w:lineRule="auto"/>
              <w:jc w:val="left"/>
              <w:rPr>
                <w:sz w:val="24"/>
              </w:rPr>
            </w:pPr>
            <w:r>
              <w:rPr>
                <w:rFonts w:hint="eastAsia"/>
                <w:sz w:val="24"/>
              </w:rPr>
              <w:t>本条为基本要求，必须满足。</w:t>
            </w:r>
          </w:p>
        </w:tc>
      </w:tr>
    </w:tbl>
    <w:p>
      <w:pPr>
        <w:spacing w:line="360" w:lineRule="auto"/>
        <w:rPr>
          <w:rFonts w:asciiTheme="minorEastAsia" w:hAnsiTheme="minorEastAsia" w:eastAsiaTheme="minorEastAsia"/>
          <w:sz w:val="24"/>
        </w:rPr>
      </w:pPr>
    </w:p>
    <w:p>
      <w:pPr>
        <w:pStyle w:val="17"/>
        <w:spacing w:line="360" w:lineRule="auto"/>
        <w:ind w:firstLine="482"/>
        <w:rPr>
          <w:sz w:val="24"/>
        </w:rPr>
      </w:pPr>
      <w:r>
        <w:rPr>
          <w:rFonts w:hint="eastAsia" w:asciiTheme="minorEastAsia" w:hAnsiTheme="minorEastAsia" w:eastAsiaTheme="minorEastAsia"/>
          <w:b/>
          <w:sz w:val="24"/>
        </w:rPr>
        <w:t xml:space="preserve">一般项内容： </w:t>
      </w:r>
      <w:r>
        <w:rPr>
          <w:rFonts w:hint="eastAsia" w:asciiTheme="minorEastAsia" w:hAnsiTheme="minorEastAsia" w:eastAsiaTheme="minorEastAsia"/>
          <w:sz w:val="24"/>
        </w:rPr>
        <w:t>本栏各条为DB33/1092-2021的各星级要求及DB33/1036-2021的要求，可根据绿色建筑的星级要求、节能要求选择性满足。</w:t>
      </w:r>
    </w:p>
    <w:p>
      <w:pPr>
        <w:spacing w:line="360" w:lineRule="auto"/>
        <w:ind w:firstLine="420"/>
        <w:rPr>
          <w:rFonts w:asciiTheme="minorEastAsia" w:hAnsiTheme="minorEastAsia" w:eastAsiaTheme="minorEastAsia"/>
          <w:bCs/>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 各变配电所低压最大供电半径：      米。</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（注：低压最大供电半径是指低压侧母线至最末端配电（电控）箱的线路长度）</w:t>
      </w:r>
    </w:p>
    <w:tbl>
      <w:tblPr>
        <w:tblStyle w:val="44"/>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1981"/>
        <w:gridCol w:w="1499"/>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259" w:type="dxa"/>
            <w:shd w:val="clear" w:color="auto" w:fill="auto"/>
            <w:vAlign w:val="center"/>
          </w:tcPr>
          <w:p>
            <w:pPr>
              <w:pStyle w:val="84"/>
              <w:spacing w:line="360" w:lineRule="auto"/>
              <w:rPr>
                <w:sz w:val="24"/>
              </w:rPr>
            </w:pPr>
            <w:r>
              <w:rPr>
                <w:rFonts w:hint="eastAsia"/>
                <w:sz w:val="24"/>
              </w:rPr>
              <w:t>条文来源</w:t>
            </w:r>
          </w:p>
        </w:tc>
        <w:tc>
          <w:tcPr>
            <w:tcW w:w="1981" w:type="dxa"/>
            <w:shd w:val="clear" w:color="auto" w:fill="auto"/>
            <w:vAlign w:val="center"/>
          </w:tcPr>
          <w:p>
            <w:pPr>
              <w:pStyle w:val="84"/>
              <w:spacing w:line="360" w:lineRule="auto"/>
              <w:rPr>
                <w:sz w:val="24"/>
              </w:rPr>
            </w:pPr>
            <w:r>
              <w:rPr>
                <w:rFonts w:hint="eastAsia"/>
                <w:sz w:val="24"/>
              </w:rPr>
              <w:t>DB33/1092-2021</w:t>
            </w:r>
          </w:p>
        </w:tc>
        <w:tc>
          <w:tcPr>
            <w:tcW w:w="1499" w:type="dxa"/>
            <w:shd w:val="clear" w:color="auto" w:fill="auto"/>
          </w:tcPr>
          <w:p>
            <w:pPr>
              <w:pStyle w:val="84"/>
              <w:spacing w:line="360" w:lineRule="auto"/>
              <w:rPr>
                <w:sz w:val="24"/>
              </w:rPr>
            </w:pPr>
            <w:r>
              <w:rPr>
                <w:rFonts w:hint="eastAsia"/>
                <w:sz w:val="24"/>
              </w:rPr>
              <w:t>9.2.1条、</w:t>
            </w:r>
          </w:p>
          <w:p>
            <w:pPr>
              <w:pStyle w:val="84"/>
              <w:spacing w:line="360" w:lineRule="auto"/>
              <w:rPr>
                <w:sz w:val="24"/>
              </w:rPr>
            </w:pPr>
            <w:r>
              <w:rPr>
                <w:rFonts w:hint="eastAsia"/>
                <w:sz w:val="24"/>
              </w:rPr>
              <w:t>9.4.1条</w:t>
            </w:r>
          </w:p>
        </w:tc>
        <w:tc>
          <w:tcPr>
            <w:tcW w:w="4819" w:type="dxa"/>
            <w:shd w:val="clear" w:color="auto" w:fill="auto"/>
            <w:vAlign w:val="center"/>
          </w:tcPr>
          <w:p>
            <w:pPr>
              <w:pStyle w:val="84"/>
              <w:spacing w:line="360" w:lineRule="auto"/>
              <w:rPr>
                <w:sz w:val="24"/>
              </w:rPr>
            </w:pPr>
            <w:r>
              <w:rPr>
                <w:rFonts w:hint="eastAsia"/>
                <w:sz w:val="24"/>
              </w:rPr>
              <w:t>一星级、三星级设计要求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shd w:val="clear" w:color="auto" w:fill="auto"/>
            <w:vAlign w:val="center"/>
          </w:tcPr>
          <w:p>
            <w:pPr>
              <w:pStyle w:val="84"/>
              <w:spacing w:line="360" w:lineRule="auto"/>
              <w:rPr>
                <w:sz w:val="24"/>
              </w:rPr>
            </w:pPr>
            <w:r>
              <w:rPr>
                <w:rFonts w:hint="eastAsia"/>
                <w:sz w:val="24"/>
              </w:rPr>
              <w:t>依据材料</w:t>
            </w:r>
          </w:p>
        </w:tc>
        <w:tc>
          <w:tcPr>
            <w:tcW w:w="8299" w:type="dxa"/>
            <w:gridSpan w:val="3"/>
            <w:shd w:val="clear" w:color="auto" w:fill="auto"/>
          </w:tcPr>
          <w:p>
            <w:pPr>
              <w:pStyle w:val="84"/>
              <w:spacing w:line="360" w:lineRule="auto"/>
              <w:jc w:val="left"/>
              <w:rPr>
                <w:sz w:val="24"/>
              </w:rPr>
            </w:pPr>
            <w:r>
              <w:rPr>
                <w:rFonts w:hint="eastAsia"/>
                <w:sz w:val="24"/>
              </w:rPr>
              <w:t>设计人员应根据</w:t>
            </w:r>
            <w:r>
              <w:rPr>
                <w:sz w:val="24"/>
              </w:rPr>
              <w:t>项目</w:t>
            </w:r>
            <w:r>
              <w:rPr>
                <w:rFonts w:hint="eastAsia"/>
                <w:sz w:val="24"/>
              </w:rPr>
              <w:t>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shd w:val="clear" w:color="auto" w:fill="auto"/>
            <w:vAlign w:val="center"/>
          </w:tcPr>
          <w:p>
            <w:pPr>
              <w:pStyle w:val="84"/>
              <w:spacing w:line="360" w:lineRule="auto"/>
              <w:rPr>
                <w:sz w:val="24"/>
              </w:rPr>
            </w:pPr>
            <w:r>
              <w:rPr>
                <w:rFonts w:hint="eastAsia"/>
                <w:sz w:val="24"/>
              </w:rPr>
              <w:t>备注</w:t>
            </w:r>
          </w:p>
        </w:tc>
        <w:tc>
          <w:tcPr>
            <w:tcW w:w="8299" w:type="dxa"/>
            <w:gridSpan w:val="3"/>
            <w:shd w:val="clear" w:color="auto" w:fill="auto"/>
          </w:tcPr>
          <w:p>
            <w:pPr>
              <w:pStyle w:val="84"/>
              <w:spacing w:line="360" w:lineRule="auto"/>
              <w:jc w:val="left"/>
              <w:rPr>
                <w:sz w:val="24"/>
              </w:rPr>
            </w:pPr>
            <w:r>
              <w:rPr>
                <w:sz w:val="24"/>
              </w:rPr>
              <w:t>填写时</w:t>
            </w:r>
            <w:r>
              <w:rPr>
                <w:rFonts w:hint="eastAsia"/>
                <w:sz w:val="24"/>
              </w:rPr>
              <w:t>需注意正确理解、测算供电半径，它是指电气距离，而非空间距离，也即各级配电线路长度之和。对于有多个变电所的项目，应分别填写各变电所的最远供电半径。若采用低压供电，仍需填写供电变压器对本项目的供电半径。</w:t>
            </w:r>
          </w:p>
          <w:p>
            <w:pPr>
              <w:pStyle w:val="84"/>
              <w:spacing w:line="360" w:lineRule="auto"/>
              <w:jc w:val="left"/>
              <w:rPr>
                <w:sz w:val="24"/>
              </w:rPr>
            </w:pPr>
            <w:r>
              <w:rPr>
                <w:rFonts w:hint="eastAsia"/>
                <w:sz w:val="24"/>
              </w:rPr>
              <w:t>减小供电半径可显著减少线缆投资和线路损耗。</w:t>
            </w:r>
          </w:p>
          <w:p>
            <w:pPr>
              <w:pStyle w:val="84"/>
              <w:spacing w:line="360" w:lineRule="auto"/>
              <w:jc w:val="left"/>
              <w:rPr>
                <w:sz w:val="24"/>
              </w:rPr>
            </w:pPr>
            <w:r>
              <w:rPr>
                <w:rFonts w:hint="eastAsia"/>
                <w:sz w:val="24"/>
              </w:rPr>
              <w:t>标准 DB33/1092-2021 规定：一星级不宜大于250米，三星级不宜大于150米。</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w:t>
      </w:r>
      <w:r>
        <w:rPr>
          <w:rFonts w:asciiTheme="minorEastAsia" w:hAnsiTheme="minorEastAsia" w:eastAsiaTheme="minorEastAsia"/>
          <w:sz w:val="24"/>
          <w:lang w:val="en-GB"/>
        </w:rPr>
        <w:t>变压器</w:t>
      </w:r>
      <w:r>
        <w:rPr>
          <w:rFonts w:hint="eastAsia" w:asciiTheme="minorEastAsia" w:hAnsiTheme="minorEastAsia" w:eastAsiaTheme="minorEastAsia"/>
          <w:sz w:val="24"/>
          <w:lang w:val="en-GB"/>
        </w:rPr>
        <w:t>的</w:t>
      </w:r>
      <w:r>
        <w:rPr>
          <w:rFonts w:asciiTheme="minorEastAsia" w:hAnsiTheme="minorEastAsia" w:eastAsiaTheme="minorEastAsia"/>
          <w:sz w:val="24"/>
          <w:lang w:val="en-GB"/>
        </w:rPr>
        <w:t>能效</w:t>
      </w:r>
      <w:r>
        <w:rPr>
          <w:rFonts w:hint="eastAsia" w:asciiTheme="minorEastAsia" w:hAnsiTheme="minorEastAsia" w:eastAsiaTheme="minorEastAsia"/>
          <w:sz w:val="24"/>
          <w:lang w:val="en-GB"/>
        </w:rPr>
        <w:t>等级：    级；变压器的接线组别：         。</w:t>
      </w:r>
    </w:p>
    <w:tbl>
      <w:tblPr>
        <w:tblStyle w:val="44"/>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052"/>
        <w:gridCol w:w="2539"/>
        <w:gridCol w:w="3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204" w:type="dxa"/>
            <w:shd w:val="clear" w:color="auto" w:fill="auto"/>
            <w:vAlign w:val="center"/>
          </w:tcPr>
          <w:p>
            <w:pPr>
              <w:pStyle w:val="84"/>
              <w:spacing w:line="360" w:lineRule="auto"/>
              <w:rPr>
                <w:sz w:val="24"/>
              </w:rPr>
            </w:pPr>
            <w:r>
              <w:rPr>
                <w:rFonts w:hint="eastAsia"/>
                <w:sz w:val="24"/>
              </w:rPr>
              <w:t>条文来源</w:t>
            </w:r>
          </w:p>
        </w:tc>
        <w:tc>
          <w:tcPr>
            <w:tcW w:w="2052" w:type="dxa"/>
            <w:shd w:val="clear" w:color="auto" w:fill="auto"/>
            <w:vAlign w:val="center"/>
          </w:tcPr>
          <w:p>
            <w:pPr>
              <w:pStyle w:val="84"/>
              <w:spacing w:line="360" w:lineRule="auto"/>
              <w:rPr>
                <w:sz w:val="24"/>
              </w:rPr>
            </w:pPr>
            <w:r>
              <w:rPr>
                <w:rFonts w:hint="eastAsia"/>
                <w:sz w:val="24"/>
              </w:rPr>
              <w:t>DB33/1092-2021</w:t>
            </w:r>
          </w:p>
        </w:tc>
        <w:tc>
          <w:tcPr>
            <w:tcW w:w="2539" w:type="dxa"/>
            <w:shd w:val="clear" w:color="auto" w:fill="auto"/>
          </w:tcPr>
          <w:p>
            <w:pPr>
              <w:pStyle w:val="84"/>
              <w:spacing w:line="360" w:lineRule="auto"/>
              <w:rPr>
                <w:sz w:val="24"/>
              </w:rPr>
            </w:pPr>
            <w:r>
              <w:rPr>
                <w:rFonts w:hint="eastAsia"/>
                <w:sz w:val="24"/>
              </w:rPr>
              <w:t>9.2.2条、9.3.1条、9</w:t>
            </w:r>
            <w:r>
              <w:rPr>
                <w:sz w:val="24"/>
              </w:rPr>
              <w:t>.4.2</w:t>
            </w:r>
            <w:r>
              <w:rPr>
                <w:rFonts w:hint="eastAsia"/>
                <w:sz w:val="24"/>
              </w:rPr>
              <w:t>条</w:t>
            </w:r>
          </w:p>
        </w:tc>
        <w:tc>
          <w:tcPr>
            <w:tcW w:w="3763" w:type="dxa"/>
            <w:shd w:val="clear" w:color="auto" w:fill="auto"/>
            <w:vAlign w:val="center"/>
          </w:tcPr>
          <w:p>
            <w:pPr>
              <w:pStyle w:val="84"/>
              <w:spacing w:line="360" w:lineRule="auto"/>
              <w:rPr>
                <w:sz w:val="24"/>
              </w:rPr>
            </w:pPr>
            <w:r>
              <w:rPr>
                <w:rFonts w:hint="eastAsia"/>
                <w:sz w:val="24"/>
              </w:rPr>
              <w:t>一星、二星、三星级设计要求。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shd w:val="clear" w:color="auto" w:fill="auto"/>
            <w:vAlign w:val="center"/>
          </w:tcPr>
          <w:p>
            <w:pPr>
              <w:pStyle w:val="84"/>
              <w:spacing w:line="360" w:lineRule="auto"/>
              <w:rPr>
                <w:sz w:val="24"/>
              </w:rPr>
            </w:pPr>
            <w:r>
              <w:rPr>
                <w:rFonts w:hint="eastAsia"/>
                <w:sz w:val="24"/>
              </w:rPr>
              <w:t>依据材料</w:t>
            </w:r>
          </w:p>
        </w:tc>
        <w:tc>
          <w:tcPr>
            <w:tcW w:w="8354" w:type="dxa"/>
            <w:gridSpan w:val="3"/>
            <w:shd w:val="clear" w:color="auto" w:fill="auto"/>
          </w:tcPr>
          <w:p>
            <w:pPr>
              <w:pStyle w:val="84"/>
              <w:spacing w:line="360" w:lineRule="auto"/>
              <w:jc w:val="left"/>
              <w:rPr>
                <w:sz w:val="24"/>
              </w:rPr>
            </w:pPr>
            <w:r>
              <w:rPr>
                <w:rFonts w:hint="eastAsia"/>
                <w:sz w:val="24"/>
              </w:rPr>
              <w:t>设计人员应根据变电所设计施工图，结合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p>
            <w:pPr>
              <w:autoSpaceDE w:val="0"/>
              <w:autoSpaceDN w:val="0"/>
              <w:adjustRightInd w:val="0"/>
              <w:spacing w:line="360" w:lineRule="auto"/>
              <w:jc w:val="left"/>
              <w:rPr>
                <w:rFonts w:hAnsi="宋体"/>
                <w:sz w:val="24"/>
              </w:rPr>
            </w:pPr>
            <w:r>
              <w:rPr>
                <w:rFonts w:hint="eastAsia" w:hAnsi="宋体"/>
                <w:sz w:val="24"/>
              </w:rPr>
              <w:t>选用多种型号变压器时，应分别填写。</w:t>
            </w:r>
          </w:p>
          <w:p>
            <w:pPr>
              <w:pStyle w:val="84"/>
              <w:spacing w:line="360" w:lineRule="auto"/>
              <w:jc w:val="left"/>
              <w:rPr>
                <w:sz w:val="24"/>
              </w:rPr>
            </w:pPr>
            <w:r>
              <w:rPr>
                <w:rFonts w:hint="eastAsia" w:hAnsi="宋体"/>
                <w:sz w:val="24"/>
              </w:rPr>
              <w:t>若采用低压供电，本条不填写。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shd w:val="clear" w:color="auto" w:fill="auto"/>
            <w:vAlign w:val="center"/>
          </w:tcPr>
          <w:p>
            <w:pPr>
              <w:pStyle w:val="84"/>
              <w:spacing w:line="360" w:lineRule="auto"/>
              <w:rPr>
                <w:sz w:val="24"/>
              </w:rPr>
            </w:pPr>
            <w:r>
              <w:rPr>
                <w:rFonts w:hint="eastAsia"/>
                <w:sz w:val="24"/>
              </w:rPr>
              <w:t>备注</w:t>
            </w:r>
          </w:p>
        </w:tc>
        <w:tc>
          <w:tcPr>
            <w:tcW w:w="8354" w:type="dxa"/>
            <w:gridSpan w:val="3"/>
            <w:shd w:val="clear" w:color="auto" w:fill="auto"/>
          </w:tcPr>
          <w:p>
            <w:pPr>
              <w:pStyle w:val="84"/>
              <w:spacing w:line="360" w:lineRule="auto"/>
              <w:jc w:val="left"/>
              <w:rPr>
                <w:sz w:val="24"/>
              </w:rPr>
            </w:pPr>
            <w:r>
              <w:rPr>
                <w:rFonts w:hint="eastAsia"/>
                <w:sz w:val="24"/>
              </w:rPr>
              <w:t>变压器自身的损耗量可观，故加以限制。</w:t>
            </w:r>
          </w:p>
          <w:p>
            <w:pPr>
              <w:pStyle w:val="84"/>
              <w:spacing w:line="360" w:lineRule="auto"/>
              <w:jc w:val="left"/>
              <w:rPr>
                <w:sz w:val="24"/>
              </w:rPr>
            </w:pPr>
            <w:r>
              <w:rPr>
                <w:rFonts w:hint="eastAsia"/>
                <w:sz w:val="24"/>
              </w:rPr>
              <w:t>标准DB33/1092-2021规定：一星级要求，</w:t>
            </w:r>
            <w:r>
              <w:rPr>
                <w:sz w:val="24"/>
              </w:rPr>
              <w:t>变压器</w:t>
            </w:r>
            <w:r>
              <w:rPr>
                <w:rFonts w:hint="eastAsia"/>
                <w:sz w:val="24"/>
              </w:rPr>
              <w:t>的</w:t>
            </w:r>
            <w:r>
              <w:rPr>
                <w:sz w:val="24"/>
              </w:rPr>
              <w:t>能效</w:t>
            </w:r>
            <w:r>
              <w:rPr>
                <w:rFonts w:hint="eastAsia"/>
                <w:sz w:val="24"/>
              </w:rPr>
              <w:t>等级</w:t>
            </w:r>
            <w:r>
              <w:rPr>
                <w:sz w:val="24"/>
              </w:rPr>
              <w:t>不应低于现行国家标准《电</w:t>
            </w:r>
            <w:r>
              <w:rPr>
                <w:rFonts w:hint="eastAsia"/>
                <w:sz w:val="24"/>
              </w:rPr>
              <w:t>力</w:t>
            </w:r>
            <w:r>
              <w:rPr>
                <w:sz w:val="24"/>
              </w:rPr>
              <w:t>变压器能效限定值及</w:t>
            </w:r>
            <w:r>
              <w:rPr>
                <w:rFonts w:hint="eastAsia"/>
                <w:sz w:val="24"/>
              </w:rPr>
              <w:t>能效等级</w:t>
            </w:r>
            <w:r>
              <w:rPr>
                <w:sz w:val="24"/>
              </w:rPr>
              <w:t>》GB 20052</w:t>
            </w:r>
            <w:r>
              <w:rPr>
                <w:rFonts w:hint="eastAsia"/>
                <w:sz w:val="24"/>
              </w:rPr>
              <w:t>规定的3级</w:t>
            </w:r>
            <w:r>
              <w:rPr>
                <w:sz w:val="24"/>
              </w:rPr>
              <w:t>；</w:t>
            </w:r>
            <w:r>
              <w:rPr>
                <w:rFonts w:hint="eastAsia"/>
                <w:sz w:val="24"/>
              </w:rPr>
              <w:t>二星级要求不低于2级；三星级要求</w:t>
            </w:r>
            <w:r>
              <w:rPr>
                <w:sz w:val="24"/>
              </w:rPr>
              <w:t>不应低于1</w:t>
            </w:r>
            <w:r>
              <w:rPr>
                <w:rFonts w:hint="eastAsia"/>
                <w:sz w:val="24"/>
              </w:rPr>
              <w:t>级。</w:t>
            </w:r>
          </w:p>
          <w:p>
            <w:pPr>
              <w:pStyle w:val="84"/>
              <w:spacing w:line="360" w:lineRule="auto"/>
              <w:jc w:val="left"/>
              <w:rPr>
                <w:sz w:val="24"/>
              </w:rPr>
            </w:pPr>
            <w:r>
              <w:rPr>
                <w:rFonts w:hint="eastAsia"/>
                <w:sz w:val="24"/>
              </w:rPr>
              <w:t>标准DB33/1092-2021规定：一星级要求，</w:t>
            </w:r>
            <w:r>
              <w:rPr>
                <w:sz w:val="24"/>
              </w:rPr>
              <w:t>配电变压器宜选用[D/Yn-11]的接线组别。</w:t>
            </w:r>
            <w:r>
              <w:rPr>
                <w:rFonts w:hint="eastAsia"/>
                <w:sz w:val="24"/>
              </w:rPr>
              <w:t>特殊用途的变压器可选择其他的接线组别。</w:t>
            </w:r>
          </w:p>
        </w:tc>
      </w:tr>
    </w:tbl>
    <w:p>
      <w:pPr>
        <w:spacing w:line="360" w:lineRule="auto"/>
        <w:ind w:firstLine="360" w:firstLineChars="150"/>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3、单相负荷经计算选择相位，最大相负荷不超过三相平均负荷的115％，最小不小于85％；</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避免</w:t>
      </w:r>
      <w:r>
        <w:rPr>
          <w:rFonts w:asciiTheme="minorEastAsia" w:hAnsiTheme="minorEastAsia" w:eastAsiaTheme="minorEastAsia"/>
          <w:sz w:val="24"/>
          <w:lang w:val="en-GB"/>
        </w:rPr>
        <w:t>同一类型的单相负荷集中</w:t>
      </w:r>
      <w:r>
        <w:rPr>
          <w:rFonts w:hint="eastAsia" w:asciiTheme="minorEastAsia" w:hAnsiTheme="minorEastAsia" w:eastAsiaTheme="minorEastAsia"/>
          <w:sz w:val="24"/>
          <w:lang w:val="en-GB"/>
        </w:rPr>
        <w:t>设</w:t>
      </w:r>
      <w:r>
        <w:rPr>
          <w:rFonts w:asciiTheme="minorEastAsia" w:hAnsiTheme="minorEastAsia" w:eastAsiaTheme="minorEastAsia"/>
          <w:sz w:val="24"/>
          <w:lang w:val="en-GB"/>
        </w:rPr>
        <w:t>于同一相上</w:t>
      </w:r>
      <w:r>
        <w:rPr>
          <w:rFonts w:hint="eastAsia" w:asciiTheme="minorEastAsia" w:hAnsiTheme="minorEastAsia" w:eastAsiaTheme="minorEastAsia"/>
          <w:sz w:val="24"/>
          <w:lang w:val="en-GB"/>
        </w:rPr>
        <w:t>。</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35"/>
        <w:gridCol w:w="4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条文来源</w:t>
            </w:r>
          </w:p>
        </w:tc>
        <w:tc>
          <w:tcPr>
            <w:tcW w:w="1588"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9.2.3条</w:t>
            </w:r>
          </w:p>
        </w:tc>
        <w:tc>
          <w:tcPr>
            <w:tcW w:w="4946"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依据材料</w:t>
            </w:r>
          </w:p>
        </w:tc>
        <w:tc>
          <w:tcPr>
            <w:tcW w:w="8107" w:type="dxa"/>
            <w:gridSpan w:val="3"/>
            <w:shd w:val="clear" w:color="auto" w:fill="auto"/>
          </w:tcPr>
          <w:p>
            <w:pPr>
              <w:pStyle w:val="84"/>
              <w:spacing w:line="360" w:lineRule="auto"/>
              <w:jc w:val="left"/>
              <w:rPr>
                <w:sz w:val="24"/>
              </w:rPr>
            </w:pPr>
            <w:r>
              <w:rPr>
                <w:rFonts w:hint="eastAsia"/>
                <w:sz w:val="24"/>
              </w:rPr>
              <w:t>设计人员应根据配电箱系统图，结合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备注</w:t>
            </w:r>
          </w:p>
        </w:tc>
        <w:tc>
          <w:tcPr>
            <w:tcW w:w="8107" w:type="dxa"/>
            <w:gridSpan w:val="3"/>
            <w:shd w:val="clear" w:color="auto" w:fill="auto"/>
          </w:tcPr>
          <w:p>
            <w:pPr>
              <w:pStyle w:val="84"/>
              <w:spacing w:line="360" w:lineRule="auto"/>
              <w:jc w:val="left"/>
              <w:rPr>
                <w:sz w:val="24"/>
              </w:rPr>
            </w:pPr>
            <w:r>
              <w:rPr>
                <w:sz w:val="24"/>
              </w:rPr>
              <w:t>三相不平衡会引起中性点漂移，电源电</w:t>
            </w:r>
            <w:r>
              <w:rPr>
                <w:rFonts w:hint="eastAsia"/>
                <w:sz w:val="24"/>
              </w:rPr>
              <w:t>能</w:t>
            </w:r>
            <w:r>
              <w:rPr>
                <w:sz w:val="24"/>
              </w:rPr>
              <w:t>质量下降，线损增大。对三相供电的用户，若照明或其它种类的单一、单相负荷都接在同一相上，平时运行很容易使供电干线甚至变压器</w:t>
            </w:r>
            <w:r>
              <w:rPr>
                <w:rFonts w:hint="eastAsia"/>
                <w:sz w:val="24"/>
              </w:rPr>
              <w:t>产生较大的三</w:t>
            </w:r>
            <w:r>
              <w:rPr>
                <w:sz w:val="24"/>
              </w:rPr>
              <w:t>相不平衡，故应予注意。</w:t>
            </w:r>
          </w:p>
          <w:p>
            <w:pPr>
              <w:pStyle w:val="84"/>
              <w:spacing w:line="360" w:lineRule="auto"/>
              <w:jc w:val="left"/>
              <w:rPr>
                <w:sz w:val="24"/>
              </w:rPr>
            </w:pPr>
            <w:r>
              <w:rPr>
                <w:rFonts w:hint="eastAsia" w:hAnsi="宋体"/>
                <w:sz w:val="24"/>
              </w:rPr>
              <w:t>本条为一星级设计要求。</w:t>
            </w:r>
          </w:p>
        </w:tc>
      </w:tr>
    </w:tbl>
    <w:p>
      <w:pPr>
        <w:spacing w:line="360" w:lineRule="auto"/>
        <w:rPr>
          <w:rFonts w:asciiTheme="minorEastAsia" w:hAnsiTheme="minorEastAsia" w:eastAsiaTheme="minorEastAsia"/>
          <w:sz w:val="24"/>
        </w:rPr>
      </w:pPr>
    </w:p>
    <w:p>
      <w:pPr>
        <w:spacing w:line="360" w:lineRule="auto"/>
        <w:ind w:firstLine="228" w:firstLineChars="95"/>
        <w:rPr>
          <w:sz w:val="24"/>
          <w:lang w:val="en-GB"/>
        </w:rPr>
      </w:pPr>
      <w:r>
        <w:rPr>
          <w:rFonts w:hint="eastAsia"/>
          <w:sz w:val="24"/>
          <w:lang w:val="en-GB"/>
        </w:rPr>
        <w:t>4、采用集中无功补偿；</w:t>
      </w:r>
    </w:p>
    <w:p>
      <w:pPr>
        <w:pStyle w:val="272"/>
        <w:spacing w:line="360" w:lineRule="auto"/>
        <w:rPr>
          <w:sz w:val="24"/>
          <w:lang w:val="en-GB"/>
        </w:rPr>
      </w:pPr>
      <w:r>
        <w:rPr>
          <w:rFonts w:hint="eastAsia"/>
          <w:sz w:val="24"/>
          <w:lang w:val="en-GB"/>
        </w:rPr>
        <w:t>设置适当容量的分相无功补偿；</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设置就地无功补偿。</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35"/>
        <w:gridCol w:w="4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条文来源</w:t>
            </w:r>
          </w:p>
        </w:tc>
        <w:tc>
          <w:tcPr>
            <w:tcW w:w="1588"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9.2.4条</w:t>
            </w:r>
          </w:p>
        </w:tc>
        <w:tc>
          <w:tcPr>
            <w:tcW w:w="4946"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依据材料</w:t>
            </w:r>
          </w:p>
        </w:tc>
        <w:tc>
          <w:tcPr>
            <w:tcW w:w="8107" w:type="dxa"/>
            <w:gridSpan w:val="3"/>
            <w:shd w:val="clear" w:color="auto" w:fill="auto"/>
          </w:tcPr>
          <w:p>
            <w:pPr>
              <w:pStyle w:val="84"/>
              <w:spacing w:line="360" w:lineRule="auto"/>
              <w:jc w:val="left"/>
              <w:rPr>
                <w:sz w:val="24"/>
              </w:rPr>
            </w:pPr>
            <w:r>
              <w:rPr>
                <w:rFonts w:hint="eastAsia"/>
                <w:sz w:val="24"/>
              </w:rPr>
              <w:t>设计人员应根据变电所设计施工图、配电箱系统图，结合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本条各项应根据工程的实际情况、合理地选择，避免生搬硬套。例如：专供冷冻机房的变电所，绝大部分是三相负荷，不需要设分相无功补偿；一些项目并不适合采用就地补偿。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备注</w:t>
            </w:r>
          </w:p>
        </w:tc>
        <w:tc>
          <w:tcPr>
            <w:tcW w:w="8107" w:type="dxa"/>
            <w:gridSpan w:val="3"/>
            <w:shd w:val="clear" w:color="auto" w:fill="auto"/>
          </w:tcPr>
          <w:p>
            <w:pPr>
              <w:pStyle w:val="84"/>
              <w:spacing w:line="360" w:lineRule="auto"/>
              <w:jc w:val="left"/>
              <w:rPr>
                <w:sz w:val="24"/>
              </w:rPr>
            </w:pPr>
            <w:r>
              <w:rPr>
                <w:rFonts w:hint="eastAsia"/>
                <w:sz w:val="24"/>
              </w:rPr>
              <w:t>无功补偿是提高功率因数、降低线路电流的重要措施之一。</w:t>
            </w:r>
          </w:p>
          <w:p>
            <w:pPr>
              <w:pStyle w:val="84"/>
              <w:spacing w:line="360" w:lineRule="auto"/>
              <w:jc w:val="left"/>
              <w:rPr>
                <w:sz w:val="24"/>
              </w:rPr>
            </w:pPr>
            <w:r>
              <w:rPr>
                <w:rFonts w:hint="eastAsia"/>
                <w:sz w:val="24"/>
              </w:rPr>
              <w:t>另外，参考《工业与民用供配电设计手册》（第四版）的负荷计算，“当单相负荷容量不大于三相负荷容量的15%时，单相、三相负荷可直接相加”。在这种情况下，在把单相负荷均衡分配到三相后可认为是三相平衡的系统，此时不需要设分相无功补偿。</w:t>
            </w:r>
          </w:p>
          <w:p>
            <w:pPr>
              <w:pStyle w:val="84"/>
              <w:spacing w:line="360" w:lineRule="auto"/>
              <w:jc w:val="left"/>
              <w:rPr>
                <w:sz w:val="24"/>
              </w:rPr>
            </w:pPr>
            <w:r>
              <w:rPr>
                <w:rFonts w:hint="eastAsia" w:hAnsi="宋体"/>
                <w:sz w:val="24"/>
              </w:rPr>
              <w:t>本条为一星级设计要求。</w:t>
            </w:r>
          </w:p>
        </w:tc>
      </w:tr>
    </w:tbl>
    <w:p>
      <w:pPr>
        <w:spacing w:line="360" w:lineRule="auto"/>
        <w:ind w:firstLine="360" w:firstLineChars="150"/>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5、谐波防治：</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w:t>
      </w:r>
      <w:r>
        <w:rPr>
          <w:rFonts w:asciiTheme="minorEastAsia" w:hAnsiTheme="minorEastAsia" w:eastAsiaTheme="minorEastAsia"/>
          <w:sz w:val="24"/>
          <w:lang w:val="en-GB"/>
        </w:rPr>
        <w:t>选用用电设备的谐波电流限值满足现行国家标准《电磁兼容限值谐波电流发射限值</w:t>
      </w:r>
      <w:r>
        <w:rPr>
          <w:rFonts w:hint="eastAsia" w:asciiTheme="minorEastAsia" w:hAnsiTheme="minorEastAsia" w:eastAsiaTheme="minorEastAsia"/>
          <w:sz w:val="24"/>
          <w:lang w:val="en-GB"/>
        </w:rPr>
        <w:t>（设备每相输入电流≤16A）</w:t>
      </w:r>
      <w:r>
        <w:rPr>
          <w:rFonts w:asciiTheme="minorEastAsia" w:hAnsiTheme="minorEastAsia" w:eastAsiaTheme="minorEastAsia"/>
          <w:sz w:val="24"/>
          <w:lang w:val="en-GB"/>
        </w:rPr>
        <w:t>》GB 17625.1的要求</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（2）在</w:t>
      </w:r>
      <w:r>
        <w:rPr>
          <w:rFonts w:asciiTheme="minorEastAsia" w:hAnsiTheme="minorEastAsia" w:eastAsiaTheme="minorEastAsia"/>
          <w:sz w:val="24"/>
          <w:lang w:val="en-GB"/>
        </w:rPr>
        <w:t>变电所对供电系统进行谐波监测</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（3）</w:t>
      </w:r>
      <w:r>
        <w:rPr>
          <w:rFonts w:asciiTheme="minorEastAsia" w:hAnsiTheme="minorEastAsia" w:eastAsiaTheme="minorEastAsia"/>
          <w:sz w:val="24"/>
          <w:lang w:val="en-GB"/>
        </w:rPr>
        <w:t>无功补偿电容串接电抗器，防止谐波放大</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（4）</w:t>
      </w:r>
      <w:r>
        <w:rPr>
          <w:rFonts w:asciiTheme="minorEastAsia" w:hAnsiTheme="minorEastAsia" w:eastAsiaTheme="minorEastAsia"/>
          <w:sz w:val="24"/>
          <w:lang w:val="en-GB"/>
        </w:rPr>
        <w:t>功率较大、谐波严重的设备，由变电所专线供电</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（5）</w:t>
      </w:r>
      <w:r>
        <w:rPr>
          <w:rFonts w:asciiTheme="minorEastAsia" w:hAnsiTheme="minorEastAsia" w:eastAsiaTheme="minorEastAsia"/>
          <w:sz w:val="24"/>
          <w:lang w:val="en-GB"/>
        </w:rPr>
        <w:t>在变电所设置无/有源滤波器，或预留柜位，待系统正式运行</w:t>
      </w:r>
      <w:r>
        <w:rPr>
          <w:rFonts w:hint="eastAsia" w:asciiTheme="minorEastAsia" w:hAnsiTheme="minorEastAsia" w:eastAsiaTheme="minorEastAsia"/>
          <w:sz w:val="24"/>
          <w:lang w:val="en-GB"/>
        </w:rPr>
        <w:t>、对谐波</w:t>
      </w:r>
      <w:r>
        <w:rPr>
          <w:rFonts w:asciiTheme="minorEastAsia" w:hAnsiTheme="minorEastAsia" w:eastAsiaTheme="minorEastAsia"/>
          <w:sz w:val="24"/>
          <w:lang w:val="en-GB"/>
        </w:rPr>
        <w:t>实测</w:t>
      </w:r>
      <w:r>
        <w:rPr>
          <w:rFonts w:hint="eastAsia" w:asciiTheme="minorEastAsia" w:hAnsiTheme="minorEastAsia" w:eastAsiaTheme="minorEastAsia"/>
          <w:sz w:val="24"/>
          <w:lang w:val="en-GB"/>
        </w:rPr>
        <w:t>后</w:t>
      </w:r>
      <w:r>
        <w:rPr>
          <w:rFonts w:asciiTheme="minorEastAsia" w:hAnsiTheme="minorEastAsia" w:eastAsiaTheme="minorEastAsia"/>
          <w:sz w:val="24"/>
          <w:lang w:val="en-GB"/>
        </w:rPr>
        <w:t>确定型号规格</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（6）</w:t>
      </w:r>
      <w:r>
        <w:rPr>
          <w:rFonts w:asciiTheme="minorEastAsia" w:hAnsiTheme="minorEastAsia" w:eastAsiaTheme="minorEastAsia"/>
          <w:sz w:val="24"/>
          <w:lang w:val="en-GB"/>
        </w:rPr>
        <w:t>选用用电设备的谐波电流限值满足现行国家标准《电磁兼容限值对额定电流大于16A的设备在低压供电系统中产生的谐波电流的限制》GB/Z 17625.6</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（7）</w:t>
      </w:r>
      <w:r>
        <w:rPr>
          <w:rFonts w:asciiTheme="minorEastAsia" w:hAnsiTheme="minorEastAsia" w:eastAsiaTheme="minorEastAsia"/>
          <w:sz w:val="24"/>
          <w:lang w:val="en-GB"/>
        </w:rPr>
        <w:t>谐波源较大</w:t>
      </w:r>
      <w:r>
        <w:rPr>
          <w:rFonts w:hint="eastAsia" w:asciiTheme="minorEastAsia" w:hAnsiTheme="minorEastAsia" w:eastAsiaTheme="minorEastAsia"/>
          <w:sz w:val="24"/>
          <w:lang w:val="en-GB"/>
        </w:rPr>
        <w:t>的</w:t>
      </w:r>
      <w:r>
        <w:rPr>
          <w:rFonts w:asciiTheme="minorEastAsia" w:hAnsiTheme="minorEastAsia" w:eastAsiaTheme="minorEastAsia"/>
          <w:sz w:val="24"/>
          <w:lang w:val="en-GB"/>
        </w:rPr>
        <w:t>设备，就地设置谐波抑制装置；</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 xml:space="preserve">其它谐波防治措施简述：         </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1896"/>
        <w:gridCol w:w="1552"/>
        <w:gridCol w:w="4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restart"/>
            <w:shd w:val="clear" w:color="auto" w:fill="auto"/>
            <w:vAlign w:val="center"/>
          </w:tcPr>
          <w:p>
            <w:pPr>
              <w:pStyle w:val="84"/>
              <w:spacing w:line="360" w:lineRule="auto"/>
              <w:rPr>
                <w:sz w:val="24"/>
              </w:rPr>
            </w:pPr>
            <w:r>
              <w:rPr>
                <w:rFonts w:hint="eastAsia"/>
                <w:sz w:val="24"/>
              </w:rPr>
              <w:t>条文来源</w:t>
            </w:r>
          </w:p>
        </w:tc>
        <w:tc>
          <w:tcPr>
            <w:tcW w:w="1729" w:type="dxa"/>
            <w:vMerge w:val="restart"/>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tcPr>
          <w:p>
            <w:pPr>
              <w:pStyle w:val="84"/>
              <w:spacing w:line="360" w:lineRule="auto"/>
              <w:rPr>
                <w:sz w:val="24"/>
              </w:rPr>
            </w:pPr>
            <w:r>
              <w:rPr>
                <w:rFonts w:hint="eastAsia"/>
                <w:sz w:val="24"/>
              </w:rPr>
              <w:t>9.2.5条</w:t>
            </w:r>
          </w:p>
        </w:tc>
        <w:tc>
          <w:tcPr>
            <w:tcW w:w="4946" w:type="dxa"/>
            <w:shd w:val="clear" w:color="auto" w:fill="auto"/>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shd w:val="clear" w:color="auto" w:fill="auto"/>
            <w:vAlign w:val="center"/>
          </w:tcPr>
          <w:p>
            <w:pPr>
              <w:pStyle w:val="84"/>
              <w:spacing w:line="360" w:lineRule="auto"/>
              <w:rPr>
                <w:sz w:val="24"/>
              </w:rPr>
            </w:pPr>
          </w:p>
        </w:tc>
        <w:tc>
          <w:tcPr>
            <w:tcW w:w="1729" w:type="dxa"/>
            <w:vMerge w:val="continue"/>
            <w:shd w:val="clear" w:color="auto" w:fill="auto"/>
          </w:tcPr>
          <w:p>
            <w:pPr>
              <w:pStyle w:val="84"/>
              <w:spacing w:line="360" w:lineRule="auto"/>
              <w:rPr>
                <w:sz w:val="24"/>
              </w:rPr>
            </w:pPr>
          </w:p>
        </w:tc>
        <w:tc>
          <w:tcPr>
            <w:tcW w:w="1573" w:type="dxa"/>
            <w:shd w:val="clear" w:color="auto" w:fill="auto"/>
          </w:tcPr>
          <w:p>
            <w:pPr>
              <w:pStyle w:val="84"/>
              <w:spacing w:line="360" w:lineRule="auto"/>
              <w:rPr>
                <w:sz w:val="24"/>
              </w:rPr>
            </w:pPr>
            <w:r>
              <w:rPr>
                <w:rFonts w:hint="eastAsia"/>
                <w:sz w:val="24"/>
              </w:rPr>
              <w:t>9.3.2条</w:t>
            </w:r>
          </w:p>
        </w:tc>
        <w:tc>
          <w:tcPr>
            <w:tcW w:w="4946" w:type="dxa"/>
            <w:shd w:val="clear" w:color="auto" w:fill="auto"/>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vMerge w:val="continue"/>
            <w:shd w:val="clear" w:color="auto" w:fill="auto"/>
            <w:vAlign w:val="center"/>
          </w:tcPr>
          <w:p>
            <w:pPr>
              <w:pStyle w:val="84"/>
              <w:spacing w:line="360" w:lineRule="auto"/>
              <w:rPr>
                <w:sz w:val="24"/>
              </w:rPr>
            </w:pPr>
          </w:p>
        </w:tc>
        <w:tc>
          <w:tcPr>
            <w:tcW w:w="1729" w:type="dxa"/>
            <w:vMerge w:val="continue"/>
            <w:shd w:val="clear" w:color="auto" w:fill="auto"/>
          </w:tcPr>
          <w:p>
            <w:pPr>
              <w:pStyle w:val="84"/>
              <w:spacing w:line="360" w:lineRule="auto"/>
              <w:rPr>
                <w:sz w:val="24"/>
              </w:rPr>
            </w:pPr>
          </w:p>
        </w:tc>
        <w:tc>
          <w:tcPr>
            <w:tcW w:w="1573" w:type="dxa"/>
            <w:shd w:val="clear" w:color="auto" w:fill="auto"/>
          </w:tcPr>
          <w:p>
            <w:pPr>
              <w:pStyle w:val="84"/>
              <w:spacing w:line="360" w:lineRule="auto"/>
              <w:rPr>
                <w:sz w:val="24"/>
              </w:rPr>
            </w:pPr>
            <w:r>
              <w:rPr>
                <w:rFonts w:hint="eastAsia"/>
                <w:sz w:val="24"/>
              </w:rPr>
              <w:t>9.4.</w:t>
            </w:r>
            <w:r>
              <w:rPr>
                <w:sz w:val="24"/>
              </w:rPr>
              <w:t>3</w:t>
            </w:r>
            <w:r>
              <w:rPr>
                <w:rFonts w:hint="eastAsia"/>
                <w:sz w:val="24"/>
              </w:rPr>
              <w:t>条</w:t>
            </w:r>
          </w:p>
        </w:tc>
        <w:tc>
          <w:tcPr>
            <w:tcW w:w="4946" w:type="dxa"/>
            <w:shd w:val="clear" w:color="auto" w:fill="auto"/>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07" w:type="dxa"/>
            <w:shd w:val="clear" w:color="auto" w:fill="auto"/>
            <w:vAlign w:val="center"/>
          </w:tcPr>
          <w:p>
            <w:pPr>
              <w:pStyle w:val="84"/>
              <w:spacing w:line="360" w:lineRule="auto"/>
              <w:rPr>
                <w:sz w:val="24"/>
              </w:rPr>
            </w:pPr>
            <w:r>
              <w:rPr>
                <w:rFonts w:hint="eastAsia"/>
                <w:sz w:val="24"/>
              </w:rPr>
              <w:t>依据材料</w:t>
            </w:r>
          </w:p>
        </w:tc>
        <w:tc>
          <w:tcPr>
            <w:tcW w:w="8248" w:type="dxa"/>
            <w:gridSpan w:val="3"/>
            <w:shd w:val="clear" w:color="auto" w:fill="auto"/>
          </w:tcPr>
          <w:p>
            <w:pPr>
              <w:pStyle w:val="84"/>
              <w:spacing w:line="360" w:lineRule="auto"/>
              <w:jc w:val="left"/>
              <w:rPr>
                <w:sz w:val="24"/>
              </w:rPr>
            </w:pPr>
            <w:r>
              <w:rPr>
                <w:rFonts w:hint="eastAsia"/>
                <w:sz w:val="24"/>
              </w:rPr>
              <w:t>设计人员应根据变配电所设计施工图、配电箱系统图，结合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第一、二、三项为一星级设计要求，第四、五项为二星级设计要求，第六、七项为三星级设计要求。</w:t>
            </w:r>
          </w:p>
          <w:p>
            <w:pPr>
              <w:pStyle w:val="84"/>
              <w:spacing w:line="360" w:lineRule="auto"/>
              <w:jc w:val="left"/>
              <w:rPr>
                <w:sz w:val="24"/>
              </w:rPr>
            </w:pPr>
            <w:r>
              <w:rPr>
                <w:rFonts w:hint="eastAsia"/>
                <w:sz w:val="24"/>
              </w:rPr>
              <w:t>各项谐波防治措施均应根据工程的实际情况合理地选择，避免生搬硬套。例如第（2）项：对采用低压供电、不设变电所的项目，勾选“未涉及”；第（4）项：若项目存在类这类设备且设计满足要求时勾选“是”，不满足时勾选“否”，若并不存在这类设备则勾选“未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pStyle w:val="84"/>
              <w:spacing w:line="360" w:lineRule="auto"/>
              <w:rPr>
                <w:sz w:val="24"/>
              </w:rPr>
            </w:pPr>
            <w:r>
              <w:rPr>
                <w:rFonts w:hint="eastAsia"/>
                <w:sz w:val="24"/>
              </w:rPr>
              <w:t>备注</w:t>
            </w:r>
          </w:p>
        </w:tc>
        <w:tc>
          <w:tcPr>
            <w:tcW w:w="8248" w:type="dxa"/>
            <w:gridSpan w:val="3"/>
            <w:shd w:val="clear" w:color="auto" w:fill="auto"/>
          </w:tcPr>
          <w:p>
            <w:pPr>
              <w:pStyle w:val="84"/>
              <w:spacing w:line="360" w:lineRule="auto"/>
              <w:jc w:val="left"/>
              <w:rPr>
                <w:sz w:val="24"/>
              </w:rPr>
            </w:pPr>
            <w:r>
              <w:rPr>
                <w:sz w:val="24"/>
              </w:rPr>
              <w:t>高次谐波是电气系统</w:t>
            </w:r>
            <w:r>
              <w:rPr>
                <w:rFonts w:hint="eastAsia"/>
                <w:sz w:val="24"/>
              </w:rPr>
              <w:t>中</w:t>
            </w:r>
            <w:r>
              <w:rPr>
                <w:sz w:val="24"/>
              </w:rPr>
              <w:t>的污染，</w:t>
            </w:r>
            <w:r>
              <w:rPr>
                <w:rFonts w:hint="eastAsia"/>
                <w:sz w:val="24"/>
              </w:rPr>
              <w:t>降低电能质量</w:t>
            </w:r>
            <w:r>
              <w:rPr>
                <w:sz w:val="24"/>
              </w:rPr>
              <w:t>和损害电气设备，必须防治。</w:t>
            </w:r>
          </w:p>
          <w:p>
            <w:pPr>
              <w:pStyle w:val="84"/>
              <w:spacing w:line="360" w:lineRule="auto"/>
              <w:jc w:val="left"/>
              <w:rPr>
                <w:sz w:val="24"/>
              </w:rPr>
            </w:pPr>
            <w:r>
              <w:rPr>
                <w:rFonts w:hint="eastAsia"/>
                <w:sz w:val="24"/>
              </w:rPr>
              <w:t>一星级应满足第一~三项的要求，二星级应满足第一~五项，三星级应满足第一~七项，若采取了其他的措施则做简要的说明。</w:t>
            </w:r>
          </w:p>
        </w:tc>
      </w:tr>
    </w:tbl>
    <w:p>
      <w:pPr>
        <w:spacing w:line="360" w:lineRule="auto"/>
        <w:ind w:firstLine="360" w:firstLineChars="150"/>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asciiTheme="minorEastAsia" w:hAnsiTheme="minorEastAsia" w:eastAsiaTheme="minorEastAsia"/>
          <w:sz w:val="24"/>
          <w:lang w:val="en-GB"/>
        </w:rPr>
        <w:t xml:space="preserve">6、电气系统导体材料：   </w:t>
      </w:r>
      <w:r>
        <w:rPr>
          <w:rFonts w:hint="eastAsia" w:asciiTheme="minorEastAsia" w:hAnsiTheme="minorEastAsia" w:eastAsiaTheme="minorEastAsia"/>
          <w:sz w:val="24"/>
          <w:lang w:val="en-GB"/>
        </w:rPr>
        <w:t>；采用低烟或无烟、低毒或无毒的阻燃型或不燃性线缆。</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35"/>
        <w:gridCol w:w="4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条文来源</w:t>
            </w:r>
          </w:p>
        </w:tc>
        <w:tc>
          <w:tcPr>
            <w:tcW w:w="1588"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9.3.3条</w:t>
            </w:r>
          </w:p>
        </w:tc>
        <w:tc>
          <w:tcPr>
            <w:tcW w:w="4946" w:type="dxa"/>
            <w:shd w:val="clear" w:color="auto" w:fill="auto"/>
            <w:vAlign w:val="center"/>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依据材料</w:t>
            </w:r>
          </w:p>
        </w:tc>
        <w:tc>
          <w:tcPr>
            <w:tcW w:w="8107" w:type="dxa"/>
            <w:gridSpan w:val="3"/>
            <w:shd w:val="clear" w:color="auto" w:fill="auto"/>
          </w:tcPr>
          <w:p>
            <w:pPr>
              <w:pStyle w:val="84"/>
              <w:spacing w:line="360" w:lineRule="auto"/>
              <w:jc w:val="left"/>
              <w:rPr>
                <w:sz w:val="24"/>
              </w:rPr>
            </w:pPr>
            <w:r>
              <w:rPr>
                <w:rFonts w:hint="eastAsia"/>
                <w:sz w:val="24"/>
              </w:rPr>
              <w:t>设计人员应根据变配电所设计施工图、配电干线系统图、配电箱系统图，结合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备注</w:t>
            </w:r>
          </w:p>
        </w:tc>
        <w:tc>
          <w:tcPr>
            <w:tcW w:w="8107" w:type="dxa"/>
            <w:gridSpan w:val="3"/>
            <w:shd w:val="clear" w:color="auto" w:fill="auto"/>
          </w:tcPr>
          <w:p>
            <w:pPr>
              <w:pStyle w:val="84"/>
              <w:spacing w:line="360" w:lineRule="auto"/>
              <w:jc w:val="left"/>
              <w:rPr>
                <w:sz w:val="24"/>
              </w:rPr>
            </w:pPr>
            <w:r>
              <w:rPr>
                <w:rFonts w:hint="eastAsia"/>
                <w:sz w:val="24"/>
              </w:rPr>
              <w:t>本条考虑电气线路的耐久、环保。</w:t>
            </w:r>
          </w:p>
          <w:p>
            <w:pPr>
              <w:pStyle w:val="84"/>
              <w:spacing w:line="360" w:lineRule="auto"/>
              <w:jc w:val="left"/>
              <w:rPr>
                <w:sz w:val="24"/>
              </w:rPr>
            </w:pPr>
            <w:r>
              <w:rPr>
                <w:rFonts w:hint="eastAsia"/>
                <w:sz w:val="24"/>
              </w:rPr>
              <w:t>本条为二星级设计要求。</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asciiTheme="minorEastAsia" w:hAnsiTheme="minorEastAsia" w:eastAsiaTheme="minorEastAsia"/>
          <w:sz w:val="24"/>
          <w:lang w:val="en-GB"/>
        </w:rPr>
        <w:t>7、</w:t>
      </w:r>
      <w:r>
        <w:rPr>
          <w:rFonts w:asciiTheme="minorEastAsia" w:hAnsiTheme="minorEastAsia" w:eastAsiaTheme="minorEastAsia"/>
          <w:sz w:val="24"/>
        </w:rPr>
        <w:t>电气线路在穿越有保温隔热要求的墙体或楼板处，预埋穿线管并用保温材料进行密闭处理：</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35"/>
        <w:gridCol w:w="4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条文来源</w:t>
            </w:r>
          </w:p>
        </w:tc>
        <w:tc>
          <w:tcPr>
            <w:tcW w:w="1588" w:type="dxa"/>
            <w:shd w:val="clear" w:color="auto" w:fill="auto"/>
            <w:vAlign w:val="center"/>
          </w:tcPr>
          <w:p>
            <w:pPr>
              <w:pStyle w:val="84"/>
              <w:spacing w:line="360" w:lineRule="auto"/>
              <w:rPr>
                <w:sz w:val="24"/>
              </w:rPr>
            </w:pPr>
            <w:r>
              <w:rPr>
                <w:rFonts w:hint="eastAsia"/>
                <w:sz w:val="24"/>
              </w:rPr>
              <w:t>DB33/1036-2021</w:t>
            </w:r>
          </w:p>
        </w:tc>
        <w:tc>
          <w:tcPr>
            <w:tcW w:w="1573" w:type="dxa"/>
            <w:shd w:val="clear" w:color="auto" w:fill="auto"/>
            <w:vAlign w:val="center"/>
          </w:tcPr>
          <w:p>
            <w:pPr>
              <w:pStyle w:val="84"/>
              <w:spacing w:line="360" w:lineRule="auto"/>
              <w:rPr>
                <w:sz w:val="24"/>
              </w:rPr>
            </w:pPr>
            <w:r>
              <w:rPr>
                <w:rFonts w:hint="eastAsia"/>
                <w:sz w:val="24"/>
              </w:rPr>
              <w:t>7.1.3条</w:t>
            </w:r>
          </w:p>
        </w:tc>
        <w:tc>
          <w:tcPr>
            <w:tcW w:w="4946" w:type="dxa"/>
            <w:shd w:val="clear" w:color="auto" w:fill="auto"/>
            <w:vAlign w:val="center"/>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依据材料</w:t>
            </w:r>
          </w:p>
        </w:tc>
        <w:tc>
          <w:tcPr>
            <w:tcW w:w="8107" w:type="dxa"/>
            <w:gridSpan w:val="3"/>
            <w:shd w:val="clear" w:color="auto" w:fill="auto"/>
          </w:tcPr>
          <w:p>
            <w:pPr>
              <w:pStyle w:val="84"/>
              <w:spacing w:line="360" w:lineRule="auto"/>
              <w:jc w:val="left"/>
              <w:rPr>
                <w:sz w:val="24"/>
              </w:rPr>
            </w:pPr>
            <w:r>
              <w:rPr>
                <w:rFonts w:hint="eastAsia"/>
                <w:sz w:val="24"/>
              </w:rPr>
              <w:t>设计人员应根据电气平面设计施工图，结合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备注</w:t>
            </w:r>
          </w:p>
        </w:tc>
        <w:tc>
          <w:tcPr>
            <w:tcW w:w="8107" w:type="dxa"/>
            <w:gridSpan w:val="3"/>
            <w:shd w:val="clear" w:color="auto" w:fill="auto"/>
          </w:tcPr>
          <w:p>
            <w:pPr>
              <w:pStyle w:val="84"/>
              <w:spacing w:line="360" w:lineRule="auto"/>
              <w:jc w:val="left"/>
              <w:rPr>
                <w:sz w:val="24"/>
              </w:rPr>
            </w:pPr>
            <w:r>
              <w:rPr>
                <w:rFonts w:hint="eastAsia"/>
                <w:sz w:val="24"/>
              </w:rPr>
              <w:t>本条考虑保温，减少空调负荷。</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8、室内照明功率密度值满足《建筑照明设计标准》GB50034规定的目标值。</w:t>
      </w:r>
    </w:p>
    <w:tbl>
      <w:tblPr>
        <w:tblStyle w:val="44"/>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42"/>
        <w:gridCol w:w="4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3" w:type="dxa"/>
            <w:vMerge w:val="restart"/>
            <w:shd w:val="clear" w:color="auto" w:fill="auto"/>
            <w:vAlign w:val="center"/>
          </w:tcPr>
          <w:p>
            <w:pPr>
              <w:pStyle w:val="84"/>
              <w:spacing w:line="360" w:lineRule="auto"/>
              <w:rPr>
                <w:sz w:val="24"/>
              </w:rPr>
            </w:pPr>
            <w:r>
              <w:rPr>
                <w:rFonts w:hint="eastAsia"/>
                <w:sz w:val="24"/>
              </w:rPr>
              <w:t>条文来源</w:t>
            </w:r>
          </w:p>
        </w:tc>
        <w:tc>
          <w:tcPr>
            <w:tcW w:w="1896" w:type="dxa"/>
            <w:vMerge w:val="restart"/>
            <w:shd w:val="clear" w:color="auto" w:fill="auto"/>
            <w:vAlign w:val="center"/>
          </w:tcPr>
          <w:p>
            <w:pPr>
              <w:pStyle w:val="84"/>
              <w:spacing w:line="360" w:lineRule="auto"/>
              <w:rPr>
                <w:sz w:val="24"/>
              </w:rPr>
            </w:pPr>
            <w:r>
              <w:rPr>
                <w:rFonts w:hint="eastAsia"/>
                <w:sz w:val="24"/>
              </w:rPr>
              <w:t>DB33/1092-2021</w:t>
            </w:r>
          </w:p>
        </w:tc>
        <w:tc>
          <w:tcPr>
            <w:tcW w:w="1542" w:type="dxa"/>
            <w:shd w:val="clear" w:color="auto" w:fill="auto"/>
          </w:tcPr>
          <w:p>
            <w:pPr>
              <w:pStyle w:val="84"/>
              <w:spacing w:line="360" w:lineRule="auto"/>
              <w:rPr>
                <w:sz w:val="24"/>
              </w:rPr>
            </w:pPr>
            <w:r>
              <w:rPr>
                <w:rFonts w:hint="eastAsia"/>
                <w:sz w:val="24"/>
              </w:rPr>
              <w:t>9.2.</w:t>
            </w:r>
            <w:r>
              <w:rPr>
                <w:sz w:val="24"/>
              </w:rPr>
              <w:t>6</w:t>
            </w:r>
            <w:r>
              <w:rPr>
                <w:rFonts w:hint="eastAsia"/>
                <w:sz w:val="24"/>
              </w:rPr>
              <w:t>条</w:t>
            </w:r>
          </w:p>
        </w:tc>
        <w:tc>
          <w:tcPr>
            <w:tcW w:w="4822"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3" w:type="dxa"/>
            <w:vMerge w:val="continue"/>
            <w:shd w:val="clear" w:color="auto" w:fill="auto"/>
            <w:vAlign w:val="center"/>
          </w:tcPr>
          <w:p>
            <w:pPr>
              <w:pStyle w:val="84"/>
              <w:spacing w:line="360" w:lineRule="auto"/>
              <w:rPr>
                <w:sz w:val="24"/>
              </w:rPr>
            </w:pPr>
          </w:p>
        </w:tc>
        <w:tc>
          <w:tcPr>
            <w:tcW w:w="1896" w:type="dxa"/>
            <w:vMerge w:val="continue"/>
            <w:shd w:val="clear" w:color="auto" w:fill="auto"/>
          </w:tcPr>
          <w:p>
            <w:pPr>
              <w:pStyle w:val="84"/>
              <w:spacing w:line="360" w:lineRule="auto"/>
              <w:rPr>
                <w:sz w:val="24"/>
              </w:rPr>
            </w:pPr>
          </w:p>
        </w:tc>
        <w:tc>
          <w:tcPr>
            <w:tcW w:w="1542" w:type="dxa"/>
            <w:shd w:val="clear" w:color="auto" w:fill="auto"/>
          </w:tcPr>
          <w:p>
            <w:pPr>
              <w:pStyle w:val="84"/>
              <w:spacing w:line="360" w:lineRule="auto"/>
              <w:rPr>
                <w:sz w:val="24"/>
              </w:rPr>
            </w:pPr>
            <w:r>
              <w:rPr>
                <w:rFonts w:hint="eastAsia"/>
                <w:sz w:val="24"/>
              </w:rPr>
              <w:t>9.4.</w:t>
            </w:r>
            <w:r>
              <w:rPr>
                <w:sz w:val="24"/>
              </w:rPr>
              <w:t>4</w:t>
            </w:r>
            <w:r>
              <w:rPr>
                <w:rFonts w:hint="eastAsia"/>
                <w:sz w:val="24"/>
              </w:rPr>
              <w:t>条</w:t>
            </w:r>
          </w:p>
        </w:tc>
        <w:tc>
          <w:tcPr>
            <w:tcW w:w="4822" w:type="dxa"/>
            <w:shd w:val="clear" w:color="auto" w:fill="auto"/>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3" w:type="dxa"/>
            <w:shd w:val="clear" w:color="auto" w:fill="auto"/>
            <w:vAlign w:val="center"/>
          </w:tcPr>
          <w:p>
            <w:pPr>
              <w:pStyle w:val="84"/>
              <w:spacing w:line="360" w:lineRule="auto"/>
              <w:rPr>
                <w:sz w:val="24"/>
              </w:rPr>
            </w:pPr>
            <w:r>
              <w:rPr>
                <w:rFonts w:hint="eastAsia"/>
                <w:sz w:val="24"/>
              </w:rPr>
              <w:t>依据材料</w:t>
            </w:r>
          </w:p>
        </w:tc>
        <w:tc>
          <w:tcPr>
            <w:tcW w:w="8260" w:type="dxa"/>
            <w:gridSpan w:val="3"/>
            <w:shd w:val="clear" w:color="auto" w:fill="auto"/>
          </w:tcPr>
          <w:p>
            <w:pPr>
              <w:pStyle w:val="84"/>
              <w:spacing w:line="360" w:lineRule="auto"/>
              <w:jc w:val="left"/>
              <w:rPr>
                <w:sz w:val="24"/>
              </w:rPr>
            </w:pPr>
            <w:r>
              <w:rPr>
                <w:rFonts w:hint="eastAsia"/>
                <w:sz w:val="24"/>
              </w:rPr>
              <w:t>设计人员应根据照明计算书、照明设计施工图，结合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03" w:type="dxa"/>
            <w:shd w:val="clear" w:color="auto" w:fill="auto"/>
            <w:vAlign w:val="center"/>
          </w:tcPr>
          <w:p>
            <w:pPr>
              <w:pStyle w:val="84"/>
              <w:spacing w:line="360" w:lineRule="auto"/>
              <w:rPr>
                <w:sz w:val="24"/>
              </w:rPr>
            </w:pPr>
            <w:r>
              <w:rPr>
                <w:rFonts w:hint="eastAsia"/>
                <w:sz w:val="24"/>
              </w:rPr>
              <w:t>备注</w:t>
            </w:r>
          </w:p>
        </w:tc>
        <w:tc>
          <w:tcPr>
            <w:tcW w:w="8260" w:type="dxa"/>
            <w:gridSpan w:val="3"/>
            <w:shd w:val="clear" w:color="auto" w:fill="auto"/>
          </w:tcPr>
          <w:p>
            <w:pPr>
              <w:pStyle w:val="84"/>
              <w:spacing w:line="360" w:lineRule="auto"/>
              <w:ind w:firstLine="480" w:firstLineChars="200"/>
              <w:jc w:val="left"/>
              <w:rPr>
                <w:sz w:val="24"/>
              </w:rPr>
            </w:pPr>
            <w:r>
              <w:rPr>
                <w:rFonts w:hint="eastAsia"/>
                <w:sz w:val="24"/>
              </w:rPr>
              <w:t>目前，照明功率密度值满足《建筑节能与可再生能源利用通用规范》GB 55015的规定即可。《建筑照明设计标准》GB 50034-2013正在修编，待新版发布、实施后，按以下说明：</w:t>
            </w:r>
          </w:p>
          <w:p>
            <w:pPr>
              <w:pStyle w:val="84"/>
              <w:spacing w:line="360" w:lineRule="auto"/>
              <w:ind w:firstLine="480" w:firstLineChars="200"/>
              <w:jc w:val="left"/>
              <w:rPr>
                <w:sz w:val="24"/>
              </w:rPr>
            </w:pPr>
            <w:r>
              <w:rPr>
                <w:rFonts w:hint="eastAsia"/>
                <w:sz w:val="24"/>
              </w:rPr>
              <w:t>关于照明功率密度值（LPD）的要求是递进的：一般规定要求所有区域满足现行值，一星级要求主要功能房间满足目标值，二星级未作进一步要求，三星级要求所有区域满足目标值。</w:t>
            </w:r>
          </w:p>
          <w:p>
            <w:pPr>
              <w:pStyle w:val="84"/>
              <w:spacing w:line="360" w:lineRule="auto"/>
              <w:ind w:firstLine="480" w:firstLineChars="200"/>
              <w:jc w:val="left"/>
              <w:rPr>
                <w:sz w:val="24"/>
              </w:rPr>
            </w:pPr>
            <w:r>
              <w:rPr>
                <w:rFonts w:hint="eastAsia"/>
                <w:sz w:val="24"/>
              </w:rPr>
              <w:t>“主要功能房间”定义为国家标准《建筑照明设计标准》GB 50034中对应的建筑类型明确列出的房间或场所（长时间停留、作业的场所），“所有区域”还应包括表6.3.13所列的通用房间或场所。</w:t>
            </w:r>
          </w:p>
          <w:p>
            <w:pPr>
              <w:pStyle w:val="84"/>
              <w:spacing w:line="360" w:lineRule="auto"/>
              <w:ind w:firstLine="480" w:firstLineChars="200"/>
              <w:jc w:val="left"/>
              <w:rPr>
                <w:sz w:val="24"/>
              </w:rPr>
            </w:pPr>
            <w:r>
              <w:rPr>
                <w:rFonts w:hint="eastAsia"/>
                <w:sz w:val="24"/>
              </w:rPr>
              <w:t>一星级要求主要功能房间满足，三星级要求所有区域满足。</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9、室外照明的光污染控制、室外各种照明光污染限制、</w:t>
      </w:r>
      <w:r>
        <w:rPr>
          <w:rFonts w:asciiTheme="minorEastAsia" w:hAnsiTheme="minorEastAsia" w:eastAsiaTheme="minorEastAsia"/>
          <w:sz w:val="24"/>
          <w:lang w:val="en-GB"/>
        </w:rPr>
        <w:t>室外灯光对室内的影响</w:t>
      </w:r>
      <w:r>
        <w:rPr>
          <w:rFonts w:hint="eastAsia" w:asciiTheme="minorEastAsia" w:hAnsiTheme="minorEastAsia" w:eastAsiaTheme="minorEastAsia"/>
          <w:sz w:val="24"/>
          <w:lang w:val="en-GB"/>
        </w:rPr>
        <w:t>满足《城市夜景照明设计规范》 JGJ/T163及《环境照明工程技术规范》 DB33/T 1055的要求；</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步行道和非机动车道的照度标准值不低于《城市道路照明设计标准》CJJ</w:t>
      </w:r>
      <w:r>
        <w:rPr>
          <w:rFonts w:asciiTheme="minorEastAsia" w:hAnsiTheme="minorEastAsia" w:eastAsiaTheme="minorEastAsia"/>
          <w:sz w:val="24"/>
          <w:lang w:val="en-GB"/>
        </w:rPr>
        <w:t xml:space="preserve"> </w:t>
      </w:r>
      <w:r>
        <w:rPr>
          <w:rFonts w:hint="eastAsia" w:asciiTheme="minorEastAsia" w:hAnsiTheme="minorEastAsia" w:eastAsiaTheme="minorEastAsia"/>
          <w:sz w:val="24"/>
          <w:lang w:val="en-GB"/>
        </w:rPr>
        <w:t>45的相关要求；</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室外照度标准值、照明功率密度值满足《城市夜景照明设计规范》 JGJ/T163及《环境照明工程技术规范》 DB33/T 1055的要求。</w:t>
      </w:r>
    </w:p>
    <w:tbl>
      <w:tblPr>
        <w:tblStyle w:val="44"/>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896"/>
        <w:gridCol w:w="1553"/>
        <w:gridCol w:w="4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shd w:val="clear" w:color="auto" w:fill="auto"/>
            <w:vAlign w:val="center"/>
          </w:tcPr>
          <w:p>
            <w:pPr>
              <w:pStyle w:val="84"/>
              <w:spacing w:line="360" w:lineRule="auto"/>
              <w:rPr>
                <w:sz w:val="24"/>
              </w:rPr>
            </w:pPr>
            <w:r>
              <w:rPr>
                <w:rFonts w:hint="eastAsia"/>
                <w:sz w:val="24"/>
              </w:rPr>
              <w:t>条文来源</w:t>
            </w:r>
          </w:p>
        </w:tc>
        <w:tc>
          <w:tcPr>
            <w:tcW w:w="1649" w:type="dxa"/>
            <w:vMerge w:val="restart"/>
            <w:shd w:val="clear" w:color="auto" w:fill="auto"/>
            <w:vAlign w:val="center"/>
          </w:tcPr>
          <w:p>
            <w:pPr>
              <w:pStyle w:val="84"/>
              <w:spacing w:line="360" w:lineRule="auto"/>
              <w:rPr>
                <w:sz w:val="24"/>
              </w:rPr>
            </w:pPr>
            <w:r>
              <w:rPr>
                <w:rFonts w:hint="eastAsia"/>
                <w:sz w:val="24"/>
              </w:rPr>
              <w:t>DB33/1092-2021</w:t>
            </w:r>
          </w:p>
        </w:tc>
        <w:tc>
          <w:tcPr>
            <w:tcW w:w="1585" w:type="dxa"/>
            <w:shd w:val="clear" w:color="auto" w:fill="auto"/>
          </w:tcPr>
          <w:p>
            <w:pPr>
              <w:pStyle w:val="84"/>
              <w:spacing w:line="360" w:lineRule="auto"/>
              <w:rPr>
                <w:sz w:val="24"/>
              </w:rPr>
            </w:pPr>
            <w:r>
              <w:rPr>
                <w:sz w:val="24"/>
              </w:rPr>
              <w:t>4.2.6</w:t>
            </w:r>
            <w:r>
              <w:rPr>
                <w:rFonts w:hint="eastAsia"/>
                <w:sz w:val="24"/>
              </w:rPr>
              <w:t>条</w:t>
            </w:r>
          </w:p>
        </w:tc>
        <w:tc>
          <w:tcPr>
            <w:tcW w:w="4819"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shd w:val="clear" w:color="auto" w:fill="auto"/>
            <w:vAlign w:val="center"/>
          </w:tcPr>
          <w:p>
            <w:pPr>
              <w:pStyle w:val="84"/>
              <w:spacing w:line="360" w:lineRule="auto"/>
              <w:rPr>
                <w:sz w:val="24"/>
              </w:rPr>
            </w:pPr>
          </w:p>
        </w:tc>
        <w:tc>
          <w:tcPr>
            <w:tcW w:w="1649" w:type="dxa"/>
            <w:vMerge w:val="continue"/>
            <w:shd w:val="clear" w:color="auto" w:fill="auto"/>
          </w:tcPr>
          <w:p>
            <w:pPr>
              <w:pStyle w:val="84"/>
              <w:spacing w:line="360" w:lineRule="auto"/>
              <w:rPr>
                <w:sz w:val="24"/>
              </w:rPr>
            </w:pPr>
          </w:p>
        </w:tc>
        <w:tc>
          <w:tcPr>
            <w:tcW w:w="1585" w:type="dxa"/>
            <w:shd w:val="clear" w:color="auto" w:fill="auto"/>
          </w:tcPr>
          <w:p>
            <w:pPr>
              <w:pStyle w:val="84"/>
              <w:spacing w:line="360" w:lineRule="auto"/>
              <w:rPr>
                <w:sz w:val="24"/>
              </w:rPr>
            </w:pPr>
            <w:r>
              <w:rPr>
                <w:rFonts w:hint="eastAsia"/>
                <w:sz w:val="24"/>
              </w:rPr>
              <w:t>9.3.4条</w:t>
            </w:r>
          </w:p>
        </w:tc>
        <w:tc>
          <w:tcPr>
            <w:tcW w:w="4819" w:type="dxa"/>
            <w:shd w:val="clear" w:color="auto" w:fill="auto"/>
            <w:vAlign w:val="center"/>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shd w:val="clear" w:color="auto" w:fill="auto"/>
            <w:vAlign w:val="center"/>
          </w:tcPr>
          <w:p>
            <w:pPr>
              <w:pStyle w:val="84"/>
              <w:spacing w:line="360" w:lineRule="auto"/>
              <w:rPr>
                <w:sz w:val="24"/>
              </w:rPr>
            </w:pPr>
          </w:p>
        </w:tc>
        <w:tc>
          <w:tcPr>
            <w:tcW w:w="1649" w:type="dxa"/>
            <w:vMerge w:val="continue"/>
            <w:shd w:val="clear" w:color="auto" w:fill="auto"/>
          </w:tcPr>
          <w:p>
            <w:pPr>
              <w:pStyle w:val="84"/>
              <w:spacing w:line="360" w:lineRule="auto"/>
              <w:rPr>
                <w:sz w:val="24"/>
              </w:rPr>
            </w:pPr>
          </w:p>
        </w:tc>
        <w:tc>
          <w:tcPr>
            <w:tcW w:w="1585" w:type="dxa"/>
            <w:shd w:val="clear" w:color="auto" w:fill="auto"/>
          </w:tcPr>
          <w:p>
            <w:pPr>
              <w:pStyle w:val="84"/>
              <w:spacing w:line="360" w:lineRule="auto"/>
              <w:rPr>
                <w:sz w:val="24"/>
              </w:rPr>
            </w:pPr>
            <w:r>
              <w:rPr>
                <w:rFonts w:hint="eastAsia"/>
                <w:sz w:val="24"/>
              </w:rPr>
              <w:t>9.4.</w:t>
            </w:r>
            <w:r>
              <w:rPr>
                <w:sz w:val="24"/>
              </w:rPr>
              <w:t>5</w:t>
            </w:r>
            <w:r>
              <w:rPr>
                <w:rFonts w:hint="eastAsia"/>
                <w:sz w:val="24"/>
              </w:rPr>
              <w:t>条</w:t>
            </w:r>
          </w:p>
        </w:tc>
        <w:tc>
          <w:tcPr>
            <w:tcW w:w="4819" w:type="dxa"/>
            <w:shd w:val="clear" w:color="auto" w:fill="auto"/>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95" w:type="dxa"/>
            <w:shd w:val="clear" w:color="auto" w:fill="auto"/>
            <w:vAlign w:val="center"/>
          </w:tcPr>
          <w:p>
            <w:pPr>
              <w:pStyle w:val="84"/>
              <w:spacing w:line="360" w:lineRule="auto"/>
              <w:rPr>
                <w:sz w:val="24"/>
              </w:rPr>
            </w:pPr>
            <w:r>
              <w:rPr>
                <w:rFonts w:hint="eastAsia"/>
                <w:sz w:val="24"/>
              </w:rPr>
              <w:t>依据材料</w:t>
            </w:r>
          </w:p>
        </w:tc>
        <w:tc>
          <w:tcPr>
            <w:tcW w:w="8053" w:type="dxa"/>
            <w:gridSpan w:val="3"/>
            <w:shd w:val="clear" w:color="auto" w:fill="auto"/>
          </w:tcPr>
          <w:p>
            <w:pPr>
              <w:pStyle w:val="84"/>
              <w:spacing w:line="360" w:lineRule="auto"/>
              <w:jc w:val="left"/>
              <w:rPr>
                <w:sz w:val="24"/>
              </w:rPr>
            </w:pPr>
            <w:r>
              <w:rPr>
                <w:rFonts w:hint="eastAsia"/>
                <w:sz w:val="24"/>
              </w:rPr>
              <w:t>设计人员应根据室外照明计算书、室外各种照明设计施工图，结合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shd w:val="clear" w:color="auto" w:fill="auto"/>
            <w:vAlign w:val="center"/>
          </w:tcPr>
          <w:p>
            <w:pPr>
              <w:pStyle w:val="84"/>
              <w:spacing w:line="360" w:lineRule="auto"/>
              <w:rPr>
                <w:sz w:val="24"/>
              </w:rPr>
            </w:pPr>
            <w:r>
              <w:rPr>
                <w:rFonts w:hint="eastAsia"/>
                <w:sz w:val="24"/>
              </w:rPr>
              <w:t>备注</w:t>
            </w:r>
          </w:p>
        </w:tc>
        <w:tc>
          <w:tcPr>
            <w:tcW w:w="8053" w:type="dxa"/>
            <w:gridSpan w:val="3"/>
            <w:shd w:val="clear" w:color="auto" w:fill="auto"/>
          </w:tcPr>
          <w:p>
            <w:pPr>
              <w:pStyle w:val="84"/>
              <w:spacing w:line="360" w:lineRule="auto"/>
              <w:jc w:val="left"/>
              <w:rPr>
                <w:sz w:val="24"/>
              </w:rPr>
            </w:pPr>
            <w:r>
              <w:rPr>
                <w:rFonts w:hint="eastAsia"/>
                <w:sz w:val="24"/>
              </w:rPr>
              <w:t>若不需要设置室外照明，或由甲方委托其他设计单位设计，则勾选“未涉及”。</w:t>
            </w:r>
          </w:p>
          <w:p>
            <w:pPr>
              <w:pStyle w:val="84"/>
              <w:spacing w:line="360" w:lineRule="auto"/>
              <w:jc w:val="left"/>
              <w:rPr>
                <w:sz w:val="24"/>
              </w:rPr>
            </w:pPr>
            <w:r>
              <w:rPr>
                <w:sz w:val="24"/>
              </w:rPr>
              <w:t>目前，室外照明</w:t>
            </w:r>
            <w:r>
              <w:rPr>
                <w:rFonts w:hint="eastAsia"/>
                <w:sz w:val="24"/>
              </w:rPr>
              <w:t>的</w:t>
            </w:r>
            <w:r>
              <w:rPr>
                <w:sz w:val="24"/>
              </w:rPr>
              <w:t>光污染、</w:t>
            </w:r>
            <w:r>
              <w:rPr>
                <w:rFonts w:hint="eastAsia"/>
                <w:sz w:val="24"/>
              </w:rPr>
              <w:t>照度标准、LPD均普遍</w:t>
            </w:r>
            <w:r>
              <w:rPr>
                <w:sz w:val="24"/>
              </w:rPr>
              <w:t>失控。作为绿色建筑，应</w:t>
            </w:r>
            <w:r>
              <w:rPr>
                <w:rFonts w:hint="eastAsia"/>
                <w:sz w:val="24"/>
              </w:rPr>
              <w:t>避免光污染，</w:t>
            </w:r>
            <w:r>
              <w:rPr>
                <w:sz w:val="24"/>
              </w:rPr>
              <w:t>限制合理的照度标准、照明功率密度值。</w:t>
            </w:r>
          </w:p>
          <w:p>
            <w:pPr>
              <w:pStyle w:val="84"/>
              <w:spacing w:line="360" w:lineRule="auto"/>
              <w:jc w:val="left"/>
              <w:rPr>
                <w:sz w:val="24"/>
              </w:rPr>
            </w:pPr>
            <w:r>
              <w:rPr>
                <w:rFonts w:hint="eastAsia"/>
                <w:sz w:val="24"/>
              </w:rPr>
              <w:t>关于室外照明的绿色节能要求是递进的：一星级要求避免光污染，二星级要求保障行人安全，三星级要求满足照度标准值、照明功率密度值。</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10、采用的主要照明方式。</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35"/>
        <w:gridCol w:w="4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条文来源</w:t>
            </w:r>
          </w:p>
        </w:tc>
        <w:tc>
          <w:tcPr>
            <w:tcW w:w="1588"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9.3.5条</w:t>
            </w:r>
          </w:p>
        </w:tc>
        <w:tc>
          <w:tcPr>
            <w:tcW w:w="4946" w:type="dxa"/>
            <w:shd w:val="clear" w:color="auto" w:fill="auto"/>
            <w:vAlign w:val="center"/>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依据材料</w:t>
            </w:r>
          </w:p>
        </w:tc>
        <w:tc>
          <w:tcPr>
            <w:tcW w:w="8107" w:type="dxa"/>
            <w:gridSpan w:val="3"/>
            <w:shd w:val="clear" w:color="auto" w:fill="auto"/>
            <w:vAlign w:val="center"/>
          </w:tcPr>
          <w:p>
            <w:pPr>
              <w:pStyle w:val="84"/>
              <w:spacing w:line="360" w:lineRule="auto"/>
              <w:jc w:val="left"/>
              <w:rPr>
                <w:sz w:val="24"/>
              </w:rPr>
            </w:pPr>
            <w:r>
              <w:rPr>
                <w:rFonts w:hint="eastAsia"/>
                <w:sz w:val="24"/>
              </w:rPr>
              <w:t>设计人员应根据照明设计施工图，结合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备注</w:t>
            </w:r>
          </w:p>
        </w:tc>
        <w:tc>
          <w:tcPr>
            <w:tcW w:w="8107" w:type="dxa"/>
            <w:gridSpan w:val="3"/>
            <w:shd w:val="clear" w:color="auto" w:fill="auto"/>
            <w:vAlign w:val="center"/>
          </w:tcPr>
          <w:p>
            <w:pPr>
              <w:pStyle w:val="84"/>
              <w:spacing w:line="420" w:lineRule="exact"/>
              <w:jc w:val="left"/>
              <w:rPr>
                <w:sz w:val="24"/>
              </w:rPr>
            </w:pPr>
            <w:r>
              <w:rPr>
                <w:rFonts w:hint="eastAsia"/>
                <w:sz w:val="24"/>
              </w:rPr>
              <w:t>合理的照明方式可在满足使用功能的前提下，降低整个房间或区域的照明功率密度值。</w:t>
            </w:r>
          </w:p>
          <w:p>
            <w:pPr>
              <w:pStyle w:val="84"/>
              <w:spacing w:line="420" w:lineRule="exact"/>
              <w:jc w:val="left"/>
              <w:rPr>
                <w:sz w:val="24"/>
              </w:rPr>
            </w:pPr>
            <w:r>
              <w:rPr>
                <w:rFonts w:hint="eastAsia"/>
                <w:sz w:val="24"/>
              </w:rPr>
              <w:t>对于功能明确的房间或场所，应按功能需要选择合理的照明方式。</w:t>
            </w:r>
          </w:p>
          <w:p>
            <w:pPr>
              <w:pStyle w:val="84"/>
              <w:spacing w:line="420" w:lineRule="exact"/>
              <w:jc w:val="left"/>
              <w:rPr>
                <w:sz w:val="24"/>
              </w:rPr>
            </w:pPr>
            <w:r>
              <w:rPr>
                <w:rFonts w:hint="eastAsia"/>
                <w:sz w:val="24"/>
              </w:rPr>
              <w:t>直接照明比间接照明效率更高，对装饰性照明可适当放宽要求。</w:t>
            </w:r>
          </w:p>
          <w:p>
            <w:pPr>
              <w:pStyle w:val="84"/>
              <w:spacing w:line="420" w:lineRule="exact"/>
              <w:jc w:val="left"/>
              <w:rPr>
                <w:sz w:val="24"/>
              </w:rPr>
            </w:pPr>
            <w:r>
              <w:rPr>
                <w:rFonts w:hint="eastAsia"/>
                <w:sz w:val="24"/>
              </w:rPr>
              <w:t>本条属于二星级的要求。</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11、采用节能型光源；</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光源、镇流器的能效等级。</w:t>
      </w:r>
    </w:p>
    <w:tbl>
      <w:tblPr>
        <w:tblStyle w:val="44"/>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896"/>
        <w:gridCol w:w="1539"/>
        <w:gridCol w:w="4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9" w:type="dxa"/>
            <w:vMerge w:val="restart"/>
            <w:shd w:val="clear" w:color="auto" w:fill="auto"/>
            <w:vAlign w:val="center"/>
          </w:tcPr>
          <w:p>
            <w:pPr>
              <w:pStyle w:val="84"/>
              <w:spacing w:line="360" w:lineRule="auto"/>
              <w:rPr>
                <w:sz w:val="24"/>
              </w:rPr>
            </w:pPr>
            <w:r>
              <w:rPr>
                <w:rFonts w:hint="eastAsia"/>
                <w:sz w:val="24"/>
              </w:rPr>
              <w:t>条文来源</w:t>
            </w:r>
          </w:p>
        </w:tc>
        <w:tc>
          <w:tcPr>
            <w:tcW w:w="1515" w:type="dxa"/>
            <w:vMerge w:val="restart"/>
            <w:shd w:val="clear" w:color="auto" w:fill="auto"/>
            <w:vAlign w:val="center"/>
          </w:tcPr>
          <w:p>
            <w:pPr>
              <w:pStyle w:val="84"/>
              <w:spacing w:line="360" w:lineRule="auto"/>
              <w:rPr>
                <w:sz w:val="24"/>
              </w:rPr>
            </w:pPr>
            <w:r>
              <w:rPr>
                <w:rFonts w:hint="eastAsia"/>
                <w:sz w:val="24"/>
              </w:rPr>
              <w:t>DB33/1092-2021</w:t>
            </w:r>
          </w:p>
        </w:tc>
        <w:tc>
          <w:tcPr>
            <w:tcW w:w="1585" w:type="dxa"/>
            <w:shd w:val="clear" w:color="auto" w:fill="auto"/>
          </w:tcPr>
          <w:p>
            <w:pPr>
              <w:pStyle w:val="84"/>
              <w:spacing w:line="360" w:lineRule="auto"/>
              <w:rPr>
                <w:sz w:val="24"/>
              </w:rPr>
            </w:pPr>
            <w:r>
              <w:rPr>
                <w:rFonts w:hint="eastAsia"/>
                <w:sz w:val="24"/>
              </w:rPr>
              <w:t>9.2.</w:t>
            </w:r>
            <w:r>
              <w:rPr>
                <w:sz w:val="24"/>
              </w:rPr>
              <w:t>7</w:t>
            </w:r>
            <w:r>
              <w:rPr>
                <w:rFonts w:hint="eastAsia"/>
                <w:sz w:val="24"/>
              </w:rPr>
              <w:t>条</w:t>
            </w:r>
          </w:p>
        </w:tc>
        <w:tc>
          <w:tcPr>
            <w:tcW w:w="5078" w:type="dxa"/>
            <w:shd w:val="clear" w:color="auto" w:fill="auto"/>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9" w:type="dxa"/>
            <w:vMerge w:val="continue"/>
            <w:shd w:val="clear" w:color="auto" w:fill="auto"/>
            <w:vAlign w:val="center"/>
          </w:tcPr>
          <w:p>
            <w:pPr>
              <w:pStyle w:val="84"/>
              <w:spacing w:line="360" w:lineRule="auto"/>
              <w:rPr>
                <w:sz w:val="24"/>
              </w:rPr>
            </w:pPr>
          </w:p>
        </w:tc>
        <w:tc>
          <w:tcPr>
            <w:tcW w:w="1515" w:type="dxa"/>
            <w:vMerge w:val="continue"/>
            <w:shd w:val="clear" w:color="auto" w:fill="auto"/>
          </w:tcPr>
          <w:p>
            <w:pPr>
              <w:pStyle w:val="84"/>
              <w:spacing w:line="360" w:lineRule="auto"/>
              <w:rPr>
                <w:sz w:val="24"/>
              </w:rPr>
            </w:pPr>
          </w:p>
        </w:tc>
        <w:tc>
          <w:tcPr>
            <w:tcW w:w="1585" w:type="dxa"/>
            <w:shd w:val="clear" w:color="auto" w:fill="auto"/>
          </w:tcPr>
          <w:p>
            <w:pPr>
              <w:pStyle w:val="84"/>
              <w:spacing w:line="360" w:lineRule="auto"/>
              <w:rPr>
                <w:sz w:val="24"/>
              </w:rPr>
            </w:pPr>
            <w:r>
              <w:rPr>
                <w:rFonts w:hint="eastAsia"/>
                <w:sz w:val="24"/>
              </w:rPr>
              <w:t>9.3.6条</w:t>
            </w:r>
          </w:p>
        </w:tc>
        <w:tc>
          <w:tcPr>
            <w:tcW w:w="5078" w:type="dxa"/>
            <w:shd w:val="clear" w:color="auto" w:fill="auto"/>
            <w:vAlign w:val="center"/>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9" w:type="dxa"/>
            <w:shd w:val="clear" w:color="auto" w:fill="auto"/>
            <w:vAlign w:val="center"/>
          </w:tcPr>
          <w:p>
            <w:pPr>
              <w:pStyle w:val="84"/>
              <w:spacing w:line="360" w:lineRule="auto"/>
              <w:rPr>
                <w:sz w:val="24"/>
              </w:rPr>
            </w:pPr>
            <w:r>
              <w:rPr>
                <w:rFonts w:hint="eastAsia"/>
                <w:sz w:val="24"/>
              </w:rPr>
              <w:t>依据材料</w:t>
            </w:r>
          </w:p>
        </w:tc>
        <w:tc>
          <w:tcPr>
            <w:tcW w:w="8178" w:type="dxa"/>
            <w:gridSpan w:val="3"/>
            <w:shd w:val="clear" w:color="auto" w:fill="auto"/>
          </w:tcPr>
          <w:p>
            <w:pPr>
              <w:pStyle w:val="84"/>
              <w:spacing w:line="360" w:lineRule="auto"/>
              <w:jc w:val="left"/>
              <w:rPr>
                <w:sz w:val="24"/>
              </w:rPr>
            </w:pPr>
            <w:r>
              <w:rPr>
                <w:rFonts w:hint="eastAsia"/>
                <w:sz w:val="24"/>
              </w:rPr>
              <w:t>设计人员应根据照明设计施工图，结合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9" w:type="dxa"/>
            <w:shd w:val="clear" w:color="auto" w:fill="auto"/>
            <w:vAlign w:val="center"/>
          </w:tcPr>
          <w:p>
            <w:pPr>
              <w:pStyle w:val="84"/>
              <w:spacing w:line="360" w:lineRule="auto"/>
              <w:rPr>
                <w:sz w:val="24"/>
              </w:rPr>
            </w:pPr>
            <w:r>
              <w:rPr>
                <w:rFonts w:hint="eastAsia"/>
                <w:sz w:val="24"/>
              </w:rPr>
              <w:t>备注</w:t>
            </w:r>
          </w:p>
        </w:tc>
        <w:tc>
          <w:tcPr>
            <w:tcW w:w="8178" w:type="dxa"/>
            <w:gridSpan w:val="3"/>
            <w:shd w:val="clear" w:color="auto" w:fill="auto"/>
          </w:tcPr>
          <w:p>
            <w:pPr>
              <w:pStyle w:val="84"/>
              <w:spacing w:line="420" w:lineRule="exact"/>
              <w:jc w:val="left"/>
              <w:rPr>
                <w:sz w:val="24"/>
              </w:rPr>
            </w:pPr>
            <w:r>
              <w:rPr>
                <w:sz w:val="24"/>
              </w:rPr>
              <w:t>国家已陆续对</w:t>
            </w:r>
            <w:r>
              <w:rPr>
                <w:rFonts w:hint="eastAsia"/>
                <w:sz w:val="24"/>
              </w:rPr>
              <w:t>各种</w:t>
            </w:r>
            <w:r>
              <w:rPr>
                <w:sz w:val="24"/>
              </w:rPr>
              <w:t>光源、镇流器制订</w:t>
            </w:r>
            <w:r>
              <w:rPr>
                <w:rFonts w:hint="eastAsia"/>
                <w:sz w:val="24"/>
              </w:rPr>
              <w:t>了</w:t>
            </w:r>
            <w:r>
              <w:rPr>
                <w:sz w:val="24"/>
              </w:rPr>
              <w:t>能效标准，</w:t>
            </w:r>
            <w:r>
              <w:rPr>
                <w:rFonts w:hint="eastAsia"/>
                <w:sz w:val="24"/>
              </w:rPr>
              <w:t>在《建筑照明设计标准》GB50034-2013的相关章节中有要求，在DB33/1092-2021第9.2.7条的条文说明中也有相关内容，</w:t>
            </w:r>
            <w:r>
              <w:rPr>
                <w:sz w:val="24"/>
              </w:rPr>
              <w:t>可参照。</w:t>
            </w:r>
          </w:p>
          <w:p>
            <w:pPr>
              <w:pStyle w:val="84"/>
              <w:spacing w:line="420" w:lineRule="exact"/>
              <w:jc w:val="left"/>
              <w:rPr>
                <w:sz w:val="24"/>
              </w:rPr>
            </w:pPr>
            <w:r>
              <w:rPr>
                <w:rFonts w:hint="eastAsia"/>
                <w:sz w:val="24"/>
              </w:rPr>
              <w:t>第一项是基本要求，许多规范、标准均有此要求。</w:t>
            </w:r>
          </w:p>
          <w:p>
            <w:pPr>
              <w:pStyle w:val="84"/>
              <w:spacing w:line="420" w:lineRule="exact"/>
              <w:jc w:val="left"/>
              <w:rPr>
                <w:sz w:val="24"/>
              </w:rPr>
            </w:pPr>
            <w:r>
              <w:rPr>
                <w:rFonts w:hint="eastAsia"/>
                <w:sz w:val="24"/>
              </w:rPr>
              <w:t>第二项为照明节能的星级要求。一星级要求不“应”低于能效限定值，不“宜”低于节能评价值；二星级要求不“应”低于节能评价值。</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12、照明灯具效率、LED灯具效能满足《建筑照明设计标准》GB50034的要求。</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535"/>
        <w:gridCol w:w="4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条文来源</w:t>
            </w:r>
          </w:p>
        </w:tc>
        <w:tc>
          <w:tcPr>
            <w:tcW w:w="1588"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9.2.</w:t>
            </w:r>
            <w:r>
              <w:rPr>
                <w:sz w:val="24"/>
              </w:rPr>
              <w:t>8</w:t>
            </w:r>
            <w:r>
              <w:rPr>
                <w:rFonts w:hint="eastAsia"/>
                <w:sz w:val="24"/>
              </w:rPr>
              <w:t>条</w:t>
            </w:r>
          </w:p>
        </w:tc>
        <w:tc>
          <w:tcPr>
            <w:tcW w:w="4946"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依据材料</w:t>
            </w:r>
          </w:p>
        </w:tc>
        <w:tc>
          <w:tcPr>
            <w:tcW w:w="8107" w:type="dxa"/>
            <w:gridSpan w:val="3"/>
            <w:shd w:val="clear" w:color="auto" w:fill="auto"/>
          </w:tcPr>
          <w:p>
            <w:pPr>
              <w:pStyle w:val="84"/>
              <w:spacing w:line="360" w:lineRule="auto"/>
              <w:jc w:val="left"/>
              <w:rPr>
                <w:sz w:val="24"/>
              </w:rPr>
            </w:pPr>
            <w:r>
              <w:rPr>
                <w:rFonts w:hint="eastAsia"/>
                <w:sz w:val="24"/>
              </w:rPr>
              <w:t>设计人员应根据照明设计施工图中灯具效率和LED效能参数，结合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8" w:type="dxa"/>
            <w:shd w:val="clear" w:color="auto" w:fill="auto"/>
            <w:vAlign w:val="center"/>
          </w:tcPr>
          <w:p>
            <w:pPr>
              <w:pStyle w:val="84"/>
              <w:spacing w:line="360" w:lineRule="auto"/>
              <w:rPr>
                <w:sz w:val="24"/>
              </w:rPr>
            </w:pPr>
            <w:r>
              <w:rPr>
                <w:rFonts w:hint="eastAsia"/>
                <w:sz w:val="24"/>
              </w:rPr>
              <w:t>备注</w:t>
            </w:r>
          </w:p>
        </w:tc>
        <w:tc>
          <w:tcPr>
            <w:tcW w:w="8107" w:type="dxa"/>
            <w:gridSpan w:val="3"/>
            <w:shd w:val="clear" w:color="auto" w:fill="auto"/>
          </w:tcPr>
          <w:p>
            <w:pPr>
              <w:pStyle w:val="84"/>
              <w:spacing w:line="360" w:lineRule="auto"/>
              <w:jc w:val="left"/>
              <w:rPr>
                <w:sz w:val="24"/>
              </w:rPr>
            </w:pPr>
            <w:r>
              <w:rPr>
                <w:rFonts w:hint="eastAsia"/>
                <w:sz w:val="24"/>
              </w:rPr>
              <w:t>设计时需要注意有些行业标准对某些灯具的要求比《建筑照明设计标准》GB50034-2013更高</w:t>
            </w:r>
            <w:r>
              <w:rPr>
                <w:sz w:val="24"/>
              </w:rPr>
              <w:t>。</w:t>
            </w:r>
          </w:p>
          <w:p>
            <w:pPr>
              <w:pStyle w:val="84"/>
              <w:spacing w:line="360" w:lineRule="auto"/>
              <w:jc w:val="left"/>
              <w:rPr>
                <w:sz w:val="24"/>
              </w:rPr>
            </w:pPr>
            <w:r>
              <w:rPr>
                <w:rFonts w:hint="eastAsia"/>
                <w:sz w:val="24"/>
              </w:rPr>
              <w:t>本条属于一星级的要求。</w:t>
            </w:r>
          </w:p>
        </w:tc>
      </w:tr>
    </w:tbl>
    <w:p>
      <w:pPr>
        <w:spacing w:line="360" w:lineRule="auto"/>
        <w:rPr>
          <w:rFonts w:asciiTheme="minorEastAsia" w:hAnsiTheme="minorEastAsia" w:eastAsiaTheme="minorEastAsia"/>
          <w:sz w:val="24"/>
          <w:lang w:val="en-GB"/>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13、具有自然采光的区域，结合自然光布置灯具、控制照明：</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2522"/>
        <w:gridCol w:w="1448"/>
        <w:gridCol w:w="3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shd w:val="clear" w:color="auto" w:fill="auto"/>
            <w:vAlign w:val="center"/>
          </w:tcPr>
          <w:p>
            <w:pPr>
              <w:pStyle w:val="84"/>
              <w:spacing w:line="360" w:lineRule="auto"/>
              <w:rPr>
                <w:sz w:val="24"/>
              </w:rPr>
            </w:pPr>
            <w:r>
              <w:rPr>
                <w:rFonts w:hint="eastAsia"/>
                <w:sz w:val="24"/>
              </w:rPr>
              <w:t>条文来源</w:t>
            </w:r>
          </w:p>
        </w:tc>
        <w:tc>
          <w:tcPr>
            <w:tcW w:w="2646"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9.3.7条</w:t>
            </w:r>
          </w:p>
        </w:tc>
        <w:tc>
          <w:tcPr>
            <w:tcW w:w="3865" w:type="dxa"/>
            <w:shd w:val="clear" w:color="auto" w:fill="auto"/>
            <w:vAlign w:val="center"/>
          </w:tcPr>
          <w:p>
            <w:pPr>
              <w:pStyle w:val="84"/>
              <w:spacing w:line="360" w:lineRule="auto"/>
              <w:ind w:firstLine="420"/>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shd w:val="clear" w:color="auto" w:fill="auto"/>
            <w:vAlign w:val="center"/>
          </w:tcPr>
          <w:p>
            <w:pPr>
              <w:pStyle w:val="84"/>
              <w:spacing w:line="360" w:lineRule="auto"/>
              <w:rPr>
                <w:sz w:val="24"/>
              </w:rPr>
            </w:pPr>
            <w:r>
              <w:rPr>
                <w:rFonts w:hint="eastAsia"/>
                <w:sz w:val="24"/>
              </w:rPr>
              <w:t>依据材料</w:t>
            </w:r>
          </w:p>
        </w:tc>
        <w:tc>
          <w:tcPr>
            <w:tcW w:w="8084" w:type="dxa"/>
            <w:gridSpan w:val="3"/>
            <w:shd w:val="clear" w:color="auto" w:fill="auto"/>
          </w:tcPr>
          <w:p>
            <w:pPr>
              <w:pStyle w:val="84"/>
              <w:spacing w:line="360" w:lineRule="auto"/>
              <w:jc w:val="left"/>
              <w:rPr>
                <w:sz w:val="24"/>
              </w:rPr>
            </w:pPr>
            <w:r>
              <w:rPr>
                <w:rFonts w:hint="eastAsia"/>
                <w:sz w:val="24"/>
              </w:rPr>
              <w:t>设计人员应根据照明设计施工图中灯具的布置、控制，结合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shd w:val="clear" w:color="auto" w:fill="auto"/>
            <w:vAlign w:val="center"/>
          </w:tcPr>
          <w:p>
            <w:pPr>
              <w:pStyle w:val="84"/>
              <w:spacing w:line="360" w:lineRule="auto"/>
              <w:rPr>
                <w:sz w:val="24"/>
              </w:rPr>
            </w:pPr>
            <w:r>
              <w:rPr>
                <w:rFonts w:hint="eastAsia"/>
                <w:sz w:val="24"/>
              </w:rPr>
              <w:t>备注</w:t>
            </w:r>
          </w:p>
        </w:tc>
        <w:tc>
          <w:tcPr>
            <w:tcW w:w="8084" w:type="dxa"/>
            <w:gridSpan w:val="3"/>
            <w:shd w:val="clear" w:color="auto" w:fill="auto"/>
          </w:tcPr>
          <w:p>
            <w:pPr>
              <w:pStyle w:val="84"/>
              <w:spacing w:line="360" w:lineRule="auto"/>
              <w:jc w:val="left"/>
              <w:rPr>
                <w:sz w:val="24"/>
              </w:rPr>
            </w:pPr>
            <w:r>
              <w:rPr>
                <w:rFonts w:hint="eastAsia"/>
                <w:sz w:val="24"/>
              </w:rPr>
              <w:t>设计时需要注意灯具的控制分组与自然光照强度相配合</w:t>
            </w:r>
            <w:r>
              <w:rPr>
                <w:sz w:val="24"/>
              </w:rPr>
              <w:t>。</w:t>
            </w:r>
          </w:p>
          <w:p>
            <w:pPr>
              <w:pStyle w:val="84"/>
              <w:spacing w:line="360" w:lineRule="auto"/>
              <w:jc w:val="left"/>
              <w:rPr>
                <w:sz w:val="24"/>
              </w:rPr>
            </w:pPr>
            <w:r>
              <w:rPr>
                <w:rFonts w:hint="eastAsia"/>
                <w:sz w:val="24"/>
              </w:rPr>
              <w:t>本条属于二星级的要求。</w:t>
            </w:r>
          </w:p>
        </w:tc>
      </w:tr>
    </w:tbl>
    <w:p>
      <w:pPr>
        <w:spacing w:line="360" w:lineRule="auto"/>
        <w:rPr>
          <w:rFonts w:asciiTheme="minorEastAsia" w:hAnsiTheme="minorEastAsia" w:eastAsiaTheme="minorEastAsia"/>
          <w:sz w:val="24"/>
          <w:lang w:val="en-GB"/>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14、电动机、交流接触器的能效等级：</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
        <w:gridCol w:w="2621"/>
        <w:gridCol w:w="1432"/>
        <w:gridCol w:w="3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pStyle w:val="84"/>
              <w:spacing w:line="360" w:lineRule="auto"/>
              <w:rPr>
                <w:sz w:val="24"/>
              </w:rPr>
            </w:pPr>
            <w:r>
              <w:rPr>
                <w:rFonts w:hint="eastAsia"/>
                <w:sz w:val="24"/>
              </w:rPr>
              <w:t>条文来源</w:t>
            </w:r>
          </w:p>
        </w:tc>
        <w:tc>
          <w:tcPr>
            <w:tcW w:w="2787" w:type="dxa"/>
            <w:shd w:val="clear" w:color="auto" w:fill="auto"/>
            <w:vAlign w:val="center"/>
          </w:tcPr>
          <w:p>
            <w:pPr>
              <w:pStyle w:val="84"/>
              <w:spacing w:line="360" w:lineRule="auto"/>
              <w:rPr>
                <w:sz w:val="24"/>
              </w:rPr>
            </w:pPr>
            <w:r>
              <w:rPr>
                <w:rFonts w:hint="eastAsia"/>
                <w:sz w:val="24"/>
              </w:rPr>
              <w:t>DB33/1092-2021</w:t>
            </w:r>
          </w:p>
        </w:tc>
        <w:tc>
          <w:tcPr>
            <w:tcW w:w="1573" w:type="dxa"/>
            <w:shd w:val="clear" w:color="auto" w:fill="auto"/>
            <w:vAlign w:val="center"/>
          </w:tcPr>
          <w:p>
            <w:pPr>
              <w:pStyle w:val="84"/>
              <w:spacing w:line="360" w:lineRule="auto"/>
              <w:rPr>
                <w:sz w:val="24"/>
              </w:rPr>
            </w:pPr>
            <w:r>
              <w:rPr>
                <w:rFonts w:hint="eastAsia"/>
                <w:sz w:val="24"/>
              </w:rPr>
              <w:t>9.2.2条</w:t>
            </w:r>
          </w:p>
        </w:tc>
        <w:tc>
          <w:tcPr>
            <w:tcW w:w="4003" w:type="dxa"/>
            <w:shd w:val="clear" w:color="auto" w:fill="auto"/>
            <w:vAlign w:val="center"/>
          </w:tcPr>
          <w:p>
            <w:pPr>
              <w:pStyle w:val="84"/>
              <w:spacing w:line="360" w:lineRule="auto"/>
              <w:ind w:firstLine="420"/>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pStyle w:val="84"/>
              <w:spacing w:line="360" w:lineRule="auto"/>
              <w:rPr>
                <w:sz w:val="24"/>
              </w:rPr>
            </w:pPr>
            <w:r>
              <w:rPr>
                <w:rFonts w:hint="eastAsia"/>
                <w:sz w:val="24"/>
              </w:rPr>
              <w:t>依据材料</w:t>
            </w:r>
          </w:p>
        </w:tc>
        <w:tc>
          <w:tcPr>
            <w:tcW w:w="8363" w:type="dxa"/>
            <w:gridSpan w:val="3"/>
            <w:shd w:val="clear" w:color="auto" w:fill="auto"/>
          </w:tcPr>
          <w:p>
            <w:pPr>
              <w:pStyle w:val="84"/>
              <w:spacing w:line="360" w:lineRule="auto"/>
              <w:jc w:val="left"/>
              <w:rPr>
                <w:sz w:val="24"/>
              </w:rPr>
            </w:pPr>
            <w:r>
              <w:rPr>
                <w:rFonts w:hint="eastAsia"/>
                <w:sz w:val="24"/>
              </w:rPr>
              <w:t>设计人员应根据施工图设计说明或设备选型表，结合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pStyle w:val="84"/>
              <w:spacing w:line="360" w:lineRule="auto"/>
              <w:rPr>
                <w:sz w:val="24"/>
              </w:rPr>
            </w:pPr>
            <w:r>
              <w:rPr>
                <w:rFonts w:hint="eastAsia"/>
                <w:sz w:val="24"/>
              </w:rPr>
              <w:t>备注</w:t>
            </w:r>
          </w:p>
        </w:tc>
        <w:tc>
          <w:tcPr>
            <w:tcW w:w="8363" w:type="dxa"/>
            <w:gridSpan w:val="3"/>
            <w:shd w:val="clear" w:color="auto" w:fill="auto"/>
          </w:tcPr>
          <w:p>
            <w:pPr>
              <w:pStyle w:val="84"/>
              <w:spacing w:line="360" w:lineRule="auto"/>
              <w:jc w:val="left"/>
              <w:rPr>
                <w:sz w:val="24"/>
              </w:rPr>
            </w:pPr>
            <w:r>
              <w:rPr>
                <w:rFonts w:hint="eastAsia"/>
                <w:sz w:val="24"/>
              </w:rPr>
              <w:t>本条属于一星级的要求。</w:t>
            </w:r>
          </w:p>
        </w:tc>
      </w:tr>
    </w:tbl>
    <w:p>
      <w:pPr>
        <w:spacing w:line="360" w:lineRule="auto"/>
        <w:ind w:firstLine="360" w:firstLineChars="150"/>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15、</w:t>
      </w:r>
      <w:r>
        <w:rPr>
          <w:rFonts w:asciiTheme="minorEastAsia" w:hAnsiTheme="minorEastAsia" w:eastAsiaTheme="minorEastAsia"/>
          <w:sz w:val="24"/>
          <w:lang w:val="en-GB"/>
        </w:rPr>
        <w:t>根据各专业动力设备的工艺要求，确定合理的电动机启、停、调速等控制方式：</w:t>
      </w:r>
    </w:p>
    <w:tbl>
      <w:tblPr>
        <w:tblStyle w:val="44"/>
        <w:tblW w:w="9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896"/>
        <w:gridCol w:w="1544"/>
        <w:gridCol w:w="4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7" w:type="dxa"/>
            <w:shd w:val="clear" w:color="auto" w:fill="auto"/>
            <w:vAlign w:val="center"/>
          </w:tcPr>
          <w:p>
            <w:pPr>
              <w:pStyle w:val="84"/>
              <w:spacing w:line="360" w:lineRule="auto"/>
              <w:rPr>
                <w:sz w:val="24"/>
              </w:rPr>
            </w:pPr>
            <w:r>
              <w:rPr>
                <w:rFonts w:hint="eastAsia"/>
                <w:sz w:val="24"/>
              </w:rPr>
              <w:t>条文来源</w:t>
            </w:r>
          </w:p>
        </w:tc>
        <w:tc>
          <w:tcPr>
            <w:tcW w:w="1659" w:type="dxa"/>
            <w:shd w:val="clear" w:color="auto" w:fill="auto"/>
            <w:vAlign w:val="center"/>
          </w:tcPr>
          <w:p>
            <w:pPr>
              <w:pStyle w:val="84"/>
              <w:spacing w:line="360" w:lineRule="auto"/>
              <w:rPr>
                <w:sz w:val="24"/>
              </w:rPr>
            </w:pPr>
            <w:r>
              <w:rPr>
                <w:rFonts w:hint="eastAsia"/>
                <w:sz w:val="24"/>
              </w:rPr>
              <w:t>DB33/1036-2021</w:t>
            </w:r>
          </w:p>
        </w:tc>
        <w:tc>
          <w:tcPr>
            <w:tcW w:w="1573" w:type="dxa"/>
            <w:shd w:val="clear" w:color="auto" w:fill="auto"/>
            <w:vAlign w:val="center"/>
          </w:tcPr>
          <w:p>
            <w:pPr>
              <w:pStyle w:val="84"/>
              <w:spacing w:line="360" w:lineRule="auto"/>
              <w:rPr>
                <w:sz w:val="24"/>
              </w:rPr>
            </w:pPr>
            <w:r>
              <w:rPr>
                <w:rFonts w:hint="eastAsia"/>
                <w:sz w:val="24"/>
              </w:rPr>
              <w:t>7.4.1条</w:t>
            </w:r>
          </w:p>
        </w:tc>
        <w:tc>
          <w:tcPr>
            <w:tcW w:w="4804" w:type="dxa"/>
            <w:shd w:val="clear" w:color="auto" w:fill="auto"/>
            <w:vAlign w:val="center"/>
          </w:tcPr>
          <w:p>
            <w:pPr>
              <w:pStyle w:val="84"/>
              <w:spacing w:line="360" w:lineRule="auto"/>
              <w:ind w:firstLine="42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7" w:type="dxa"/>
            <w:shd w:val="clear" w:color="auto" w:fill="auto"/>
            <w:vAlign w:val="center"/>
          </w:tcPr>
          <w:p>
            <w:pPr>
              <w:pStyle w:val="84"/>
              <w:spacing w:line="360" w:lineRule="auto"/>
              <w:rPr>
                <w:sz w:val="24"/>
              </w:rPr>
            </w:pPr>
            <w:r>
              <w:rPr>
                <w:rFonts w:hint="eastAsia"/>
                <w:sz w:val="24"/>
              </w:rPr>
              <w:t>依据材料</w:t>
            </w:r>
          </w:p>
        </w:tc>
        <w:tc>
          <w:tcPr>
            <w:tcW w:w="8036" w:type="dxa"/>
            <w:gridSpan w:val="3"/>
            <w:shd w:val="clear" w:color="auto" w:fill="auto"/>
          </w:tcPr>
          <w:p>
            <w:pPr>
              <w:pStyle w:val="84"/>
              <w:spacing w:line="360" w:lineRule="auto"/>
              <w:jc w:val="left"/>
              <w:rPr>
                <w:sz w:val="24"/>
              </w:rPr>
            </w:pPr>
            <w:r>
              <w:rPr>
                <w:rFonts w:hint="eastAsia"/>
                <w:sz w:val="24"/>
              </w:rPr>
              <w:t>设计人员应根据动力设备控制设计施工图，结合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7" w:type="dxa"/>
            <w:shd w:val="clear" w:color="auto" w:fill="auto"/>
            <w:vAlign w:val="center"/>
          </w:tcPr>
          <w:p>
            <w:pPr>
              <w:pStyle w:val="84"/>
              <w:spacing w:line="360" w:lineRule="auto"/>
              <w:rPr>
                <w:sz w:val="24"/>
              </w:rPr>
            </w:pPr>
            <w:r>
              <w:rPr>
                <w:rFonts w:hint="eastAsia"/>
                <w:sz w:val="24"/>
              </w:rPr>
              <w:t>备注</w:t>
            </w:r>
          </w:p>
        </w:tc>
        <w:tc>
          <w:tcPr>
            <w:tcW w:w="8036" w:type="dxa"/>
            <w:gridSpan w:val="3"/>
            <w:shd w:val="clear" w:color="auto" w:fill="auto"/>
          </w:tcPr>
          <w:p>
            <w:pPr>
              <w:pStyle w:val="84"/>
              <w:spacing w:line="360" w:lineRule="auto"/>
              <w:jc w:val="left"/>
              <w:rPr>
                <w:sz w:val="24"/>
              </w:rPr>
            </w:pPr>
            <w:r>
              <w:rPr>
                <w:rFonts w:hint="eastAsia"/>
                <w:sz w:val="24"/>
              </w:rPr>
              <w:t>在动力设备控制设计时，电气是配合专业，具体的工艺要求由主导专业提出。</w:t>
            </w:r>
          </w:p>
          <w:p>
            <w:pPr>
              <w:pStyle w:val="84"/>
              <w:spacing w:line="360" w:lineRule="auto"/>
              <w:jc w:val="left"/>
              <w:rPr>
                <w:sz w:val="24"/>
              </w:rPr>
            </w:pPr>
            <w:r>
              <w:rPr>
                <w:rFonts w:hint="eastAsia"/>
                <w:sz w:val="24"/>
              </w:rPr>
              <w:t>设计人员可以绘制二次控制图，也可详细说明控制的具体要求，由配套厂家实施。</w:t>
            </w:r>
          </w:p>
        </w:tc>
      </w:tr>
    </w:tbl>
    <w:p>
      <w:pPr>
        <w:spacing w:line="360" w:lineRule="auto"/>
        <w:ind w:firstLine="360" w:firstLineChars="150"/>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16、选用配备高效电机及先进控制技术的电梯、自动扶梯、自动人行道，</w:t>
      </w:r>
      <w:r>
        <w:rPr>
          <w:rFonts w:asciiTheme="minorEastAsia" w:hAnsiTheme="minorEastAsia" w:eastAsiaTheme="minorEastAsia"/>
          <w:sz w:val="24"/>
        </w:rPr>
        <w:t>具有节能运行、节能拖动功能</w:t>
      </w:r>
      <w:r>
        <w:rPr>
          <w:rFonts w:hint="eastAsia" w:asciiTheme="minorEastAsia" w:hAnsiTheme="minorEastAsia" w:eastAsiaTheme="minorEastAsia"/>
          <w:sz w:val="24"/>
          <w:lang w:val="en-GB"/>
        </w:rPr>
        <w:t>；</w:t>
      </w: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当2台及以上电梯成组布置时，具备群控的功能。</w:t>
      </w:r>
    </w:p>
    <w:tbl>
      <w:tblPr>
        <w:tblStyle w:val="44"/>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7"/>
        <w:gridCol w:w="1896"/>
        <w:gridCol w:w="1538"/>
        <w:gridCol w:w="4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7" w:type="dxa"/>
            <w:shd w:val="clear" w:color="auto" w:fill="auto"/>
            <w:vAlign w:val="center"/>
          </w:tcPr>
          <w:p>
            <w:pPr>
              <w:pStyle w:val="84"/>
              <w:spacing w:line="360" w:lineRule="auto"/>
              <w:rPr>
                <w:sz w:val="24"/>
              </w:rPr>
            </w:pPr>
            <w:r>
              <w:rPr>
                <w:rFonts w:hint="eastAsia"/>
                <w:sz w:val="24"/>
              </w:rPr>
              <w:t>条文来源</w:t>
            </w:r>
          </w:p>
        </w:tc>
        <w:tc>
          <w:tcPr>
            <w:tcW w:w="1507" w:type="dxa"/>
            <w:shd w:val="clear" w:color="auto" w:fill="auto"/>
            <w:vAlign w:val="center"/>
          </w:tcPr>
          <w:p>
            <w:pPr>
              <w:pStyle w:val="84"/>
              <w:spacing w:line="360" w:lineRule="auto"/>
              <w:rPr>
                <w:sz w:val="24"/>
              </w:rPr>
            </w:pPr>
            <w:r>
              <w:rPr>
                <w:rFonts w:hint="eastAsia"/>
                <w:sz w:val="24"/>
              </w:rPr>
              <w:t>DB33/1092-2021</w:t>
            </w:r>
          </w:p>
        </w:tc>
        <w:tc>
          <w:tcPr>
            <w:tcW w:w="1585" w:type="dxa"/>
            <w:shd w:val="clear" w:color="auto" w:fill="auto"/>
            <w:vAlign w:val="center"/>
          </w:tcPr>
          <w:p>
            <w:pPr>
              <w:pStyle w:val="84"/>
              <w:spacing w:line="360" w:lineRule="auto"/>
              <w:rPr>
                <w:sz w:val="24"/>
              </w:rPr>
            </w:pPr>
            <w:r>
              <w:rPr>
                <w:rFonts w:hint="eastAsia"/>
                <w:sz w:val="24"/>
              </w:rPr>
              <w:t>9.2.</w:t>
            </w:r>
            <w:r>
              <w:rPr>
                <w:sz w:val="24"/>
              </w:rPr>
              <w:t>9</w:t>
            </w:r>
            <w:r>
              <w:rPr>
                <w:rFonts w:hint="eastAsia"/>
                <w:sz w:val="24"/>
              </w:rPr>
              <w:t>条</w:t>
            </w:r>
          </w:p>
        </w:tc>
        <w:tc>
          <w:tcPr>
            <w:tcW w:w="5103"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7" w:type="dxa"/>
            <w:shd w:val="clear" w:color="auto" w:fill="auto"/>
            <w:vAlign w:val="center"/>
          </w:tcPr>
          <w:p>
            <w:pPr>
              <w:pStyle w:val="84"/>
              <w:spacing w:line="360" w:lineRule="auto"/>
              <w:rPr>
                <w:sz w:val="24"/>
              </w:rPr>
            </w:pPr>
            <w:r>
              <w:rPr>
                <w:rFonts w:hint="eastAsia"/>
                <w:sz w:val="24"/>
              </w:rPr>
              <w:t>依据材料</w:t>
            </w:r>
          </w:p>
        </w:tc>
        <w:tc>
          <w:tcPr>
            <w:tcW w:w="8195" w:type="dxa"/>
            <w:gridSpan w:val="3"/>
            <w:shd w:val="clear" w:color="auto" w:fill="auto"/>
          </w:tcPr>
          <w:p>
            <w:pPr>
              <w:pStyle w:val="84"/>
              <w:spacing w:line="360" w:lineRule="auto"/>
              <w:jc w:val="left"/>
              <w:rPr>
                <w:sz w:val="24"/>
              </w:rPr>
            </w:pPr>
            <w:r>
              <w:rPr>
                <w:rFonts w:hint="eastAsia"/>
                <w:sz w:val="24"/>
              </w:rPr>
              <w:t>设计人员应根据电梯、扶梯的选型要求，结合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当电梯单台布置时，不要求群控功能，但应满足第一项的要求。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7" w:type="dxa"/>
            <w:shd w:val="clear" w:color="auto" w:fill="auto"/>
            <w:vAlign w:val="center"/>
          </w:tcPr>
          <w:p>
            <w:pPr>
              <w:pStyle w:val="84"/>
              <w:spacing w:line="360" w:lineRule="auto"/>
              <w:rPr>
                <w:sz w:val="24"/>
              </w:rPr>
            </w:pPr>
            <w:r>
              <w:rPr>
                <w:rFonts w:hint="eastAsia"/>
                <w:sz w:val="24"/>
              </w:rPr>
              <w:t>备注</w:t>
            </w:r>
          </w:p>
        </w:tc>
        <w:tc>
          <w:tcPr>
            <w:tcW w:w="8195" w:type="dxa"/>
            <w:gridSpan w:val="3"/>
            <w:shd w:val="clear" w:color="auto" w:fill="auto"/>
          </w:tcPr>
          <w:p>
            <w:pPr>
              <w:pStyle w:val="84"/>
              <w:spacing w:line="360" w:lineRule="auto"/>
              <w:jc w:val="left"/>
              <w:rPr>
                <w:sz w:val="24"/>
              </w:rPr>
            </w:pPr>
            <w:r>
              <w:rPr>
                <w:rFonts w:hint="eastAsia"/>
                <w:sz w:val="24"/>
              </w:rPr>
              <w:t>电</w:t>
            </w:r>
            <w:r>
              <w:rPr>
                <w:sz w:val="24"/>
              </w:rPr>
              <w:t>梯能耗占建筑的总能耗量较大。应选用效率高的节能电梯，如选用无齿轮电梯、能源再生电梯等高效节能电梯。群控功能的实施，可降低电梯空载率，减少乘客等候时间，达到节能目的。</w:t>
            </w:r>
          </w:p>
          <w:p>
            <w:pPr>
              <w:pStyle w:val="84"/>
              <w:spacing w:line="360" w:lineRule="auto"/>
              <w:jc w:val="left"/>
              <w:rPr>
                <w:sz w:val="24"/>
              </w:rPr>
            </w:pPr>
            <w:r>
              <w:rPr>
                <w:rFonts w:hint="eastAsia"/>
                <w:sz w:val="24"/>
              </w:rPr>
              <w:t>扶梯的</w:t>
            </w:r>
            <w:r>
              <w:rPr>
                <w:sz w:val="24"/>
              </w:rPr>
              <w:t>电动机在重载、轻载、空载时，应能自动输入与之相适应的电压、电流，保证电动机输出功率与实际载荷始终得到最佳匹配；设置感应传感器，无乘客时可暂停或减小运行速度</w:t>
            </w:r>
            <w:r>
              <w:rPr>
                <w:rFonts w:hint="eastAsia"/>
                <w:sz w:val="24"/>
              </w:rPr>
              <w:t>。</w:t>
            </w:r>
          </w:p>
          <w:p>
            <w:pPr>
              <w:pStyle w:val="84"/>
              <w:spacing w:line="360" w:lineRule="auto"/>
              <w:jc w:val="left"/>
              <w:rPr>
                <w:sz w:val="24"/>
              </w:rPr>
            </w:pPr>
            <w:r>
              <w:rPr>
                <w:rFonts w:hint="eastAsia"/>
                <w:sz w:val="24"/>
              </w:rPr>
              <w:t>在工程实际中，电梯、扶梯大多由建筑专业确定，电气专业应在说明中明确要求，并提请相关专业注意。</w:t>
            </w:r>
          </w:p>
          <w:p>
            <w:pPr>
              <w:pStyle w:val="84"/>
              <w:spacing w:line="360" w:lineRule="auto"/>
              <w:jc w:val="left"/>
              <w:rPr>
                <w:sz w:val="24"/>
              </w:rPr>
            </w:pPr>
            <w:r>
              <w:rPr>
                <w:rFonts w:hint="eastAsia"/>
                <w:sz w:val="24"/>
              </w:rPr>
              <w:t>本条属于一星级的要求。</w:t>
            </w:r>
          </w:p>
        </w:tc>
      </w:tr>
    </w:tbl>
    <w:p>
      <w:pPr>
        <w:spacing w:line="360" w:lineRule="auto"/>
        <w:rPr>
          <w:rFonts w:asciiTheme="minorEastAsia" w:hAnsiTheme="minorEastAsia" w:eastAsiaTheme="minorEastAsia"/>
          <w:sz w:val="24"/>
          <w:lang w:val="en-GB"/>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17、</w:t>
      </w:r>
      <w:r>
        <w:rPr>
          <w:rFonts w:asciiTheme="minorEastAsia" w:hAnsiTheme="minorEastAsia" w:eastAsiaTheme="minorEastAsia"/>
          <w:sz w:val="24"/>
          <w:lang w:val="en-GB"/>
        </w:rPr>
        <w:t>集中制备</w:t>
      </w:r>
      <w:r>
        <w:rPr>
          <w:rFonts w:hint="eastAsia" w:asciiTheme="minorEastAsia" w:hAnsiTheme="minorEastAsia" w:eastAsiaTheme="minorEastAsia"/>
          <w:sz w:val="24"/>
          <w:lang w:val="en-GB"/>
        </w:rPr>
        <w:t>饮用热水</w:t>
      </w:r>
      <w:r>
        <w:rPr>
          <w:rFonts w:asciiTheme="minorEastAsia" w:hAnsiTheme="minorEastAsia" w:eastAsiaTheme="minorEastAsia"/>
          <w:sz w:val="24"/>
          <w:lang w:val="en-GB"/>
        </w:rPr>
        <w:t>的电开水炉</w:t>
      </w:r>
      <w:r>
        <w:rPr>
          <w:rFonts w:hint="eastAsia" w:asciiTheme="minorEastAsia" w:hAnsiTheme="minorEastAsia" w:eastAsiaTheme="minorEastAsia"/>
          <w:sz w:val="24"/>
          <w:lang w:val="en-GB"/>
        </w:rPr>
        <w:t>设</w:t>
      </w:r>
      <w:r>
        <w:rPr>
          <w:rFonts w:asciiTheme="minorEastAsia" w:hAnsiTheme="minorEastAsia" w:eastAsiaTheme="minorEastAsia"/>
          <w:sz w:val="24"/>
          <w:lang w:val="en-GB"/>
        </w:rPr>
        <w:t>有根据温度</w:t>
      </w:r>
      <w:r>
        <w:rPr>
          <w:rFonts w:hint="eastAsia" w:asciiTheme="minorEastAsia" w:hAnsiTheme="minorEastAsia" w:eastAsiaTheme="minorEastAsia"/>
          <w:sz w:val="24"/>
          <w:lang w:val="en-GB"/>
        </w:rPr>
        <w:t>及</w:t>
      </w:r>
      <w:r>
        <w:rPr>
          <w:rFonts w:asciiTheme="minorEastAsia" w:hAnsiTheme="minorEastAsia" w:eastAsiaTheme="minorEastAsia"/>
          <w:sz w:val="24"/>
          <w:lang w:val="en-GB"/>
        </w:rPr>
        <w:t>时间</w:t>
      </w:r>
      <w:r>
        <w:rPr>
          <w:rFonts w:hint="eastAsia" w:asciiTheme="minorEastAsia" w:hAnsiTheme="minorEastAsia" w:eastAsiaTheme="minorEastAsia"/>
          <w:sz w:val="24"/>
          <w:lang w:val="en-GB"/>
        </w:rPr>
        <w:t>的</w:t>
      </w:r>
      <w:r>
        <w:rPr>
          <w:rFonts w:asciiTheme="minorEastAsia" w:hAnsiTheme="minorEastAsia" w:eastAsiaTheme="minorEastAsia"/>
          <w:sz w:val="24"/>
          <w:lang w:val="en-GB"/>
        </w:rPr>
        <w:t>控制措施</w:t>
      </w:r>
      <w:r>
        <w:rPr>
          <w:rFonts w:hint="eastAsia" w:asciiTheme="minorEastAsia" w:hAnsiTheme="minorEastAsia" w:eastAsiaTheme="minorEastAsia"/>
          <w:sz w:val="24"/>
          <w:lang w:val="en-GB"/>
        </w:rPr>
        <w:t>。</w:t>
      </w:r>
    </w:p>
    <w:tbl>
      <w:tblPr>
        <w:tblStyle w:val="44"/>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896"/>
        <w:gridCol w:w="1566"/>
        <w:gridCol w:w="4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pStyle w:val="84"/>
              <w:spacing w:line="360" w:lineRule="auto"/>
              <w:rPr>
                <w:sz w:val="24"/>
              </w:rPr>
            </w:pPr>
            <w:r>
              <w:rPr>
                <w:rFonts w:hint="eastAsia"/>
                <w:sz w:val="24"/>
              </w:rPr>
              <w:t>条文来源</w:t>
            </w:r>
          </w:p>
        </w:tc>
        <w:tc>
          <w:tcPr>
            <w:tcW w:w="1727" w:type="dxa"/>
            <w:shd w:val="clear" w:color="auto" w:fill="auto"/>
            <w:vAlign w:val="center"/>
          </w:tcPr>
          <w:p>
            <w:pPr>
              <w:pStyle w:val="84"/>
              <w:spacing w:line="360" w:lineRule="auto"/>
              <w:rPr>
                <w:sz w:val="24"/>
              </w:rPr>
            </w:pPr>
            <w:r>
              <w:rPr>
                <w:rFonts w:hint="eastAsia"/>
                <w:sz w:val="24"/>
              </w:rPr>
              <w:t>DB33/1092-2021</w:t>
            </w:r>
          </w:p>
        </w:tc>
        <w:tc>
          <w:tcPr>
            <w:tcW w:w="1585" w:type="dxa"/>
            <w:shd w:val="clear" w:color="auto" w:fill="auto"/>
            <w:vAlign w:val="center"/>
          </w:tcPr>
          <w:p>
            <w:pPr>
              <w:pStyle w:val="84"/>
              <w:spacing w:line="360" w:lineRule="auto"/>
              <w:rPr>
                <w:sz w:val="24"/>
              </w:rPr>
            </w:pPr>
            <w:r>
              <w:rPr>
                <w:rFonts w:hint="eastAsia"/>
                <w:sz w:val="24"/>
              </w:rPr>
              <w:t>9.2.</w:t>
            </w:r>
            <w:r>
              <w:rPr>
                <w:sz w:val="24"/>
              </w:rPr>
              <w:t>10</w:t>
            </w:r>
            <w:r>
              <w:rPr>
                <w:rFonts w:hint="eastAsia"/>
                <w:sz w:val="24"/>
              </w:rPr>
              <w:t>条</w:t>
            </w:r>
          </w:p>
        </w:tc>
        <w:tc>
          <w:tcPr>
            <w:tcW w:w="4936"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pStyle w:val="84"/>
              <w:spacing w:line="360" w:lineRule="auto"/>
              <w:rPr>
                <w:sz w:val="24"/>
              </w:rPr>
            </w:pPr>
            <w:r>
              <w:rPr>
                <w:rFonts w:hint="eastAsia"/>
                <w:sz w:val="24"/>
              </w:rPr>
              <w:t>依据材料</w:t>
            </w:r>
          </w:p>
        </w:tc>
        <w:tc>
          <w:tcPr>
            <w:tcW w:w="8248" w:type="dxa"/>
            <w:gridSpan w:val="3"/>
            <w:shd w:val="clear" w:color="auto" w:fill="auto"/>
          </w:tcPr>
          <w:p>
            <w:pPr>
              <w:pStyle w:val="84"/>
              <w:spacing w:line="360" w:lineRule="auto"/>
              <w:jc w:val="left"/>
              <w:rPr>
                <w:sz w:val="24"/>
              </w:rPr>
            </w:pPr>
            <w:r>
              <w:rPr>
                <w:rFonts w:hint="eastAsia"/>
                <w:sz w:val="24"/>
              </w:rPr>
              <w:t>设计人员应根据施工图，结合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pStyle w:val="84"/>
              <w:spacing w:line="360" w:lineRule="auto"/>
              <w:rPr>
                <w:sz w:val="24"/>
              </w:rPr>
            </w:pPr>
            <w:r>
              <w:rPr>
                <w:rFonts w:hint="eastAsia"/>
                <w:sz w:val="24"/>
              </w:rPr>
              <w:t>备注</w:t>
            </w:r>
          </w:p>
        </w:tc>
        <w:tc>
          <w:tcPr>
            <w:tcW w:w="8248" w:type="dxa"/>
            <w:gridSpan w:val="3"/>
            <w:shd w:val="clear" w:color="auto" w:fill="auto"/>
          </w:tcPr>
          <w:p>
            <w:pPr>
              <w:pStyle w:val="84"/>
              <w:spacing w:line="360" w:lineRule="auto"/>
              <w:jc w:val="left"/>
              <w:rPr>
                <w:sz w:val="24"/>
              </w:rPr>
            </w:pPr>
            <w:r>
              <w:rPr>
                <w:sz w:val="24"/>
              </w:rPr>
              <w:t>电开水炉的能耗较大。选择适当的启、停温度，下班时段停运都可避免浪费。</w:t>
            </w:r>
          </w:p>
          <w:p>
            <w:pPr>
              <w:pStyle w:val="84"/>
              <w:spacing w:line="360" w:lineRule="auto"/>
              <w:jc w:val="left"/>
              <w:rPr>
                <w:sz w:val="24"/>
              </w:rPr>
            </w:pPr>
            <w:r>
              <w:rPr>
                <w:rFonts w:hint="eastAsia"/>
                <w:sz w:val="24"/>
              </w:rPr>
              <w:t>本条不包括使用桶装饮用水加热的饮水机。</w:t>
            </w:r>
          </w:p>
          <w:p>
            <w:pPr>
              <w:pStyle w:val="84"/>
              <w:spacing w:line="360" w:lineRule="auto"/>
              <w:jc w:val="left"/>
              <w:rPr>
                <w:sz w:val="24"/>
              </w:rPr>
            </w:pPr>
            <w:r>
              <w:rPr>
                <w:rFonts w:hint="eastAsia"/>
                <w:sz w:val="24"/>
              </w:rPr>
              <w:t>本条属于一星级的要求。</w:t>
            </w:r>
          </w:p>
        </w:tc>
      </w:tr>
    </w:tbl>
    <w:p>
      <w:pPr>
        <w:spacing w:line="360" w:lineRule="auto"/>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18、需独立考核用电量的功能区域设置用电计量。</w:t>
      </w:r>
    </w:p>
    <w:tbl>
      <w:tblPr>
        <w:tblStyle w:val="44"/>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2073"/>
        <w:gridCol w:w="1382"/>
        <w:gridCol w:w="4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pPr>
              <w:pStyle w:val="84"/>
              <w:spacing w:line="360" w:lineRule="auto"/>
              <w:rPr>
                <w:sz w:val="24"/>
              </w:rPr>
            </w:pPr>
            <w:r>
              <w:rPr>
                <w:rFonts w:hint="eastAsia"/>
                <w:sz w:val="24"/>
              </w:rPr>
              <w:t>条文来源</w:t>
            </w:r>
          </w:p>
        </w:tc>
        <w:tc>
          <w:tcPr>
            <w:tcW w:w="2073" w:type="dxa"/>
            <w:shd w:val="clear" w:color="auto" w:fill="auto"/>
            <w:vAlign w:val="center"/>
          </w:tcPr>
          <w:p>
            <w:pPr>
              <w:pStyle w:val="84"/>
              <w:spacing w:line="360" w:lineRule="auto"/>
              <w:rPr>
                <w:sz w:val="24"/>
              </w:rPr>
            </w:pPr>
            <w:r>
              <w:rPr>
                <w:rFonts w:hint="eastAsia"/>
                <w:sz w:val="24"/>
              </w:rPr>
              <w:t>DB33/1092-2021</w:t>
            </w:r>
          </w:p>
        </w:tc>
        <w:tc>
          <w:tcPr>
            <w:tcW w:w="1382" w:type="dxa"/>
            <w:shd w:val="clear" w:color="auto" w:fill="auto"/>
            <w:vAlign w:val="center"/>
          </w:tcPr>
          <w:p>
            <w:pPr>
              <w:pStyle w:val="84"/>
              <w:spacing w:line="360" w:lineRule="auto"/>
              <w:rPr>
                <w:sz w:val="24"/>
              </w:rPr>
            </w:pPr>
            <w:r>
              <w:rPr>
                <w:rFonts w:hint="eastAsia"/>
                <w:sz w:val="24"/>
              </w:rPr>
              <w:t>9.2.</w:t>
            </w:r>
            <w:r>
              <w:rPr>
                <w:sz w:val="24"/>
              </w:rPr>
              <w:t>12</w:t>
            </w:r>
            <w:r>
              <w:rPr>
                <w:rFonts w:hint="eastAsia"/>
                <w:sz w:val="24"/>
              </w:rPr>
              <w:t>条</w:t>
            </w:r>
          </w:p>
        </w:tc>
        <w:tc>
          <w:tcPr>
            <w:tcW w:w="4896"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pPr>
              <w:pStyle w:val="84"/>
              <w:spacing w:line="360" w:lineRule="auto"/>
              <w:rPr>
                <w:sz w:val="24"/>
              </w:rPr>
            </w:pPr>
            <w:r>
              <w:rPr>
                <w:rFonts w:hint="eastAsia"/>
                <w:sz w:val="24"/>
              </w:rPr>
              <w:t>依据材料</w:t>
            </w:r>
          </w:p>
        </w:tc>
        <w:tc>
          <w:tcPr>
            <w:tcW w:w="8351" w:type="dxa"/>
            <w:gridSpan w:val="3"/>
            <w:shd w:val="clear" w:color="auto" w:fill="auto"/>
          </w:tcPr>
          <w:p>
            <w:pPr>
              <w:pStyle w:val="84"/>
              <w:spacing w:line="360" w:lineRule="auto"/>
              <w:jc w:val="left"/>
              <w:rPr>
                <w:sz w:val="24"/>
              </w:rPr>
            </w:pPr>
            <w:r>
              <w:rPr>
                <w:rFonts w:hint="eastAsia"/>
                <w:sz w:val="24"/>
              </w:rPr>
              <w:t>设计人员应根据供配电系统设计施工图，结合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pPr>
              <w:pStyle w:val="84"/>
              <w:spacing w:line="360" w:lineRule="auto"/>
              <w:rPr>
                <w:sz w:val="24"/>
              </w:rPr>
            </w:pPr>
            <w:r>
              <w:rPr>
                <w:rFonts w:hint="eastAsia"/>
                <w:sz w:val="24"/>
              </w:rPr>
              <w:t>备注</w:t>
            </w:r>
          </w:p>
        </w:tc>
        <w:tc>
          <w:tcPr>
            <w:tcW w:w="8351" w:type="dxa"/>
            <w:gridSpan w:val="3"/>
            <w:shd w:val="clear" w:color="auto" w:fill="auto"/>
          </w:tcPr>
          <w:p>
            <w:pPr>
              <w:pStyle w:val="84"/>
              <w:spacing w:line="360" w:lineRule="auto"/>
              <w:jc w:val="left"/>
              <w:rPr>
                <w:sz w:val="24"/>
              </w:rPr>
            </w:pPr>
            <w:r>
              <w:rPr>
                <w:rFonts w:hint="eastAsia"/>
                <w:sz w:val="24"/>
              </w:rPr>
              <w:t>本条实际上是分户计量的概念，包括公共建筑中需独立考核的部门、功能区域、出租场所等。系统设计时应注意区分、处理好分户、分项计量两者的关系，合理设置计量表计。</w:t>
            </w:r>
          </w:p>
          <w:p>
            <w:pPr>
              <w:pStyle w:val="84"/>
              <w:spacing w:line="360" w:lineRule="auto"/>
              <w:jc w:val="left"/>
              <w:rPr>
                <w:sz w:val="24"/>
              </w:rPr>
            </w:pPr>
            <w:r>
              <w:rPr>
                <w:rFonts w:hint="eastAsia"/>
                <w:sz w:val="24"/>
              </w:rPr>
              <w:t>本条属于一星级的要求。</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19、设置可再生能源发电系统；</w:t>
      </w:r>
    </w:p>
    <w:p>
      <w:pPr>
        <w:spacing w:line="360" w:lineRule="auto"/>
        <w:ind w:firstLine="480" w:firstLineChars="200"/>
        <w:rPr>
          <w:rFonts w:asciiTheme="minorEastAsia" w:hAnsiTheme="minorEastAsia" w:eastAsiaTheme="minorEastAsia"/>
          <w:sz w:val="24"/>
          <w:lang w:val="en-GB"/>
        </w:rPr>
      </w:pPr>
      <w:r>
        <w:rPr>
          <w:rFonts w:hint="eastAsia" w:asciiTheme="minorEastAsia" w:hAnsiTheme="minorEastAsia" w:eastAsiaTheme="minorEastAsia"/>
          <w:sz w:val="24"/>
          <w:lang w:val="en-GB"/>
        </w:rPr>
        <w:t>能源种类；</w:t>
      </w:r>
    </w:p>
    <w:p>
      <w:pPr>
        <w:spacing w:line="360" w:lineRule="auto"/>
        <w:ind w:firstLine="480" w:firstLineChars="200"/>
        <w:rPr>
          <w:rFonts w:asciiTheme="minorEastAsia" w:hAnsiTheme="minorEastAsia" w:eastAsiaTheme="minorEastAsia"/>
          <w:sz w:val="24"/>
          <w:lang w:val="en-GB"/>
        </w:rPr>
      </w:pPr>
      <w:r>
        <w:rPr>
          <w:rFonts w:hint="eastAsia" w:asciiTheme="minorEastAsia" w:hAnsiTheme="minorEastAsia" w:eastAsiaTheme="minorEastAsia"/>
          <w:sz w:val="24"/>
          <w:lang w:val="en-GB"/>
        </w:rPr>
        <w:t>设置位置</w:t>
      </w:r>
      <w:r>
        <w:rPr>
          <w:rFonts w:asciiTheme="minorEastAsia" w:hAnsiTheme="minorEastAsia" w:eastAsiaTheme="minorEastAsia"/>
          <w:sz w:val="24"/>
          <w:u w:val="single"/>
          <w:lang w:val="en-GB"/>
        </w:rPr>
        <w:t xml:space="preserve">           </w:t>
      </w:r>
      <w:r>
        <w:rPr>
          <w:rFonts w:hint="eastAsia" w:asciiTheme="minorEastAsia" w:hAnsiTheme="minorEastAsia" w:eastAsiaTheme="minorEastAsia"/>
          <w:sz w:val="24"/>
          <w:lang w:val="en-GB"/>
        </w:rPr>
        <w:t>； 采用并网系统；</w:t>
      </w:r>
    </w:p>
    <w:p>
      <w:pPr>
        <w:spacing w:line="360" w:lineRule="auto"/>
        <w:ind w:firstLine="480" w:firstLineChars="200"/>
        <w:rPr>
          <w:rFonts w:asciiTheme="minorEastAsia" w:hAnsiTheme="minorEastAsia" w:eastAsiaTheme="minorEastAsia"/>
          <w:sz w:val="24"/>
          <w:lang w:val="en-GB"/>
        </w:rPr>
      </w:pPr>
      <w:r>
        <w:rPr>
          <w:rFonts w:hint="eastAsia" w:asciiTheme="minorEastAsia" w:hAnsiTheme="minorEastAsia" w:eastAsiaTheme="minorEastAsia"/>
          <w:sz w:val="24"/>
          <w:lang w:val="en-GB"/>
        </w:rPr>
        <w:t>系统峰值发电容量：</w:t>
      </w:r>
      <w:r>
        <w:rPr>
          <w:rFonts w:asciiTheme="minorEastAsia" w:hAnsiTheme="minorEastAsia" w:eastAsiaTheme="minorEastAsia"/>
          <w:sz w:val="24"/>
          <w:u w:val="single"/>
          <w:lang w:val="en-GB"/>
        </w:rPr>
        <w:t xml:space="preserve">      </w:t>
      </w:r>
      <w:r>
        <w:rPr>
          <w:rFonts w:hint="eastAsia" w:asciiTheme="minorEastAsia" w:hAnsiTheme="minorEastAsia" w:eastAsiaTheme="minorEastAsia"/>
          <w:sz w:val="24"/>
          <w:lang w:val="en-GB"/>
        </w:rPr>
        <w:t>kWp；设计年发电量</w:t>
      </w:r>
      <w:r>
        <w:rPr>
          <w:rFonts w:asciiTheme="minorEastAsia" w:hAnsiTheme="minorEastAsia" w:eastAsiaTheme="minorEastAsia"/>
          <w:sz w:val="24"/>
          <w:u w:val="single"/>
          <w:lang w:val="en-GB"/>
        </w:rPr>
        <w:t xml:space="preserve">        </w:t>
      </w:r>
      <w:r>
        <w:rPr>
          <w:rFonts w:hint="eastAsia" w:asciiTheme="minorEastAsia" w:hAnsiTheme="minorEastAsia" w:eastAsiaTheme="minorEastAsia"/>
          <w:sz w:val="24"/>
          <w:lang w:val="en-GB"/>
        </w:rPr>
        <w:t>kWh ；</w:t>
      </w:r>
    </w:p>
    <w:p>
      <w:pPr>
        <w:spacing w:line="360" w:lineRule="auto"/>
        <w:ind w:firstLine="480" w:firstLineChars="200"/>
        <w:rPr>
          <w:rFonts w:asciiTheme="minorEastAsia" w:hAnsiTheme="minorEastAsia" w:eastAsiaTheme="minorEastAsia"/>
          <w:sz w:val="24"/>
          <w:lang w:val="en-GB"/>
        </w:rPr>
      </w:pPr>
      <w:r>
        <w:rPr>
          <w:rFonts w:hint="eastAsia" w:asciiTheme="minorEastAsia" w:hAnsiTheme="minorEastAsia" w:eastAsiaTheme="minorEastAsia"/>
          <w:sz w:val="24"/>
          <w:lang w:val="en-GB"/>
        </w:rPr>
        <w:t>太阳能光伏电池的种类：</w:t>
      </w:r>
      <w:r>
        <w:rPr>
          <w:rFonts w:asciiTheme="minorEastAsia" w:hAnsiTheme="minorEastAsia" w:eastAsiaTheme="minorEastAsia"/>
          <w:sz w:val="24"/>
          <w:u w:val="single"/>
          <w:lang w:val="en-GB"/>
        </w:rPr>
        <w:t xml:space="preserve">      </w:t>
      </w:r>
      <w:r>
        <w:rPr>
          <w:rFonts w:hint="eastAsia" w:asciiTheme="minorEastAsia" w:hAnsiTheme="minorEastAsia" w:eastAsiaTheme="minorEastAsia"/>
          <w:sz w:val="24"/>
          <w:lang w:val="en-GB"/>
        </w:rPr>
        <w:t>；光伏与建筑结合类型。</w:t>
      </w:r>
    </w:p>
    <w:tbl>
      <w:tblPr>
        <w:tblStyle w:val="44"/>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6"/>
        <w:gridCol w:w="8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shd w:val="clear" w:color="auto" w:fill="auto"/>
            <w:vAlign w:val="center"/>
          </w:tcPr>
          <w:p>
            <w:pPr>
              <w:pStyle w:val="84"/>
              <w:spacing w:line="360" w:lineRule="auto"/>
              <w:rPr>
                <w:sz w:val="24"/>
              </w:rPr>
            </w:pPr>
            <w:r>
              <w:rPr>
                <w:rFonts w:hint="eastAsia"/>
                <w:sz w:val="24"/>
              </w:rPr>
              <w:t>依据材料</w:t>
            </w:r>
          </w:p>
        </w:tc>
        <w:tc>
          <w:tcPr>
            <w:tcW w:w="8192" w:type="dxa"/>
            <w:shd w:val="clear" w:color="auto" w:fill="auto"/>
          </w:tcPr>
          <w:p>
            <w:pPr>
              <w:pStyle w:val="84"/>
              <w:spacing w:line="360" w:lineRule="auto"/>
              <w:jc w:val="left"/>
              <w:rPr>
                <w:sz w:val="24"/>
              </w:rPr>
            </w:pPr>
            <w:r>
              <w:rPr>
                <w:rFonts w:hint="eastAsia"/>
                <w:sz w:val="24"/>
              </w:rPr>
              <w:t>设计人员应根据可再生能源发电系统设计施工图，结合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本条并不要求一定要设置</w:t>
            </w:r>
            <w:r>
              <w:rPr>
                <w:rFonts w:hint="eastAsia"/>
                <w:sz w:val="24"/>
                <w:lang w:val="en-GB"/>
              </w:rPr>
              <w:t>可再生能源</w:t>
            </w:r>
            <w:r>
              <w:rPr>
                <w:rFonts w:hint="eastAsia"/>
                <w:sz w:val="24"/>
              </w:rPr>
              <w:t>发电系统，是否设置应与其他专业的可再生能源利用综合考虑。</w:t>
            </w:r>
          </w:p>
          <w:p>
            <w:pPr>
              <w:pStyle w:val="84"/>
              <w:spacing w:line="360" w:lineRule="auto"/>
              <w:jc w:val="left"/>
              <w:rPr>
                <w:sz w:val="24"/>
                <w:lang w:val="en-GB"/>
              </w:rPr>
            </w:pPr>
            <w:r>
              <w:rPr>
                <w:rFonts w:hint="eastAsia"/>
                <w:sz w:val="24"/>
                <w:lang w:val="en-GB"/>
              </w:rPr>
              <w:t>若没有设置可再生能源发电系统，第一项选“否”，其余选项不填，或删去此条不再列出。</w:t>
            </w:r>
          </w:p>
          <w:p>
            <w:pPr>
              <w:pStyle w:val="84"/>
              <w:spacing w:line="360" w:lineRule="auto"/>
              <w:jc w:val="left"/>
              <w:rPr>
                <w:sz w:val="24"/>
                <w:lang w:val="en-GB"/>
              </w:rPr>
            </w:pPr>
            <w:r>
              <w:rPr>
                <w:rFonts w:hint="eastAsia"/>
                <w:sz w:val="24"/>
                <w:lang w:val="en-GB"/>
              </w:rPr>
              <w:t>设置位置指屋面、立面、阳台等场所。</w:t>
            </w:r>
          </w:p>
          <w:p>
            <w:pPr>
              <w:pStyle w:val="84"/>
              <w:spacing w:line="360" w:lineRule="auto"/>
              <w:jc w:val="left"/>
              <w:rPr>
                <w:sz w:val="24"/>
              </w:rPr>
            </w:pPr>
            <w:r>
              <w:rPr>
                <w:sz w:val="24"/>
                <w:lang w:val="en-GB"/>
              </w:rPr>
              <w:t>常用的光伏电池的种类有单晶硅</w:t>
            </w:r>
            <w:r>
              <w:rPr>
                <w:rFonts w:hint="eastAsia"/>
                <w:sz w:val="24"/>
                <w:lang w:val="en-GB"/>
              </w:rPr>
              <w:t>、</w:t>
            </w:r>
            <w:r>
              <w:rPr>
                <w:sz w:val="24"/>
                <w:lang w:val="en-GB"/>
              </w:rPr>
              <w:t>多晶硅</w:t>
            </w:r>
            <w:r>
              <w:rPr>
                <w:rFonts w:hint="eastAsia"/>
                <w:sz w:val="24"/>
                <w:lang w:val="en-GB"/>
              </w:rPr>
              <w:t>、薄膜、碲化镉、钙钛矿</w:t>
            </w:r>
            <w:r>
              <w:rPr>
                <w:sz w:val="24"/>
                <w:lang w:val="en-GB"/>
              </w:rPr>
              <w:t>等等</w:t>
            </w:r>
            <w:r>
              <w:rPr>
                <w:rFonts w:hint="eastAsia"/>
                <w:sz w:val="24"/>
                <w:lang w:val="en-GB"/>
              </w:rPr>
              <w:t>，还会有新产品不断出现。</w:t>
            </w:r>
            <w:r>
              <w:rPr>
                <w:sz w:val="24"/>
                <w:lang w:val="en-GB"/>
              </w:rPr>
              <w:t>按实际采用的情况填写</w:t>
            </w:r>
            <w:r>
              <w:rPr>
                <w:rFonts w:hint="eastAsia"/>
                <w:sz w:val="24"/>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shd w:val="clear" w:color="auto" w:fill="auto"/>
            <w:vAlign w:val="center"/>
          </w:tcPr>
          <w:p>
            <w:pPr>
              <w:pStyle w:val="84"/>
              <w:spacing w:line="360" w:lineRule="auto"/>
              <w:rPr>
                <w:sz w:val="24"/>
              </w:rPr>
            </w:pPr>
            <w:r>
              <w:rPr>
                <w:rFonts w:hint="eastAsia"/>
                <w:sz w:val="24"/>
              </w:rPr>
              <w:t>备注</w:t>
            </w:r>
          </w:p>
        </w:tc>
        <w:tc>
          <w:tcPr>
            <w:tcW w:w="8192" w:type="dxa"/>
            <w:shd w:val="clear" w:color="auto" w:fill="auto"/>
          </w:tcPr>
          <w:p>
            <w:pPr>
              <w:pStyle w:val="84"/>
              <w:spacing w:line="360" w:lineRule="auto"/>
              <w:jc w:val="left"/>
              <w:rPr>
                <w:sz w:val="24"/>
                <w:lang w:val="en-GB"/>
              </w:rPr>
            </w:pPr>
            <w:r>
              <w:rPr>
                <w:rFonts w:hint="eastAsia"/>
                <w:sz w:val="24"/>
              </w:rPr>
              <w:t>在绿色星级评定时，本条为得分项。</w:t>
            </w:r>
            <w:r>
              <w:rPr>
                <w:rFonts w:hint="eastAsia"/>
                <w:sz w:val="24"/>
                <w:lang w:val="en-GB"/>
              </w:rPr>
              <w:t>系统的发电量越大，得分越高。</w:t>
            </w:r>
          </w:p>
          <w:p>
            <w:pPr>
              <w:pStyle w:val="84"/>
              <w:spacing w:line="360" w:lineRule="auto"/>
              <w:jc w:val="left"/>
              <w:rPr>
                <w:sz w:val="24"/>
              </w:rPr>
            </w:pPr>
            <w:r>
              <w:rPr>
                <w:sz w:val="24"/>
              </w:rPr>
              <w:t>当采用可再生能源发电系统时，建议采用并网型系统，这样可充分利用能源，不需装设储能环节，降低成本。</w:t>
            </w:r>
            <w:r>
              <w:rPr>
                <w:rFonts w:hint="eastAsia"/>
                <w:sz w:val="24"/>
              </w:rPr>
              <w:t>一体化设计利于保证工程质量。</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 xml:space="preserve">20、其它需说明的有关绿色（节能）的设计：                    </w:t>
      </w:r>
    </w:p>
    <w:tbl>
      <w:tblPr>
        <w:tblStyle w:val="44"/>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0"/>
        <w:gridCol w:w="8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shd w:val="clear" w:color="auto" w:fill="auto"/>
            <w:vAlign w:val="center"/>
          </w:tcPr>
          <w:p>
            <w:pPr>
              <w:pStyle w:val="84"/>
              <w:spacing w:line="360" w:lineRule="auto"/>
              <w:rPr>
                <w:sz w:val="24"/>
              </w:rPr>
            </w:pPr>
            <w:r>
              <w:rPr>
                <w:rFonts w:hint="eastAsia"/>
                <w:sz w:val="24"/>
              </w:rPr>
              <w:t>依据材料</w:t>
            </w:r>
          </w:p>
        </w:tc>
        <w:tc>
          <w:tcPr>
            <w:tcW w:w="8158" w:type="dxa"/>
            <w:shd w:val="clear" w:color="auto" w:fill="auto"/>
          </w:tcPr>
          <w:p>
            <w:pPr>
              <w:pStyle w:val="84"/>
              <w:spacing w:line="360" w:lineRule="auto"/>
              <w:jc w:val="left"/>
              <w:rPr>
                <w:sz w:val="24"/>
              </w:rPr>
            </w:pPr>
            <w:r>
              <w:rPr>
                <w:rFonts w:hint="eastAsia"/>
                <w:sz w:val="24"/>
              </w:rPr>
              <w:t>设计人员应根据施工图设计，结合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0" w:type="dxa"/>
            <w:shd w:val="clear" w:color="auto" w:fill="auto"/>
            <w:vAlign w:val="center"/>
          </w:tcPr>
          <w:p>
            <w:pPr>
              <w:pStyle w:val="84"/>
              <w:spacing w:line="360" w:lineRule="auto"/>
              <w:rPr>
                <w:sz w:val="24"/>
              </w:rPr>
            </w:pPr>
            <w:r>
              <w:rPr>
                <w:rFonts w:hint="eastAsia"/>
                <w:sz w:val="24"/>
              </w:rPr>
              <w:t>备注</w:t>
            </w:r>
          </w:p>
        </w:tc>
        <w:tc>
          <w:tcPr>
            <w:tcW w:w="8158" w:type="dxa"/>
            <w:shd w:val="clear" w:color="auto" w:fill="auto"/>
          </w:tcPr>
          <w:p>
            <w:pPr>
              <w:pStyle w:val="84"/>
              <w:spacing w:line="360" w:lineRule="auto"/>
              <w:jc w:val="left"/>
              <w:rPr>
                <w:sz w:val="24"/>
              </w:rPr>
            </w:pPr>
            <w:r>
              <w:rPr>
                <w:rFonts w:hint="eastAsia"/>
                <w:sz w:val="24"/>
              </w:rPr>
              <w:t>本专篇无法列出所有的节能技术，新的技术也会不断出现。若采用了本专篇以外的新技术，应简要说明，可在星级评定时酌情加分。</w:t>
            </w:r>
          </w:p>
        </w:tc>
      </w:tr>
    </w:tbl>
    <w:p>
      <w:pPr>
        <w:spacing w:line="360" w:lineRule="auto"/>
        <w:rPr>
          <w:rFonts w:asciiTheme="minorEastAsia" w:hAnsiTheme="minorEastAsia" w:eastAsiaTheme="minorEastAsia"/>
          <w:sz w:val="24"/>
        </w:rPr>
      </w:pPr>
    </w:p>
    <w:p>
      <w:pPr>
        <w:widowControl/>
        <w:spacing w:line="360" w:lineRule="auto"/>
        <w:ind w:firstLine="420"/>
        <w:jc w:val="left"/>
        <w:rPr>
          <w:rFonts w:asciiTheme="minorEastAsia" w:hAnsiTheme="minorEastAsia" w:eastAsiaTheme="minorEastAsia"/>
          <w:sz w:val="24"/>
        </w:rPr>
      </w:pPr>
      <w:r>
        <w:rPr>
          <w:rFonts w:asciiTheme="minorEastAsia" w:hAnsiTheme="minorEastAsia" w:eastAsiaTheme="minorEastAsia"/>
          <w:sz w:val="24"/>
        </w:rPr>
        <w:br w:type="page"/>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三、智能化设计技术措施</w:t>
      </w:r>
    </w:p>
    <w:p>
      <w:pPr>
        <w:spacing w:line="360" w:lineRule="auto"/>
        <w:ind w:firstLine="482"/>
        <w:jc w:val="left"/>
        <w:rPr>
          <w:rFonts w:asciiTheme="minorEastAsia" w:hAnsiTheme="minorEastAsia" w:eastAsiaTheme="minorEastAsia"/>
          <w:sz w:val="24"/>
        </w:rPr>
      </w:pPr>
      <w:r>
        <w:rPr>
          <w:rFonts w:hint="eastAsia" w:asciiTheme="minorEastAsia" w:hAnsiTheme="minorEastAsia" w:eastAsiaTheme="minorEastAsia"/>
          <w:b/>
          <w:sz w:val="24"/>
        </w:rPr>
        <w:t>控制项内容：</w:t>
      </w:r>
      <w:r>
        <w:rPr>
          <w:rFonts w:hint="eastAsia" w:asciiTheme="minorEastAsia" w:hAnsiTheme="minorEastAsia" w:eastAsiaTheme="minorEastAsia"/>
          <w:sz w:val="24"/>
        </w:rPr>
        <w:t>本栏各条均为DB33/1092-2021的基本要求，是绿色建筑设计的强制性控制内容，必须逐条满足。在项目实际设计中，若未涉及某一条内容，则不必列写该条。</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1、建筑设备具有自动监控管理功能。</w:t>
      </w:r>
    </w:p>
    <w:tbl>
      <w:tblPr>
        <w:tblStyle w:val="44"/>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2158"/>
        <w:gridCol w:w="1282"/>
        <w:gridCol w:w="4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pPr>
              <w:pStyle w:val="84"/>
              <w:spacing w:line="360" w:lineRule="auto"/>
              <w:rPr>
                <w:sz w:val="24"/>
              </w:rPr>
            </w:pPr>
            <w:r>
              <w:rPr>
                <w:rFonts w:hint="eastAsia"/>
                <w:sz w:val="24"/>
              </w:rPr>
              <w:t>条文来源</w:t>
            </w:r>
          </w:p>
        </w:tc>
        <w:tc>
          <w:tcPr>
            <w:tcW w:w="2158" w:type="dxa"/>
            <w:shd w:val="clear" w:color="auto" w:fill="auto"/>
            <w:vAlign w:val="center"/>
          </w:tcPr>
          <w:p>
            <w:pPr>
              <w:pStyle w:val="84"/>
              <w:spacing w:line="360" w:lineRule="auto"/>
              <w:rPr>
                <w:sz w:val="24"/>
              </w:rPr>
            </w:pPr>
            <w:r>
              <w:rPr>
                <w:rFonts w:hint="eastAsia"/>
                <w:sz w:val="24"/>
              </w:rPr>
              <w:t>DB33/1092-2021</w:t>
            </w:r>
          </w:p>
        </w:tc>
        <w:tc>
          <w:tcPr>
            <w:tcW w:w="1282" w:type="dxa"/>
            <w:shd w:val="clear" w:color="auto" w:fill="auto"/>
            <w:vAlign w:val="center"/>
          </w:tcPr>
          <w:p>
            <w:pPr>
              <w:pStyle w:val="84"/>
              <w:spacing w:line="360" w:lineRule="auto"/>
              <w:rPr>
                <w:sz w:val="24"/>
              </w:rPr>
            </w:pPr>
            <w:r>
              <w:rPr>
                <w:rFonts w:hint="eastAsia"/>
                <w:sz w:val="24"/>
              </w:rPr>
              <w:t>9.1.7条</w:t>
            </w:r>
          </w:p>
        </w:tc>
        <w:tc>
          <w:tcPr>
            <w:tcW w:w="4911" w:type="dxa"/>
            <w:shd w:val="clear" w:color="auto" w:fill="auto"/>
            <w:vAlign w:val="center"/>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pPr>
              <w:pStyle w:val="84"/>
              <w:spacing w:line="360" w:lineRule="auto"/>
              <w:rPr>
                <w:sz w:val="24"/>
              </w:rPr>
            </w:pPr>
            <w:r>
              <w:rPr>
                <w:rFonts w:hint="eastAsia"/>
                <w:sz w:val="24"/>
              </w:rPr>
              <w:t>依据材料</w:t>
            </w:r>
          </w:p>
        </w:tc>
        <w:tc>
          <w:tcPr>
            <w:tcW w:w="8351" w:type="dxa"/>
            <w:gridSpan w:val="3"/>
            <w:shd w:val="clear" w:color="auto" w:fill="auto"/>
          </w:tcPr>
          <w:p>
            <w:pPr>
              <w:pStyle w:val="84"/>
              <w:spacing w:line="360" w:lineRule="auto"/>
              <w:jc w:val="left"/>
              <w:rPr>
                <w:sz w:val="24"/>
              </w:rPr>
            </w:pPr>
            <w:r>
              <w:rPr>
                <w:rFonts w:hint="eastAsia"/>
                <w:sz w:val="24"/>
              </w:rPr>
              <w:t>设计人员应根据智能化系统、建筑设备的监控设计施工图，结合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若项目没有设置BA系统，则此条由强电专业设计，删去此条不再列出。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pPr>
              <w:pStyle w:val="84"/>
              <w:spacing w:line="360" w:lineRule="auto"/>
              <w:rPr>
                <w:sz w:val="24"/>
              </w:rPr>
            </w:pPr>
            <w:r>
              <w:rPr>
                <w:rFonts w:hint="eastAsia"/>
                <w:sz w:val="24"/>
              </w:rPr>
              <w:t>备注</w:t>
            </w:r>
          </w:p>
        </w:tc>
        <w:tc>
          <w:tcPr>
            <w:tcW w:w="8351" w:type="dxa"/>
            <w:gridSpan w:val="3"/>
            <w:shd w:val="clear" w:color="auto" w:fill="auto"/>
          </w:tcPr>
          <w:p>
            <w:pPr>
              <w:pStyle w:val="84"/>
              <w:spacing w:line="360" w:lineRule="auto"/>
              <w:jc w:val="left"/>
              <w:rPr>
                <w:sz w:val="24"/>
              </w:rPr>
            </w:pPr>
            <w:r>
              <w:rPr>
                <w:rFonts w:hint="eastAsia"/>
                <w:sz w:val="24"/>
              </w:rPr>
              <w:t>本条的着重点不在于是否设置BAS或建筑设备一体化监控系统，而是强调</w:t>
            </w:r>
            <w:r>
              <w:rPr>
                <w:sz w:val="24"/>
              </w:rPr>
              <w:t>应进行</w:t>
            </w:r>
            <w:r>
              <w:rPr>
                <w:rFonts w:hint="eastAsia"/>
                <w:sz w:val="24"/>
              </w:rPr>
              <w:t>必要的</w:t>
            </w:r>
            <w:r>
              <w:rPr>
                <w:sz w:val="24"/>
              </w:rPr>
              <w:t>监控</w:t>
            </w:r>
            <w:r>
              <w:rPr>
                <w:rFonts w:hint="eastAsia"/>
                <w:sz w:val="24"/>
              </w:rPr>
              <w:t>。对于规模较小的建筑，</w:t>
            </w:r>
            <w:r>
              <w:rPr>
                <w:sz w:val="24"/>
              </w:rPr>
              <w:t>即使未设BA</w:t>
            </w:r>
            <w:r>
              <w:rPr>
                <w:rFonts w:hint="eastAsia"/>
                <w:sz w:val="24"/>
              </w:rPr>
              <w:t>之类的系统</w:t>
            </w:r>
            <w:r>
              <w:rPr>
                <w:sz w:val="24"/>
              </w:rPr>
              <w:t>，也应设置简易有效的监测、控制措施，使其良好、高效地工作，避免浪费能源。</w:t>
            </w:r>
          </w:p>
          <w:p>
            <w:pPr>
              <w:pStyle w:val="84"/>
              <w:spacing w:line="360" w:lineRule="auto"/>
              <w:jc w:val="left"/>
              <w:rPr>
                <w:sz w:val="24"/>
              </w:rPr>
            </w:pPr>
            <w:r>
              <w:rPr>
                <w:rFonts w:hint="eastAsia"/>
                <w:sz w:val="24"/>
              </w:rPr>
              <w:t>本条为基本要求，必须满足。</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2、设有合理的信息网络系统。</w:t>
      </w:r>
    </w:p>
    <w:tbl>
      <w:tblPr>
        <w:tblStyle w:val="44"/>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1896"/>
        <w:gridCol w:w="1551"/>
        <w:gridCol w:w="4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268" w:type="dxa"/>
            <w:shd w:val="clear" w:color="auto" w:fill="auto"/>
            <w:vAlign w:val="center"/>
          </w:tcPr>
          <w:p>
            <w:pPr>
              <w:pStyle w:val="84"/>
              <w:spacing w:line="360" w:lineRule="auto"/>
              <w:rPr>
                <w:sz w:val="24"/>
              </w:rPr>
            </w:pPr>
            <w:r>
              <w:rPr>
                <w:rFonts w:hint="eastAsia"/>
                <w:sz w:val="24"/>
              </w:rPr>
              <w:t>条文来源</w:t>
            </w:r>
          </w:p>
        </w:tc>
        <w:tc>
          <w:tcPr>
            <w:tcW w:w="1778" w:type="dxa"/>
            <w:shd w:val="clear" w:color="auto" w:fill="auto"/>
            <w:vAlign w:val="center"/>
          </w:tcPr>
          <w:p>
            <w:pPr>
              <w:pStyle w:val="84"/>
              <w:spacing w:line="360" w:lineRule="auto"/>
              <w:rPr>
                <w:sz w:val="24"/>
              </w:rPr>
            </w:pPr>
            <w:r>
              <w:rPr>
                <w:rFonts w:hint="eastAsia"/>
                <w:sz w:val="24"/>
              </w:rPr>
              <w:t>DB33/1092-2021</w:t>
            </w:r>
          </w:p>
        </w:tc>
        <w:tc>
          <w:tcPr>
            <w:tcW w:w="1566" w:type="dxa"/>
            <w:shd w:val="clear" w:color="auto" w:fill="auto"/>
            <w:vAlign w:val="center"/>
          </w:tcPr>
          <w:p>
            <w:pPr>
              <w:pStyle w:val="84"/>
              <w:spacing w:line="360" w:lineRule="auto"/>
              <w:rPr>
                <w:sz w:val="24"/>
              </w:rPr>
            </w:pPr>
            <w:r>
              <w:rPr>
                <w:rFonts w:hint="eastAsia"/>
                <w:sz w:val="24"/>
              </w:rPr>
              <w:t>9.1.8条</w:t>
            </w:r>
          </w:p>
        </w:tc>
        <w:tc>
          <w:tcPr>
            <w:tcW w:w="4866" w:type="dxa"/>
            <w:shd w:val="clear" w:color="auto" w:fill="auto"/>
            <w:vAlign w:val="center"/>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8" w:type="dxa"/>
            <w:shd w:val="clear" w:color="auto" w:fill="auto"/>
            <w:vAlign w:val="center"/>
          </w:tcPr>
          <w:p>
            <w:pPr>
              <w:pStyle w:val="84"/>
              <w:spacing w:line="360" w:lineRule="auto"/>
              <w:rPr>
                <w:sz w:val="24"/>
              </w:rPr>
            </w:pPr>
            <w:r>
              <w:rPr>
                <w:rFonts w:hint="eastAsia"/>
                <w:sz w:val="24"/>
              </w:rPr>
              <w:t>依据材料</w:t>
            </w:r>
          </w:p>
        </w:tc>
        <w:tc>
          <w:tcPr>
            <w:tcW w:w="8210" w:type="dxa"/>
            <w:gridSpan w:val="3"/>
            <w:shd w:val="clear" w:color="auto" w:fill="auto"/>
          </w:tcPr>
          <w:p>
            <w:pPr>
              <w:pStyle w:val="84"/>
              <w:spacing w:line="360" w:lineRule="auto"/>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8" w:type="dxa"/>
            <w:shd w:val="clear" w:color="auto" w:fill="auto"/>
            <w:vAlign w:val="center"/>
          </w:tcPr>
          <w:p>
            <w:pPr>
              <w:pStyle w:val="84"/>
              <w:spacing w:line="360" w:lineRule="auto"/>
              <w:rPr>
                <w:sz w:val="24"/>
              </w:rPr>
            </w:pPr>
            <w:r>
              <w:rPr>
                <w:rFonts w:hint="eastAsia"/>
                <w:sz w:val="24"/>
              </w:rPr>
              <w:t>备注</w:t>
            </w:r>
          </w:p>
        </w:tc>
        <w:tc>
          <w:tcPr>
            <w:tcW w:w="8210" w:type="dxa"/>
            <w:gridSpan w:val="3"/>
            <w:shd w:val="clear" w:color="auto" w:fill="auto"/>
          </w:tcPr>
          <w:p>
            <w:pPr>
              <w:pStyle w:val="84"/>
              <w:spacing w:line="360" w:lineRule="auto"/>
              <w:jc w:val="left"/>
              <w:rPr>
                <w:sz w:val="24"/>
              </w:rPr>
            </w:pPr>
            <w:r>
              <w:rPr>
                <w:rFonts w:hint="eastAsia"/>
                <w:sz w:val="24"/>
              </w:rPr>
              <w:t>随着技术、生活水平提高，信息网络系统已成为工作、生活不可或缺的条件。</w:t>
            </w:r>
          </w:p>
          <w:p>
            <w:pPr>
              <w:pStyle w:val="84"/>
              <w:spacing w:line="360" w:lineRule="auto"/>
              <w:jc w:val="left"/>
              <w:rPr>
                <w:sz w:val="24"/>
              </w:rPr>
            </w:pPr>
            <w:r>
              <w:rPr>
                <w:rFonts w:hint="eastAsia"/>
                <w:sz w:val="24"/>
              </w:rPr>
              <w:t>本条为基本要求，必须满足。</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3、针对用电分项计量系统，实施数据远程传输与记录，并向主管部门监测平台上传数据。</w:t>
      </w:r>
    </w:p>
    <w:tbl>
      <w:tblPr>
        <w:tblStyle w:val="44"/>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1896"/>
        <w:gridCol w:w="1542"/>
        <w:gridCol w:w="4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shd w:val="clear" w:color="auto" w:fill="auto"/>
            <w:vAlign w:val="center"/>
          </w:tcPr>
          <w:p>
            <w:pPr>
              <w:pStyle w:val="84"/>
              <w:spacing w:line="360" w:lineRule="auto"/>
              <w:rPr>
                <w:sz w:val="24"/>
              </w:rPr>
            </w:pPr>
            <w:r>
              <w:rPr>
                <w:rFonts w:hint="eastAsia"/>
                <w:sz w:val="24"/>
              </w:rPr>
              <w:t>条文来源</w:t>
            </w:r>
          </w:p>
        </w:tc>
        <w:tc>
          <w:tcPr>
            <w:tcW w:w="1582" w:type="dxa"/>
            <w:shd w:val="clear" w:color="auto" w:fill="auto"/>
            <w:vAlign w:val="center"/>
          </w:tcPr>
          <w:p>
            <w:pPr>
              <w:pStyle w:val="84"/>
              <w:spacing w:line="360" w:lineRule="auto"/>
              <w:rPr>
                <w:sz w:val="24"/>
              </w:rPr>
            </w:pPr>
            <w:r>
              <w:rPr>
                <w:rFonts w:hint="eastAsia"/>
                <w:sz w:val="24"/>
              </w:rPr>
              <w:t>DB33/1092-2021</w:t>
            </w:r>
          </w:p>
        </w:tc>
        <w:tc>
          <w:tcPr>
            <w:tcW w:w="1581" w:type="dxa"/>
            <w:shd w:val="clear" w:color="auto" w:fill="auto"/>
            <w:vAlign w:val="center"/>
          </w:tcPr>
          <w:p>
            <w:pPr>
              <w:pStyle w:val="84"/>
              <w:spacing w:line="360" w:lineRule="auto"/>
              <w:rPr>
                <w:sz w:val="24"/>
              </w:rPr>
            </w:pPr>
            <w:r>
              <w:rPr>
                <w:rFonts w:hint="eastAsia"/>
                <w:sz w:val="24"/>
              </w:rPr>
              <w:t>9.1.6条</w:t>
            </w:r>
          </w:p>
        </w:tc>
        <w:tc>
          <w:tcPr>
            <w:tcW w:w="4955" w:type="dxa"/>
            <w:shd w:val="clear" w:color="auto" w:fill="auto"/>
            <w:vAlign w:val="center"/>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shd w:val="clear" w:color="auto" w:fill="auto"/>
            <w:vAlign w:val="center"/>
          </w:tcPr>
          <w:p>
            <w:pPr>
              <w:pStyle w:val="84"/>
              <w:spacing w:line="360" w:lineRule="auto"/>
              <w:rPr>
                <w:sz w:val="24"/>
              </w:rPr>
            </w:pPr>
            <w:r>
              <w:rPr>
                <w:rFonts w:hint="eastAsia"/>
                <w:sz w:val="24"/>
              </w:rPr>
              <w:t>依据材料</w:t>
            </w:r>
          </w:p>
        </w:tc>
        <w:tc>
          <w:tcPr>
            <w:tcW w:w="8118" w:type="dxa"/>
            <w:gridSpan w:val="3"/>
            <w:shd w:val="clear" w:color="auto" w:fill="auto"/>
          </w:tcPr>
          <w:p>
            <w:pPr>
              <w:pStyle w:val="84"/>
              <w:spacing w:line="360" w:lineRule="auto"/>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若项目未设置用电分项计量系统，则删去此条不再列出。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shd w:val="clear" w:color="auto" w:fill="auto"/>
            <w:vAlign w:val="center"/>
          </w:tcPr>
          <w:p>
            <w:pPr>
              <w:pStyle w:val="84"/>
              <w:spacing w:line="360" w:lineRule="auto"/>
              <w:rPr>
                <w:sz w:val="24"/>
              </w:rPr>
            </w:pPr>
            <w:r>
              <w:rPr>
                <w:rFonts w:hint="eastAsia"/>
                <w:sz w:val="24"/>
              </w:rPr>
              <w:t>备注</w:t>
            </w:r>
          </w:p>
        </w:tc>
        <w:tc>
          <w:tcPr>
            <w:tcW w:w="8118" w:type="dxa"/>
            <w:gridSpan w:val="3"/>
            <w:shd w:val="clear" w:color="auto" w:fill="auto"/>
          </w:tcPr>
          <w:p>
            <w:pPr>
              <w:pStyle w:val="84"/>
              <w:spacing w:line="360" w:lineRule="auto"/>
              <w:jc w:val="left"/>
              <w:rPr>
                <w:sz w:val="24"/>
              </w:rPr>
            </w:pPr>
            <w:r>
              <w:rPr>
                <w:rFonts w:hint="eastAsia"/>
                <w:sz w:val="24"/>
              </w:rPr>
              <w:t>本条从弱电系统的角度，要求通过网络将用电分项计量系统的数据进行采集、传输、上传。这是</w:t>
            </w:r>
            <w:r>
              <w:rPr>
                <w:sz w:val="24"/>
              </w:rPr>
              <w:t>《公共建筑用电分项计量系统设计标准》DB33/1090</w:t>
            </w:r>
            <w:r>
              <w:rPr>
                <w:rFonts w:hint="eastAsia"/>
                <w:sz w:val="24"/>
              </w:rPr>
              <w:t>的基本规定。</w:t>
            </w:r>
          </w:p>
          <w:p>
            <w:pPr>
              <w:pStyle w:val="84"/>
              <w:spacing w:line="360" w:lineRule="auto"/>
              <w:jc w:val="left"/>
              <w:rPr>
                <w:sz w:val="24"/>
              </w:rPr>
            </w:pPr>
            <w:r>
              <w:rPr>
                <w:rFonts w:hint="eastAsia"/>
                <w:sz w:val="24"/>
              </w:rPr>
              <w:t>本条基本要求，必须满足。</w:t>
            </w:r>
          </w:p>
        </w:tc>
      </w:tr>
    </w:tbl>
    <w:p>
      <w:pPr>
        <w:spacing w:line="360" w:lineRule="auto"/>
        <w:rPr>
          <w:rFonts w:asciiTheme="minorEastAsia" w:hAnsiTheme="minorEastAsia" w:eastAsiaTheme="minorEastAsia"/>
          <w:sz w:val="24"/>
          <w:lang w:val="en-GB"/>
        </w:rPr>
      </w:pPr>
    </w:p>
    <w:p>
      <w:pPr>
        <w:spacing w:line="360" w:lineRule="auto"/>
        <w:ind w:firstLine="482"/>
        <w:rPr>
          <w:rFonts w:asciiTheme="minorEastAsia" w:hAnsiTheme="minorEastAsia" w:eastAsiaTheme="minorEastAsia"/>
          <w:sz w:val="24"/>
        </w:rPr>
      </w:pPr>
      <w:r>
        <w:rPr>
          <w:rFonts w:hint="eastAsia" w:asciiTheme="minorEastAsia" w:hAnsiTheme="minorEastAsia" w:eastAsiaTheme="minorEastAsia"/>
          <w:b/>
          <w:sz w:val="24"/>
        </w:rPr>
        <w:t xml:space="preserve">一般项内容： </w:t>
      </w:r>
      <w:r>
        <w:rPr>
          <w:rFonts w:hint="eastAsia" w:asciiTheme="minorEastAsia" w:hAnsiTheme="minorEastAsia" w:eastAsiaTheme="minorEastAsia"/>
          <w:sz w:val="24"/>
        </w:rPr>
        <w:t>本栏各条为DB33/1092-2021的各星级要求及DB33/1036-2021的要求，可根据绿色建筑的星级要求、节能要求选择性满足。</w:t>
      </w:r>
    </w:p>
    <w:p>
      <w:pPr>
        <w:spacing w:line="360" w:lineRule="auto"/>
        <w:ind w:left="200"/>
        <w:rPr>
          <w:rFonts w:asciiTheme="minorEastAsia" w:hAnsiTheme="minorEastAsia" w:eastAsiaTheme="minorEastAsia"/>
          <w:sz w:val="24"/>
          <w:lang w:val="en-GB"/>
        </w:rPr>
      </w:pPr>
      <w:r>
        <w:rPr>
          <w:rFonts w:asciiTheme="minorEastAsia" w:hAnsiTheme="minorEastAsia" w:eastAsiaTheme="minorEastAsia"/>
          <w:sz w:val="24"/>
          <w:lang w:val="en-GB"/>
        </w:rPr>
        <w:t>1、设置</w:t>
      </w:r>
      <w:r>
        <w:rPr>
          <w:rFonts w:hint="eastAsia" w:asciiTheme="minorEastAsia" w:hAnsiTheme="minorEastAsia" w:eastAsiaTheme="minorEastAsia"/>
          <w:sz w:val="24"/>
          <w:lang w:val="en-GB"/>
        </w:rPr>
        <w:t>能耗监测系统，对</w:t>
      </w:r>
      <w:r>
        <w:rPr>
          <w:rFonts w:asciiTheme="minorEastAsia" w:hAnsiTheme="minorEastAsia" w:eastAsiaTheme="minorEastAsia"/>
          <w:sz w:val="24"/>
          <w:lang w:val="en-GB"/>
        </w:rPr>
        <w:t>建筑分类用能</w:t>
      </w:r>
      <w:r>
        <w:rPr>
          <w:rFonts w:hint="eastAsia" w:asciiTheme="minorEastAsia" w:hAnsiTheme="minorEastAsia" w:eastAsiaTheme="minorEastAsia"/>
          <w:sz w:val="24"/>
          <w:lang w:val="en-GB"/>
        </w:rPr>
        <w:t>（用水、用电、用气、用油、冷热量等）进行</w:t>
      </w:r>
      <w:r>
        <w:rPr>
          <w:rFonts w:asciiTheme="minorEastAsia" w:hAnsiTheme="minorEastAsia" w:eastAsiaTheme="minorEastAsia"/>
          <w:sz w:val="24"/>
          <w:lang w:val="en-GB"/>
        </w:rPr>
        <w:t>计量</w:t>
      </w:r>
      <w:r>
        <w:rPr>
          <w:rFonts w:hint="eastAsia" w:asciiTheme="minorEastAsia" w:hAnsiTheme="minorEastAsia" w:eastAsiaTheme="minorEastAsia"/>
          <w:sz w:val="24"/>
          <w:lang w:val="en-GB"/>
        </w:rPr>
        <w:t>并设置</w:t>
      </w:r>
      <w:r>
        <w:rPr>
          <w:rFonts w:asciiTheme="minorEastAsia" w:hAnsiTheme="minorEastAsia" w:eastAsiaTheme="minorEastAsia"/>
          <w:sz w:val="24"/>
          <w:lang w:val="en-GB"/>
        </w:rPr>
        <w:t>数据采集装置</w:t>
      </w:r>
      <w:r>
        <w:rPr>
          <w:rFonts w:hint="eastAsia" w:asciiTheme="minorEastAsia" w:hAnsiTheme="minorEastAsia" w:eastAsiaTheme="minorEastAsia"/>
          <w:sz w:val="24"/>
          <w:lang w:val="en-GB"/>
        </w:rPr>
        <w:t>。</w:t>
      </w:r>
    </w:p>
    <w:p>
      <w:pPr>
        <w:spacing w:line="360" w:lineRule="auto"/>
        <w:ind w:left="200"/>
        <w:rPr>
          <w:rFonts w:asciiTheme="minorEastAsia" w:hAnsiTheme="minorEastAsia" w:eastAsiaTheme="minorEastAsia"/>
          <w:sz w:val="24"/>
          <w:lang w:val="en-GB"/>
        </w:rPr>
      </w:pPr>
      <w:r>
        <w:rPr>
          <w:rFonts w:hint="eastAsia" w:asciiTheme="minorEastAsia" w:hAnsiTheme="minorEastAsia" w:eastAsiaTheme="minorEastAsia"/>
          <w:sz w:val="24"/>
          <w:lang w:val="en-GB"/>
        </w:rPr>
        <w:t>监测内容简述：</w:t>
      </w:r>
    </w:p>
    <w:tbl>
      <w:tblPr>
        <w:tblStyle w:val="44"/>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2210"/>
        <w:gridCol w:w="2114"/>
        <w:gridCol w:w="4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206" w:type="dxa"/>
            <w:vMerge w:val="restart"/>
            <w:shd w:val="clear" w:color="auto" w:fill="auto"/>
            <w:vAlign w:val="center"/>
          </w:tcPr>
          <w:p>
            <w:pPr>
              <w:pStyle w:val="84"/>
              <w:spacing w:line="360" w:lineRule="auto"/>
              <w:rPr>
                <w:sz w:val="24"/>
              </w:rPr>
            </w:pPr>
            <w:r>
              <w:rPr>
                <w:rFonts w:hint="eastAsia"/>
                <w:sz w:val="24"/>
              </w:rPr>
              <w:t>条文来源</w:t>
            </w:r>
          </w:p>
        </w:tc>
        <w:tc>
          <w:tcPr>
            <w:tcW w:w="2210" w:type="dxa"/>
            <w:shd w:val="clear" w:color="auto" w:fill="auto"/>
            <w:vAlign w:val="center"/>
          </w:tcPr>
          <w:p>
            <w:pPr>
              <w:pStyle w:val="84"/>
              <w:spacing w:line="360" w:lineRule="auto"/>
              <w:rPr>
                <w:sz w:val="24"/>
              </w:rPr>
            </w:pPr>
            <w:r>
              <w:rPr>
                <w:rFonts w:hint="eastAsia"/>
                <w:sz w:val="24"/>
              </w:rPr>
              <w:t>DB33/1092-2021</w:t>
            </w:r>
          </w:p>
        </w:tc>
        <w:tc>
          <w:tcPr>
            <w:tcW w:w="2114" w:type="dxa"/>
            <w:shd w:val="clear" w:color="auto" w:fill="auto"/>
            <w:vAlign w:val="center"/>
          </w:tcPr>
          <w:p>
            <w:pPr>
              <w:pStyle w:val="84"/>
              <w:spacing w:line="360" w:lineRule="auto"/>
              <w:rPr>
                <w:sz w:val="24"/>
              </w:rPr>
            </w:pPr>
            <w:r>
              <w:rPr>
                <w:rFonts w:hint="eastAsia"/>
                <w:sz w:val="24"/>
              </w:rPr>
              <w:t>9.2.</w:t>
            </w:r>
            <w:r>
              <w:rPr>
                <w:sz w:val="24"/>
              </w:rPr>
              <w:t>11</w:t>
            </w:r>
            <w:r>
              <w:rPr>
                <w:rFonts w:hint="eastAsia"/>
                <w:sz w:val="24"/>
              </w:rPr>
              <w:t>条</w:t>
            </w:r>
          </w:p>
        </w:tc>
        <w:tc>
          <w:tcPr>
            <w:tcW w:w="4091"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206" w:type="dxa"/>
            <w:vMerge w:val="continue"/>
            <w:shd w:val="clear" w:color="auto" w:fill="auto"/>
            <w:vAlign w:val="center"/>
          </w:tcPr>
          <w:p>
            <w:pPr>
              <w:pStyle w:val="84"/>
              <w:spacing w:line="360" w:lineRule="auto"/>
              <w:rPr>
                <w:sz w:val="24"/>
              </w:rPr>
            </w:pPr>
          </w:p>
        </w:tc>
        <w:tc>
          <w:tcPr>
            <w:tcW w:w="2210" w:type="dxa"/>
            <w:shd w:val="clear" w:color="auto" w:fill="auto"/>
            <w:vAlign w:val="center"/>
          </w:tcPr>
          <w:p>
            <w:pPr>
              <w:pStyle w:val="84"/>
              <w:spacing w:line="360" w:lineRule="auto"/>
              <w:rPr>
                <w:sz w:val="24"/>
              </w:rPr>
            </w:pPr>
            <w:r>
              <w:rPr>
                <w:rFonts w:hint="eastAsia"/>
                <w:sz w:val="24"/>
              </w:rPr>
              <w:t>DB33/1036-2021</w:t>
            </w:r>
          </w:p>
        </w:tc>
        <w:tc>
          <w:tcPr>
            <w:tcW w:w="2114" w:type="dxa"/>
            <w:shd w:val="clear" w:color="auto" w:fill="auto"/>
            <w:vAlign w:val="center"/>
          </w:tcPr>
          <w:p>
            <w:pPr>
              <w:pStyle w:val="84"/>
              <w:spacing w:line="360" w:lineRule="auto"/>
              <w:rPr>
                <w:sz w:val="24"/>
              </w:rPr>
            </w:pPr>
            <w:r>
              <w:rPr>
                <w:rFonts w:hint="eastAsia"/>
                <w:sz w:val="24"/>
              </w:rPr>
              <w:t>8.3.1~8.3.4条</w:t>
            </w:r>
          </w:p>
        </w:tc>
        <w:tc>
          <w:tcPr>
            <w:tcW w:w="4091" w:type="dxa"/>
            <w:shd w:val="clear" w:color="auto" w:fill="auto"/>
            <w:vAlign w:val="center"/>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shd w:val="clear" w:color="auto" w:fill="auto"/>
            <w:vAlign w:val="center"/>
          </w:tcPr>
          <w:p>
            <w:pPr>
              <w:pStyle w:val="84"/>
              <w:spacing w:line="360" w:lineRule="auto"/>
              <w:rPr>
                <w:sz w:val="24"/>
              </w:rPr>
            </w:pPr>
            <w:r>
              <w:rPr>
                <w:rFonts w:hint="eastAsia"/>
                <w:sz w:val="24"/>
              </w:rPr>
              <w:t>依据材料</w:t>
            </w:r>
          </w:p>
        </w:tc>
        <w:tc>
          <w:tcPr>
            <w:tcW w:w="8415" w:type="dxa"/>
            <w:gridSpan w:val="3"/>
            <w:shd w:val="clear" w:color="auto" w:fill="auto"/>
          </w:tcPr>
          <w:p>
            <w:pPr>
              <w:pStyle w:val="84"/>
              <w:spacing w:line="360" w:lineRule="auto"/>
              <w:jc w:val="left"/>
              <w:rPr>
                <w:sz w:val="24"/>
              </w:rPr>
            </w:pPr>
            <w:r>
              <w:rPr>
                <w:rFonts w:hint="eastAsia"/>
                <w:sz w:val="24"/>
              </w:rPr>
              <w:t>设计人员应根据智能化系统、能耗监测系统的设计施工图，结合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是否设置能耗监测系应根据项目情况、需求综合考虑，具体规定详见规范要求。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shd w:val="clear" w:color="auto" w:fill="auto"/>
            <w:vAlign w:val="center"/>
          </w:tcPr>
          <w:p>
            <w:pPr>
              <w:pStyle w:val="84"/>
              <w:spacing w:line="360" w:lineRule="auto"/>
              <w:rPr>
                <w:sz w:val="24"/>
              </w:rPr>
            </w:pPr>
            <w:r>
              <w:rPr>
                <w:rFonts w:hint="eastAsia"/>
                <w:sz w:val="24"/>
              </w:rPr>
              <w:t>备注</w:t>
            </w:r>
          </w:p>
        </w:tc>
        <w:tc>
          <w:tcPr>
            <w:tcW w:w="8415" w:type="dxa"/>
            <w:gridSpan w:val="3"/>
            <w:shd w:val="clear" w:color="auto" w:fill="auto"/>
          </w:tcPr>
          <w:p>
            <w:pPr>
              <w:pStyle w:val="84"/>
              <w:spacing w:line="420" w:lineRule="exact"/>
              <w:jc w:val="left"/>
              <w:rPr>
                <w:sz w:val="24"/>
              </w:rPr>
            </w:pPr>
            <w:r>
              <w:rPr>
                <w:rFonts w:hint="eastAsia"/>
                <w:sz w:val="24"/>
              </w:rPr>
              <w:t>能耗监测宜按各功能区域、按管理模式合理设置各计量表，由物业人员管理。在规范规定的条件下，规模较大的项目（建筑面积不小于10000㎡）应设置远程抄表系统，建立能耗集中计量数据库，较小的项目可采用人工抄表的方式进行监测。</w:t>
            </w:r>
          </w:p>
          <w:p>
            <w:pPr>
              <w:pStyle w:val="84"/>
              <w:spacing w:line="420" w:lineRule="exact"/>
              <w:jc w:val="left"/>
              <w:rPr>
                <w:sz w:val="24"/>
              </w:rPr>
            </w:pPr>
            <w:r>
              <w:rPr>
                <w:rFonts w:hint="eastAsia"/>
                <w:sz w:val="24"/>
              </w:rPr>
              <w:t>本条属于一星级要求。</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2、设有</w:t>
      </w:r>
      <w:r>
        <w:rPr>
          <w:rFonts w:asciiTheme="minorEastAsia" w:hAnsiTheme="minorEastAsia" w:eastAsiaTheme="minorEastAsia"/>
          <w:sz w:val="24"/>
          <w:lang w:val="en-GB"/>
        </w:rPr>
        <w:t>建筑设备</w:t>
      </w:r>
      <w:r>
        <w:rPr>
          <w:rFonts w:hint="eastAsia" w:asciiTheme="minorEastAsia" w:hAnsiTheme="minorEastAsia" w:eastAsiaTheme="minorEastAsia"/>
          <w:sz w:val="24"/>
          <w:lang w:val="en-GB"/>
        </w:rPr>
        <w:t>监控</w:t>
      </w:r>
      <w:r>
        <w:rPr>
          <w:rFonts w:asciiTheme="minorEastAsia" w:hAnsiTheme="minorEastAsia" w:eastAsiaTheme="minorEastAsia"/>
          <w:sz w:val="24"/>
          <w:lang w:val="en-GB"/>
        </w:rPr>
        <w:t>系统（</w:t>
      </w:r>
      <w:r>
        <w:rPr>
          <w:rFonts w:hint="eastAsia" w:asciiTheme="minorEastAsia" w:hAnsiTheme="minorEastAsia" w:eastAsiaTheme="minorEastAsia"/>
          <w:sz w:val="24"/>
          <w:lang w:val="en-GB"/>
        </w:rPr>
        <w:t>BAS或建筑设备一体化监控系统</w:t>
      </w:r>
      <w:r>
        <w:rPr>
          <w:rFonts w:asciiTheme="minorEastAsia" w:hAnsiTheme="minorEastAsia" w:eastAsiaTheme="minorEastAsia"/>
          <w:sz w:val="24"/>
          <w:lang w:val="en-GB"/>
        </w:rPr>
        <w:t>）</w:t>
      </w:r>
      <w:r>
        <w:rPr>
          <w:rFonts w:hint="eastAsia" w:asciiTheme="minorEastAsia" w:hAnsiTheme="minorEastAsia" w:eastAsiaTheme="minorEastAsia"/>
          <w:sz w:val="24"/>
          <w:lang w:val="en-GB"/>
        </w:rPr>
        <w:t>。</w:t>
      </w:r>
    </w:p>
    <w:p>
      <w:pPr>
        <w:spacing w:line="360" w:lineRule="auto"/>
        <w:rPr>
          <w:rFonts w:asciiTheme="minorEastAsia" w:hAnsiTheme="minorEastAsia" w:eastAsiaTheme="minorEastAsia"/>
          <w:sz w:val="24"/>
          <w:lang w:val="en-GB"/>
        </w:rPr>
      </w:pPr>
      <w:r>
        <w:rPr>
          <w:rFonts w:hint="eastAsia"/>
          <w:sz w:val="24"/>
          <w:lang w:val="en-GB"/>
        </w:rPr>
        <w:t>监控内容简述：</w:t>
      </w:r>
    </w:p>
    <w:tbl>
      <w:tblPr>
        <w:tblStyle w:val="44"/>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1896"/>
        <w:gridCol w:w="2440"/>
        <w:gridCol w:w="4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206" w:type="dxa"/>
            <w:vMerge w:val="restart"/>
            <w:shd w:val="clear" w:color="auto" w:fill="auto"/>
            <w:vAlign w:val="center"/>
          </w:tcPr>
          <w:p>
            <w:pPr>
              <w:pStyle w:val="84"/>
              <w:spacing w:line="360" w:lineRule="auto"/>
              <w:rPr>
                <w:sz w:val="24"/>
              </w:rPr>
            </w:pPr>
            <w:r>
              <w:rPr>
                <w:rFonts w:hint="eastAsia"/>
                <w:sz w:val="24"/>
              </w:rPr>
              <w:t>条文来源</w:t>
            </w:r>
          </w:p>
        </w:tc>
        <w:tc>
          <w:tcPr>
            <w:tcW w:w="1896" w:type="dxa"/>
            <w:vMerge w:val="restart"/>
            <w:shd w:val="clear" w:color="auto" w:fill="auto"/>
            <w:vAlign w:val="center"/>
          </w:tcPr>
          <w:p>
            <w:pPr>
              <w:pStyle w:val="84"/>
              <w:spacing w:line="360" w:lineRule="auto"/>
              <w:rPr>
                <w:sz w:val="24"/>
              </w:rPr>
            </w:pPr>
            <w:r>
              <w:rPr>
                <w:rFonts w:hint="eastAsia"/>
                <w:sz w:val="24"/>
              </w:rPr>
              <w:t>DB33/1092-2021</w:t>
            </w:r>
          </w:p>
        </w:tc>
        <w:tc>
          <w:tcPr>
            <w:tcW w:w="2440" w:type="dxa"/>
            <w:shd w:val="clear" w:color="auto" w:fill="auto"/>
            <w:vAlign w:val="center"/>
          </w:tcPr>
          <w:p>
            <w:pPr>
              <w:pStyle w:val="84"/>
              <w:spacing w:line="360" w:lineRule="auto"/>
              <w:rPr>
                <w:sz w:val="24"/>
              </w:rPr>
            </w:pPr>
            <w:r>
              <w:rPr>
                <w:rFonts w:hint="eastAsia"/>
                <w:sz w:val="24"/>
              </w:rPr>
              <w:t>9.1.</w:t>
            </w:r>
            <w:r>
              <w:rPr>
                <w:sz w:val="24"/>
              </w:rPr>
              <w:t>7</w:t>
            </w:r>
            <w:r>
              <w:rPr>
                <w:rFonts w:hint="eastAsia"/>
                <w:sz w:val="24"/>
              </w:rPr>
              <w:t>条</w:t>
            </w:r>
          </w:p>
        </w:tc>
        <w:tc>
          <w:tcPr>
            <w:tcW w:w="4079" w:type="dxa"/>
            <w:shd w:val="clear" w:color="auto" w:fill="auto"/>
            <w:vAlign w:val="center"/>
          </w:tcPr>
          <w:p>
            <w:pPr>
              <w:pStyle w:val="84"/>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206" w:type="dxa"/>
            <w:vMerge w:val="continue"/>
            <w:shd w:val="clear" w:color="auto" w:fill="auto"/>
            <w:vAlign w:val="center"/>
          </w:tcPr>
          <w:p>
            <w:pPr>
              <w:pStyle w:val="84"/>
              <w:spacing w:line="360" w:lineRule="auto"/>
              <w:rPr>
                <w:sz w:val="24"/>
              </w:rPr>
            </w:pPr>
          </w:p>
        </w:tc>
        <w:tc>
          <w:tcPr>
            <w:tcW w:w="1896" w:type="dxa"/>
            <w:vMerge w:val="continue"/>
            <w:shd w:val="clear" w:color="auto" w:fill="auto"/>
            <w:vAlign w:val="center"/>
          </w:tcPr>
          <w:p>
            <w:pPr>
              <w:pStyle w:val="84"/>
              <w:spacing w:line="360" w:lineRule="auto"/>
              <w:rPr>
                <w:sz w:val="24"/>
              </w:rPr>
            </w:pPr>
          </w:p>
        </w:tc>
        <w:tc>
          <w:tcPr>
            <w:tcW w:w="2440" w:type="dxa"/>
            <w:shd w:val="clear" w:color="auto" w:fill="auto"/>
            <w:vAlign w:val="center"/>
          </w:tcPr>
          <w:p>
            <w:pPr>
              <w:pStyle w:val="84"/>
              <w:spacing w:line="360" w:lineRule="auto"/>
              <w:rPr>
                <w:sz w:val="24"/>
              </w:rPr>
            </w:pPr>
            <w:r>
              <w:rPr>
                <w:rFonts w:hint="eastAsia"/>
                <w:sz w:val="24"/>
              </w:rPr>
              <w:t>9.2.</w:t>
            </w:r>
            <w:r>
              <w:rPr>
                <w:sz w:val="24"/>
              </w:rPr>
              <w:t>1</w:t>
            </w:r>
            <w:r>
              <w:rPr>
                <w:rFonts w:hint="eastAsia"/>
                <w:sz w:val="24"/>
              </w:rPr>
              <w:t>3条</w:t>
            </w:r>
          </w:p>
        </w:tc>
        <w:tc>
          <w:tcPr>
            <w:tcW w:w="4079"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206" w:type="dxa"/>
            <w:vMerge w:val="continue"/>
            <w:shd w:val="clear" w:color="auto" w:fill="auto"/>
            <w:vAlign w:val="center"/>
          </w:tcPr>
          <w:p>
            <w:pPr>
              <w:pStyle w:val="84"/>
              <w:spacing w:line="360" w:lineRule="auto"/>
              <w:rPr>
                <w:sz w:val="24"/>
              </w:rPr>
            </w:pPr>
          </w:p>
        </w:tc>
        <w:tc>
          <w:tcPr>
            <w:tcW w:w="1896" w:type="dxa"/>
            <w:shd w:val="clear" w:color="auto" w:fill="auto"/>
            <w:vAlign w:val="center"/>
          </w:tcPr>
          <w:p>
            <w:pPr>
              <w:pStyle w:val="84"/>
              <w:spacing w:line="360" w:lineRule="auto"/>
              <w:rPr>
                <w:sz w:val="24"/>
              </w:rPr>
            </w:pPr>
            <w:r>
              <w:rPr>
                <w:rFonts w:hint="eastAsia"/>
                <w:sz w:val="24"/>
              </w:rPr>
              <w:t>DB33/1036-2021</w:t>
            </w:r>
          </w:p>
        </w:tc>
        <w:tc>
          <w:tcPr>
            <w:tcW w:w="2440" w:type="dxa"/>
            <w:shd w:val="clear" w:color="auto" w:fill="auto"/>
            <w:vAlign w:val="center"/>
          </w:tcPr>
          <w:p>
            <w:pPr>
              <w:pStyle w:val="84"/>
              <w:spacing w:line="360" w:lineRule="auto"/>
              <w:rPr>
                <w:sz w:val="24"/>
              </w:rPr>
            </w:pPr>
            <w:r>
              <w:rPr>
                <w:rFonts w:hint="eastAsia"/>
                <w:sz w:val="24"/>
              </w:rPr>
              <w:t>8.2.1~8.2.7</w:t>
            </w:r>
          </w:p>
        </w:tc>
        <w:tc>
          <w:tcPr>
            <w:tcW w:w="4079" w:type="dxa"/>
            <w:shd w:val="clear" w:color="auto" w:fill="auto"/>
            <w:vAlign w:val="center"/>
          </w:tcPr>
          <w:p>
            <w:pPr>
              <w:pStyle w:val="84"/>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shd w:val="clear" w:color="auto" w:fill="auto"/>
            <w:vAlign w:val="center"/>
          </w:tcPr>
          <w:p>
            <w:pPr>
              <w:pStyle w:val="84"/>
              <w:spacing w:line="360" w:lineRule="auto"/>
              <w:rPr>
                <w:sz w:val="24"/>
              </w:rPr>
            </w:pPr>
            <w:r>
              <w:rPr>
                <w:rFonts w:hint="eastAsia"/>
                <w:sz w:val="24"/>
              </w:rPr>
              <w:t>依据材料</w:t>
            </w:r>
          </w:p>
        </w:tc>
        <w:tc>
          <w:tcPr>
            <w:tcW w:w="8415" w:type="dxa"/>
            <w:gridSpan w:val="3"/>
            <w:shd w:val="clear" w:color="auto" w:fill="auto"/>
          </w:tcPr>
          <w:p>
            <w:pPr>
              <w:pStyle w:val="84"/>
              <w:spacing w:line="360" w:lineRule="auto"/>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本条不要求一定要设置此类</w:t>
            </w:r>
            <w:r>
              <w:rPr>
                <w:sz w:val="24"/>
              </w:rPr>
              <w:t>系统</w:t>
            </w:r>
            <w:r>
              <w:rPr>
                <w:rFonts w:hint="eastAsia"/>
                <w:sz w:val="24"/>
              </w:rPr>
              <w:t>，是否设置应根据项目实际、星级要求综合考虑，具体规定详见上述规范条文及其说明。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shd w:val="clear" w:color="auto" w:fill="auto"/>
            <w:vAlign w:val="center"/>
          </w:tcPr>
          <w:p>
            <w:pPr>
              <w:pStyle w:val="84"/>
              <w:spacing w:line="360" w:lineRule="auto"/>
              <w:rPr>
                <w:sz w:val="24"/>
              </w:rPr>
            </w:pPr>
            <w:r>
              <w:rPr>
                <w:rFonts w:hint="eastAsia"/>
                <w:sz w:val="24"/>
              </w:rPr>
              <w:t>备注</w:t>
            </w:r>
          </w:p>
        </w:tc>
        <w:tc>
          <w:tcPr>
            <w:tcW w:w="8415" w:type="dxa"/>
            <w:gridSpan w:val="3"/>
            <w:shd w:val="clear" w:color="auto" w:fill="auto"/>
          </w:tcPr>
          <w:p>
            <w:pPr>
              <w:pStyle w:val="84"/>
              <w:spacing w:line="360" w:lineRule="auto"/>
              <w:jc w:val="left"/>
              <w:rPr>
                <w:sz w:val="24"/>
              </w:rPr>
            </w:pPr>
            <w:r>
              <w:rPr>
                <w:rFonts w:hint="eastAsia"/>
                <w:sz w:val="24"/>
              </w:rPr>
              <w:t>一星级要求“</w:t>
            </w:r>
            <w:r>
              <w:rPr>
                <w:sz w:val="24"/>
              </w:rPr>
              <w:t>建筑面积大于20000㎡的公共建筑</w:t>
            </w:r>
            <w:r>
              <w:rPr>
                <w:rFonts w:hint="eastAsia"/>
                <w:sz w:val="24"/>
              </w:rPr>
              <w:t>且</w:t>
            </w:r>
            <w:r>
              <w:rPr>
                <w:sz w:val="24"/>
              </w:rPr>
              <w:t>采用</w:t>
            </w:r>
            <w:r>
              <w:rPr>
                <w:rFonts w:hint="eastAsia"/>
                <w:sz w:val="24"/>
              </w:rPr>
              <w:t>大、中型</w:t>
            </w:r>
            <w:r>
              <w:rPr>
                <w:sz w:val="24"/>
              </w:rPr>
              <w:t>中央空调系统时，</w:t>
            </w:r>
            <w:r>
              <w:rPr>
                <w:rFonts w:hint="eastAsia"/>
                <w:sz w:val="24"/>
              </w:rPr>
              <w:t>应</w:t>
            </w:r>
            <w:r>
              <w:rPr>
                <w:sz w:val="24"/>
              </w:rPr>
              <w:t>设置建筑设备</w:t>
            </w:r>
            <w:r>
              <w:rPr>
                <w:rFonts w:hint="eastAsia"/>
                <w:sz w:val="24"/>
              </w:rPr>
              <w:t>管理</w:t>
            </w:r>
            <w:r>
              <w:rPr>
                <w:sz w:val="24"/>
              </w:rPr>
              <w:t>系统</w:t>
            </w:r>
            <w:r>
              <w:rPr>
                <w:rFonts w:hint="eastAsia"/>
                <w:sz w:val="24"/>
              </w:rPr>
              <w:t>”。</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3、根据需要设置合理的智能化服务系统；</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智能化服务系统具有远程监控功能；具有接入智慧城市（城区、社区）的功能。</w:t>
      </w:r>
    </w:p>
    <w:tbl>
      <w:tblPr>
        <w:tblStyle w:val="44"/>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496"/>
        <w:gridCol w:w="4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347" w:type="dxa"/>
            <w:vMerge w:val="restart"/>
            <w:shd w:val="clear" w:color="auto" w:fill="auto"/>
            <w:vAlign w:val="center"/>
          </w:tcPr>
          <w:p>
            <w:pPr>
              <w:pStyle w:val="84"/>
              <w:spacing w:line="360" w:lineRule="auto"/>
              <w:rPr>
                <w:sz w:val="24"/>
              </w:rPr>
            </w:pPr>
            <w:r>
              <w:rPr>
                <w:rFonts w:hint="eastAsia"/>
                <w:sz w:val="24"/>
              </w:rPr>
              <w:t>条文来源</w:t>
            </w:r>
          </w:p>
        </w:tc>
        <w:tc>
          <w:tcPr>
            <w:tcW w:w="1599" w:type="dxa"/>
            <w:vMerge w:val="restart"/>
            <w:shd w:val="clear" w:color="auto" w:fill="auto"/>
            <w:vAlign w:val="center"/>
          </w:tcPr>
          <w:p>
            <w:pPr>
              <w:pStyle w:val="84"/>
              <w:spacing w:line="360" w:lineRule="auto"/>
              <w:rPr>
                <w:sz w:val="24"/>
              </w:rPr>
            </w:pPr>
            <w:r>
              <w:rPr>
                <w:rFonts w:hint="eastAsia"/>
                <w:sz w:val="24"/>
              </w:rPr>
              <w:t>DB33/1092-2021</w:t>
            </w:r>
          </w:p>
        </w:tc>
        <w:tc>
          <w:tcPr>
            <w:tcW w:w="1525" w:type="dxa"/>
            <w:shd w:val="clear" w:color="auto" w:fill="auto"/>
            <w:vAlign w:val="center"/>
          </w:tcPr>
          <w:p>
            <w:pPr>
              <w:pStyle w:val="84"/>
              <w:spacing w:line="360" w:lineRule="auto"/>
              <w:rPr>
                <w:sz w:val="24"/>
              </w:rPr>
            </w:pPr>
            <w:r>
              <w:rPr>
                <w:rFonts w:hint="eastAsia"/>
                <w:sz w:val="24"/>
              </w:rPr>
              <w:t>9.2.</w:t>
            </w:r>
            <w:r>
              <w:rPr>
                <w:sz w:val="24"/>
              </w:rPr>
              <w:t>14</w:t>
            </w:r>
            <w:r>
              <w:rPr>
                <w:rFonts w:hint="eastAsia"/>
                <w:sz w:val="24"/>
              </w:rPr>
              <w:t>条</w:t>
            </w:r>
          </w:p>
        </w:tc>
        <w:tc>
          <w:tcPr>
            <w:tcW w:w="4981" w:type="dxa"/>
            <w:shd w:val="clear" w:color="auto" w:fill="auto"/>
            <w:vAlign w:val="center"/>
          </w:tcPr>
          <w:p>
            <w:pPr>
              <w:pStyle w:val="84"/>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47" w:type="dxa"/>
            <w:vMerge w:val="continue"/>
            <w:shd w:val="clear" w:color="auto" w:fill="auto"/>
            <w:vAlign w:val="center"/>
          </w:tcPr>
          <w:p>
            <w:pPr>
              <w:pStyle w:val="84"/>
              <w:spacing w:line="360" w:lineRule="auto"/>
              <w:rPr>
                <w:sz w:val="24"/>
              </w:rPr>
            </w:pPr>
          </w:p>
        </w:tc>
        <w:tc>
          <w:tcPr>
            <w:tcW w:w="1599" w:type="dxa"/>
            <w:vMerge w:val="continue"/>
            <w:shd w:val="clear" w:color="auto" w:fill="auto"/>
            <w:vAlign w:val="center"/>
          </w:tcPr>
          <w:p>
            <w:pPr>
              <w:pStyle w:val="84"/>
              <w:spacing w:line="360" w:lineRule="auto"/>
              <w:rPr>
                <w:sz w:val="24"/>
              </w:rPr>
            </w:pPr>
          </w:p>
        </w:tc>
        <w:tc>
          <w:tcPr>
            <w:tcW w:w="1525" w:type="dxa"/>
            <w:shd w:val="clear" w:color="auto" w:fill="auto"/>
            <w:vAlign w:val="center"/>
          </w:tcPr>
          <w:p>
            <w:pPr>
              <w:pStyle w:val="84"/>
              <w:spacing w:line="360" w:lineRule="auto"/>
              <w:rPr>
                <w:sz w:val="24"/>
              </w:rPr>
            </w:pPr>
            <w:r>
              <w:rPr>
                <w:rFonts w:hint="eastAsia"/>
                <w:sz w:val="24"/>
              </w:rPr>
              <w:t>9.3.8条</w:t>
            </w:r>
          </w:p>
        </w:tc>
        <w:tc>
          <w:tcPr>
            <w:tcW w:w="4981" w:type="dxa"/>
            <w:shd w:val="clear" w:color="auto" w:fill="auto"/>
            <w:vAlign w:val="center"/>
          </w:tcPr>
          <w:p>
            <w:pPr>
              <w:pStyle w:val="84"/>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shd w:val="clear" w:color="auto" w:fill="auto"/>
            <w:vAlign w:val="center"/>
          </w:tcPr>
          <w:p>
            <w:pPr>
              <w:pStyle w:val="84"/>
              <w:spacing w:line="360" w:lineRule="auto"/>
              <w:rPr>
                <w:sz w:val="24"/>
              </w:rPr>
            </w:pPr>
            <w:r>
              <w:rPr>
                <w:rFonts w:hint="eastAsia"/>
                <w:sz w:val="24"/>
              </w:rPr>
              <w:t>依据材料</w:t>
            </w:r>
          </w:p>
        </w:tc>
        <w:tc>
          <w:tcPr>
            <w:tcW w:w="8105" w:type="dxa"/>
            <w:gridSpan w:val="3"/>
            <w:shd w:val="clear" w:color="auto" w:fill="auto"/>
          </w:tcPr>
          <w:p>
            <w:pPr>
              <w:pStyle w:val="84"/>
              <w:spacing w:line="360" w:lineRule="auto"/>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shd w:val="clear" w:color="auto" w:fill="auto"/>
            <w:vAlign w:val="center"/>
          </w:tcPr>
          <w:p>
            <w:pPr>
              <w:pStyle w:val="84"/>
              <w:spacing w:line="360" w:lineRule="auto"/>
              <w:rPr>
                <w:sz w:val="24"/>
              </w:rPr>
            </w:pPr>
            <w:r>
              <w:rPr>
                <w:rFonts w:hint="eastAsia"/>
                <w:sz w:val="24"/>
              </w:rPr>
              <w:t>备注</w:t>
            </w:r>
          </w:p>
        </w:tc>
        <w:tc>
          <w:tcPr>
            <w:tcW w:w="8105" w:type="dxa"/>
            <w:gridSpan w:val="3"/>
            <w:shd w:val="clear" w:color="auto" w:fill="auto"/>
          </w:tcPr>
          <w:p>
            <w:pPr>
              <w:pStyle w:val="84"/>
              <w:spacing w:line="400" w:lineRule="exact"/>
              <w:jc w:val="left"/>
              <w:rPr>
                <w:sz w:val="24"/>
              </w:rPr>
            </w:pPr>
            <w:r>
              <w:rPr>
                <w:rFonts w:hint="eastAsia"/>
                <w:sz w:val="24"/>
              </w:rPr>
              <w:t>智能化服务系统包括智能家居监控系统、智能环境设备监控系统、智能工作生活服务系统等，可提升工作的安全性、便利性、舒适性、艺术性，实现更加便捷适用的工作环境。智能化服务系统涵盖电器控制、照明控制、安全报警、环境监测、建筑设备控制、工作服务（如会议预约）等等的多种功能，设计可按实际需求实现多种类型的服务功能。公共建筑主要功能房间应设置智能化服务系统终端设备。</w:t>
            </w:r>
          </w:p>
          <w:p>
            <w:pPr>
              <w:pStyle w:val="84"/>
              <w:spacing w:line="400" w:lineRule="exact"/>
              <w:jc w:val="left"/>
              <w:rPr>
                <w:sz w:val="24"/>
              </w:rPr>
            </w:pPr>
            <w:r>
              <w:rPr>
                <w:rFonts w:hint="eastAsia"/>
                <w:sz w:val="24"/>
              </w:rPr>
              <w:t>智能化服务系统的控制方式包括电话或网络远程控制、室内外遥控、红外转发以及可编程定时控制等，使用者可通过以太网、移动数据网络等，实现对建筑室内物理环境状况、设备设施状态的监测，以及对环境设备系统的监控、对工作服务平台的访问，从而有效提升服务便捷性。智能化服务系统与智慧城市（城区、社区）平台对接，可有效实现数据共享与互通，提高信息更新与扩充的速度和范围，实现相关各方的互惠互利。</w:t>
            </w:r>
          </w:p>
          <w:p>
            <w:pPr>
              <w:pStyle w:val="84"/>
              <w:spacing w:line="400" w:lineRule="exact"/>
              <w:jc w:val="left"/>
              <w:rPr>
                <w:sz w:val="24"/>
              </w:rPr>
            </w:pPr>
            <w:r>
              <w:rPr>
                <w:rFonts w:hint="eastAsia"/>
                <w:sz w:val="24"/>
              </w:rPr>
              <w:t>本条第一项是一星级的要求，第二项是二星级的要求。是否设置应根据项目实际、星级要求综合考虑，具体规定详见上述规范条文。</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4、建筑设备管理系统采用大数据分析技术分析并优化设备的运行状态和运行能耗。</w:t>
      </w:r>
    </w:p>
    <w:tbl>
      <w:tblPr>
        <w:tblStyle w:val="44"/>
        <w:tblW w:w="94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896"/>
        <w:gridCol w:w="1491"/>
        <w:gridCol w:w="4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347" w:type="dxa"/>
            <w:shd w:val="clear" w:color="auto" w:fill="auto"/>
            <w:vAlign w:val="center"/>
          </w:tcPr>
          <w:p>
            <w:pPr>
              <w:pStyle w:val="84"/>
              <w:spacing w:line="360" w:lineRule="auto"/>
              <w:rPr>
                <w:sz w:val="24"/>
              </w:rPr>
            </w:pPr>
            <w:r>
              <w:rPr>
                <w:rFonts w:hint="eastAsia"/>
                <w:sz w:val="24"/>
              </w:rPr>
              <w:t>条文来源</w:t>
            </w:r>
          </w:p>
        </w:tc>
        <w:tc>
          <w:tcPr>
            <w:tcW w:w="1599" w:type="dxa"/>
            <w:shd w:val="clear" w:color="auto" w:fill="auto"/>
            <w:vAlign w:val="center"/>
          </w:tcPr>
          <w:p>
            <w:pPr>
              <w:pStyle w:val="84"/>
              <w:spacing w:line="360" w:lineRule="auto"/>
              <w:rPr>
                <w:sz w:val="24"/>
              </w:rPr>
            </w:pPr>
            <w:r>
              <w:rPr>
                <w:rFonts w:hint="eastAsia"/>
                <w:sz w:val="24"/>
              </w:rPr>
              <w:t>DB33/1092-2021</w:t>
            </w:r>
          </w:p>
        </w:tc>
        <w:tc>
          <w:tcPr>
            <w:tcW w:w="1525" w:type="dxa"/>
            <w:shd w:val="clear" w:color="auto" w:fill="auto"/>
            <w:vAlign w:val="center"/>
          </w:tcPr>
          <w:p>
            <w:pPr>
              <w:pStyle w:val="84"/>
              <w:spacing w:line="360" w:lineRule="auto"/>
              <w:rPr>
                <w:sz w:val="24"/>
              </w:rPr>
            </w:pPr>
            <w:r>
              <w:rPr>
                <w:rFonts w:hint="eastAsia"/>
                <w:sz w:val="24"/>
              </w:rPr>
              <w:t>9.4.6条</w:t>
            </w:r>
          </w:p>
        </w:tc>
        <w:tc>
          <w:tcPr>
            <w:tcW w:w="4981" w:type="dxa"/>
            <w:shd w:val="clear" w:color="auto" w:fill="auto"/>
            <w:vAlign w:val="center"/>
          </w:tcPr>
          <w:p>
            <w:pPr>
              <w:pStyle w:val="84"/>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shd w:val="clear" w:color="auto" w:fill="auto"/>
            <w:vAlign w:val="center"/>
          </w:tcPr>
          <w:p>
            <w:pPr>
              <w:pStyle w:val="84"/>
              <w:spacing w:line="360" w:lineRule="auto"/>
              <w:rPr>
                <w:sz w:val="24"/>
              </w:rPr>
            </w:pPr>
            <w:r>
              <w:rPr>
                <w:rFonts w:hint="eastAsia"/>
                <w:sz w:val="24"/>
              </w:rPr>
              <w:t>依据材料</w:t>
            </w:r>
          </w:p>
        </w:tc>
        <w:tc>
          <w:tcPr>
            <w:tcW w:w="8105" w:type="dxa"/>
            <w:gridSpan w:val="3"/>
            <w:shd w:val="clear" w:color="auto" w:fill="auto"/>
          </w:tcPr>
          <w:p>
            <w:pPr>
              <w:pStyle w:val="84"/>
              <w:spacing w:line="360" w:lineRule="auto"/>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jc w:val="left"/>
              <w:rPr>
                <w:sz w:val="24"/>
              </w:rPr>
            </w:pPr>
            <w:r>
              <w:rPr>
                <w:rFonts w:hint="eastAsia"/>
                <w:sz w:val="24"/>
              </w:rPr>
              <w:t>是否设置应根据项目实际、星级要求综合考虑，具体规定详见上述规范条文。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shd w:val="clear" w:color="auto" w:fill="auto"/>
            <w:vAlign w:val="center"/>
          </w:tcPr>
          <w:p>
            <w:pPr>
              <w:pStyle w:val="84"/>
              <w:spacing w:line="360" w:lineRule="auto"/>
              <w:rPr>
                <w:sz w:val="24"/>
              </w:rPr>
            </w:pPr>
            <w:r>
              <w:rPr>
                <w:rFonts w:hint="eastAsia"/>
                <w:sz w:val="24"/>
              </w:rPr>
              <w:t>备注</w:t>
            </w:r>
          </w:p>
        </w:tc>
        <w:tc>
          <w:tcPr>
            <w:tcW w:w="8105" w:type="dxa"/>
            <w:gridSpan w:val="3"/>
            <w:shd w:val="clear" w:color="auto" w:fill="auto"/>
          </w:tcPr>
          <w:p>
            <w:pPr>
              <w:pStyle w:val="84"/>
              <w:spacing w:line="360" w:lineRule="auto"/>
              <w:jc w:val="left"/>
              <w:rPr>
                <w:bCs/>
                <w:sz w:val="24"/>
              </w:rPr>
            </w:pPr>
            <w:r>
              <w:rPr>
                <w:rFonts w:hint="eastAsia"/>
                <w:bCs/>
                <w:sz w:val="24"/>
              </w:rPr>
              <w:t>利用大数据，可以分析历史数据，得到设备运行、能耗等随时间变化的规律，或验证采取各种措施后的实际效果；也可与其他同类建筑的同类设备、同类能耗等作横向比较，分析差距和问题并采取针对性措施，提高运行或节能水平。不一而足。</w:t>
            </w:r>
          </w:p>
          <w:p>
            <w:pPr>
              <w:pStyle w:val="84"/>
              <w:spacing w:line="360" w:lineRule="auto"/>
              <w:jc w:val="left"/>
              <w:rPr>
                <w:sz w:val="24"/>
              </w:rPr>
            </w:pPr>
            <w:r>
              <w:rPr>
                <w:rFonts w:hint="eastAsia"/>
                <w:sz w:val="24"/>
              </w:rPr>
              <w:t>本条是三星级的要求。</w:t>
            </w:r>
          </w:p>
        </w:tc>
      </w:tr>
    </w:tbl>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5、其它需说明的有关绿色（节能）的设计：</w:t>
      </w:r>
    </w:p>
    <w:tbl>
      <w:tblPr>
        <w:tblStyle w:val="44"/>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3"/>
        <w:gridCol w:w="8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shd w:val="clear" w:color="auto" w:fill="auto"/>
            <w:vAlign w:val="center"/>
          </w:tcPr>
          <w:p>
            <w:pPr>
              <w:pStyle w:val="84"/>
              <w:spacing w:line="360" w:lineRule="auto"/>
              <w:rPr>
                <w:sz w:val="24"/>
              </w:rPr>
            </w:pPr>
            <w:r>
              <w:rPr>
                <w:rFonts w:hint="eastAsia"/>
                <w:sz w:val="24"/>
              </w:rPr>
              <w:t>依据材料</w:t>
            </w:r>
          </w:p>
        </w:tc>
        <w:tc>
          <w:tcPr>
            <w:tcW w:w="8081" w:type="dxa"/>
            <w:shd w:val="clear" w:color="auto" w:fill="auto"/>
          </w:tcPr>
          <w:p>
            <w:pPr>
              <w:pStyle w:val="84"/>
              <w:spacing w:line="360" w:lineRule="auto"/>
              <w:jc w:val="left"/>
              <w:rPr>
                <w:sz w:val="24"/>
              </w:rPr>
            </w:pPr>
            <w:r>
              <w:rPr>
                <w:rFonts w:hint="eastAsia"/>
                <w:sz w:val="24"/>
              </w:rPr>
              <w:t>设计人员应根据施工图设计，结合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3" w:type="dxa"/>
            <w:shd w:val="clear" w:color="auto" w:fill="auto"/>
            <w:vAlign w:val="center"/>
          </w:tcPr>
          <w:p>
            <w:pPr>
              <w:pStyle w:val="84"/>
              <w:spacing w:line="360" w:lineRule="auto"/>
              <w:rPr>
                <w:sz w:val="24"/>
              </w:rPr>
            </w:pPr>
            <w:r>
              <w:rPr>
                <w:rFonts w:hint="eastAsia"/>
                <w:sz w:val="24"/>
              </w:rPr>
              <w:t>备注</w:t>
            </w:r>
          </w:p>
        </w:tc>
        <w:tc>
          <w:tcPr>
            <w:tcW w:w="8081" w:type="dxa"/>
            <w:shd w:val="clear" w:color="auto" w:fill="auto"/>
          </w:tcPr>
          <w:p>
            <w:pPr>
              <w:pStyle w:val="84"/>
              <w:spacing w:line="360" w:lineRule="auto"/>
              <w:jc w:val="left"/>
              <w:rPr>
                <w:sz w:val="24"/>
              </w:rPr>
            </w:pPr>
            <w:r>
              <w:rPr>
                <w:rFonts w:hint="eastAsia"/>
                <w:sz w:val="24"/>
              </w:rPr>
              <w:t>本专篇无法列出所有的节能技术，新的技术也会不断出现。若采用了本专篇以外的新技术，应简要说明，可在星级评定时酌情加分。</w:t>
            </w:r>
          </w:p>
        </w:tc>
      </w:tr>
      <w:bookmarkEnd w:id="43"/>
    </w:tbl>
    <w:p>
      <w:pPr>
        <w:pStyle w:val="87"/>
        <w:numPr>
          <w:ilvl w:val="0"/>
          <w:numId w:val="0"/>
        </w:numPr>
        <w:ind w:left="425"/>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PMingLiU">
    <w:altName w:val="文泉驿微米黑"/>
    <w:panose1 w:val="02020500000000000000"/>
    <w:charset w:val="88"/>
    <w:family w:val="roman"/>
    <w:pitch w:val="default"/>
    <w:sig w:usb0="00000000" w:usb1="00000000" w:usb2="00000016" w:usb3="00000000" w:csb0="00100001" w:csb1="00000000"/>
  </w:font>
  <w:font w:name="Century">
    <w:altName w:val="DejaVu Serif"/>
    <w:panose1 w:val="02040604050505020304"/>
    <w:charset w:val="00"/>
    <w:family w:val="roman"/>
    <w:pitch w:val="default"/>
    <w:sig w:usb0="00000000" w:usb1="00000000" w:usb2="00000000" w:usb3="00000000" w:csb0="0000009F" w:csb1="00000000"/>
  </w:font>
  <w:font w:name="MS Mincho">
    <w:altName w:val="宋体"/>
    <w:panose1 w:val="02020609040205080304"/>
    <w:charset w:val="80"/>
    <w:family w:val="modern"/>
    <w:pitch w:val="default"/>
    <w:sig w:usb0="00000000" w:usb1="00000000" w:usb2="00000012" w:usb3="00000000" w:csb0="0002009F" w:csb1="00000000"/>
  </w:font>
  <w:font w:name="Tahoma">
    <w:altName w:val="DejaVu Sans"/>
    <w:panose1 w:val="020B0604030504040204"/>
    <w:charset w:val="00"/>
    <w:family w:val="swiss"/>
    <w:pitch w:val="default"/>
    <w:sig w:usb0="00000000" w:usb1="00000000" w:usb2="00000029" w:usb3="00000000" w:csb0="000101FF" w:csb1="00000000"/>
  </w:font>
  <w:font w:name="Verdana">
    <w:altName w:val="DejaVu Sans"/>
    <w:panose1 w:val="020B0604030504040204"/>
    <w:charset w:val="00"/>
    <w:family w:val="swiss"/>
    <w:pitch w:val="default"/>
    <w:sig w:usb0="00000000" w:usb1="00000000" w:usb2="00000010" w:usb3="00000000" w:csb0="0000019F" w:csb1="00000000"/>
  </w:font>
  <w:font w:name="等线">
    <w:altName w:val="微软雅黑"/>
    <w:panose1 w:val="00000000000000000000"/>
    <w:charset w:val="86"/>
    <w:family w:val="auto"/>
    <w:pitch w:val="default"/>
    <w:sig w:usb0="00000000" w:usb1="00000000" w:usb2="00000016" w:usb3="00000000" w:csb0="0004000F"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DejaVu Sans">
    <w:panose1 w:val="020B0603030804020204"/>
    <w:charset w:val="00"/>
    <w:family w:val="auto"/>
    <w:pitch w:val="default"/>
    <w:sig w:usb0="E7006EFF" w:usb1="D200FDFF" w:usb2="0A246029" w:usb3="0400200C" w:csb0="600001FF" w:csb1="DFFF0000"/>
  </w:font>
  <w:font w:name="NanumGothic">
    <w:panose1 w:val="020D0604000000000000"/>
    <w:charset w:val="81"/>
    <w:family w:val="auto"/>
    <w:pitch w:val="default"/>
    <w:sig w:usb0="900002A7" w:usb1="29D7FCFB" w:usb2="00000010" w:usb3="00000000" w:csb0="00080001"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jc w:val="center"/>
    </w:pPr>
    <w:r>
      <w:fldChar w:fldCharType="begin"/>
    </w:r>
    <w:r>
      <w:instrText xml:space="preserve">PAGE   \* MERGEFORMAT</w:instrText>
    </w:r>
    <w:r>
      <w:fldChar w:fldCharType="separate"/>
    </w:r>
    <w:r>
      <w:rPr>
        <w:lang w:val="zh-CN"/>
      </w:rPr>
      <w:t>140</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Ansi="宋体"/>
        <w:b/>
        <w:sz w:val="36"/>
        <w:szCs w:val="36"/>
      </w:rPr>
    </w:pPr>
    <w:r>
      <w:rPr>
        <w:rFonts w:hint="eastAsia" w:hAnsi="宋体"/>
        <w:b/>
        <w:sz w:val="36"/>
        <w:szCs w:val="36"/>
      </w:rPr>
      <w:t>民用建筑绿色与节能设计施工图专篇（公共建筑）-总表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723"/>
      <w:rPr>
        <w:rFonts w:hAnsi="宋体"/>
        <w:b/>
        <w:sz w:val="36"/>
        <w:szCs w:val="36"/>
      </w:rPr>
    </w:pPr>
    <w:r>
      <w:rPr>
        <w:rFonts w:hint="eastAsia" w:hAnsi="宋体"/>
        <w:b/>
        <w:sz w:val="36"/>
        <w:szCs w:val="36"/>
      </w:rPr>
      <w:t>民用建筑绿色与节能设计施工图专篇（公共建筑）-建筑专业</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723"/>
      <w:rPr>
        <w:rFonts w:hAnsi="宋体"/>
        <w:b/>
        <w:sz w:val="36"/>
        <w:szCs w:val="36"/>
      </w:rPr>
    </w:pPr>
    <w:r>
      <w:rPr>
        <w:rFonts w:hint="eastAsia" w:hAnsi="宋体"/>
        <w:b/>
        <w:sz w:val="36"/>
        <w:szCs w:val="36"/>
      </w:rPr>
      <w:t>民用建筑绿色与节能设计施工图专篇（公共建筑）-结构专业</w:t>
    </w: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723"/>
      <w:rPr>
        <w:rFonts w:hAnsi="宋体"/>
        <w:b/>
        <w:sz w:val="36"/>
        <w:szCs w:val="36"/>
      </w:rPr>
    </w:pPr>
    <w:r>
      <w:rPr>
        <w:rFonts w:hint="eastAsia" w:hAnsi="宋体"/>
        <w:b/>
        <w:sz w:val="36"/>
        <w:szCs w:val="36"/>
      </w:rPr>
      <w:t>民用建筑绿色与节能设计施工图专篇（公共建筑）-给排水专业</w:t>
    </w:r>
  </w:p>
  <w:p>
    <w:pPr>
      <w:ind w:firstLine="42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szCs w:val="36"/>
      </w:rPr>
    </w:pPr>
    <w:r>
      <w:rPr>
        <w:rFonts w:hint="eastAsia" w:hAnsi="宋体"/>
        <w:b/>
        <w:sz w:val="36"/>
        <w:szCs w:val="36"/>
      </w:rPr>
      <w:t>民用建筑绿色与节能设计施工图专篇（公共建筑）- 暖通专业</w:t>
    </w: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szCs w:val="36"/>
      </w:rPr>
    </w:pPr>
    <w:r>
      <w:rPr>
        <w:rFonts w:hint="eastAsia" w:hAnsi="宋体"/>
        <w:b/>
        <w:sz w:val="36"/>
        <w:szCs w:val="36"/>
      </w:rPr>
      <w:t>民用建筑绿色与节能设计施工图专篇（公共建筑）- 电气及智能化专业</w:t>
    </w:r>
  </w:p>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A84E1"/>
    <w:multiLevelType w:val="singleLevel"/>
    <w:tmpl w:val="B5BA84E1"/>
    <w:lvl w:ilvl="0" w:tentative="0">
      <w:start w:val="1"/>
      <w:numFmt w:val="decimal"/>
      <w:lvlText w:val="%1)"/>
      <w:lvlJc w:val="left"/>
      <w:pPr>
        <w:ind w:left="425" w:hanging="425"/>
      </w:pPr>
      <w:rPr>
        <w:rFonts w:hint="default"/>
      </w:rPr>
    </w:lvl>
  </w:abstractNum>
  <w:abstractNum w:abstractNumId="1">
    <w:nsid w:val="D225898D"/>
    <w:multiLevelType w:val="singleLevel"/>
    <w:tmpl w:val="D225898D"/>
    <w:lvl w:ilvl="0" w:tentative="0">
      <w:start w:val="7"/>
      <w:numFmt w:val="decimal"/>
      <w:lvlText w:val="%1."/>
      <w:lvlJc w:val="left"/>
      <w:pPr>
        <w:tabs>
          <w:tab w:val="left" w:pos="312"/>
        </w:tabs>
      </w:pPr>
    </w:lvl>
  </w:abstractNum>
  <w:abstractNum w:abstractNumId="2">
    <w:nsid w:val="DF7CFB4C"/>
    <w:multiLevelType w:val="singleLevel"/>
    <w:tmpl w:val="DF7CFB4C"/>
    <w:lvl w:ilvl="0" w:tentative="0">
      <w:start w:val="2"/>
      <w:numFmt w:val="chineseCounting"/>
      <w:suff w:val="nothing"/>
      <w:lvlText w:val="（%1）"/>
      <w:lvlJc w:val="left"/>
      <w:rPr>
        <w:rFonts w:hint="eastAsia"/>
      </w:rPr>
    </w:lvl>
  </w:abstractNum>
  <w:abstractNum w:abstractNumId="3">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62"/>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pStyle w:val="160"/>
      <w:suff w:val="nothing"/>
      <w:lvlText w:val="%1%2.%3.%4.%5.%6　"/>
      <w:lvlJc w:val="left"/>
      <w:pPr>
        <w:ind w:left="0" w:firstLine="0"/>
      </w:pPr>
      <w:rPr>
        <w:rFonts w:hint="eastAsia" w:ascii="黑体" w:hAnsi="Times New Roman" w:eastAsia="黑体"/>
        <w:b w:val="0"/>
        <w:i w:val="0"/>
        <w:sz w:val="21"/>
      </w:rPr>
    </w:lvl>
    <w:lvl w:ilvl="6" w:tentative="0">
      <w:start w:val="1"/>
      <w:numFmt w:val="decimal"/>
      <w:pStyle w:val="15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04F55797"/>
    <w:multiLevelType w:val="multilevel"/>
    <w:tmpl w:val="04F55797"/>
    <w:lvl w:ilvl="0" w:tentative="0">
      <w:start w:val="3"/>
      <w:numFmt w:val="decimal"/>
      <w:lvlText w:val="%1."/>
      <w:lvlJc w:val="left"/>
      <w:pPr>
        <w:ind w:left="360" w:hanging="360"/>
      </w:pPr>
      <w:rPr>
        <w:rFonts w:hint="default" w:asciiTheme="minorEastAsia" w:hAnsiTheme="minorEastAsia" w:eastAsiaTheme="minorEastAsia"/>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AE367E9"/>
    <w:multiLevelType w:val="multilevel"/>
    <w:tmpl w:val="0AE367E9"/>
    <w:lvl w:ilvl="0" w:tentative="0">
      <w:start w:val="1"/>
      <w:numFmt w:val="none"/>
      <w:pStyle w:val="159"/>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2BD0D87"/>
    <w:multiLevelType w:val="multilevel"/>
    <w:tmpl w:val="12BD0D8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64539AF"/>
    <w:multiLevelType w:val="multilevel"/>
    <w:tmpl w:val="364539AF"/>
    <w:lvl w:ilvl="0" w:tentative="0">
      <w:start w:val="1"/>
      <w:numFmt w:val="decimal"/>
      <w:lvlText w:val="%1."/>
      <w:lvlJc w:val="left"/>
      <w:pPr>
        <w:ind w:left="704" w:hanging="420"/>
      </w:pPr>
      <w:rPr>
        <w:rFonts w:hint="eastAsia"/>
        <w:sz w:val="21"/>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8">
    <w:nsid w:val="401655E5"/>
    <w:multiLevelType w:val="multilevel"/>
    <w:tmpl w:val="401655E5"/>
    <w:lvl w:ilvl="0" w:tentative="0">
      <w:start w:val="1"/>
      <w:numFmt w:val="decimal"/>
      <w:lvlText w:val="%1."/>
      <w:lvlJc w:val="left"/>
      <w:pPr>
        <w:ind w:left="70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0360A94"/>
    <w:multiLevelType w:val="multilevel"/>
    <w:tmpl w:val="40360A94"/>
    <w:lvl w:ilvl="0" w:tentative="0">
      <w:start w:val="1"/>
      <w:numFmt w:val="decimal"/>
      <w:lvlText w:val="%1."/>
      <w:lvlJc w:val="left"/>
      <w:pPr>
        <w:ind w:left="420" w:hanging="420"/>
      </w:pPr>
      <w:rPr>
        <w:rFonts w:hint="eastAsia" w:eastAsia="宋体" w:asciiTheme="minorEastAsia" w:hAnsiTheme="minorEastAsia"/>
        <w:b/>
        <w:bCs/>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07E65F9"/>
    <w:multiLevelType w:val="multilevel"/>
    <w:tmpl w:val="407E65F9"/>
    <w:lvl w:ilvl="0" w:tentative="0">
      <w:start w:val="1"/>
      <w:numFmt w:val="none"/>
      <w:pStyle w:val="15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44A076F6"/>
    <w:multiLevelType w:val="multilevel"/>
    <w:tmpl w:val="44A076F6"/>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12">
    <w:nsid w:val="496E4D7B"/>
    <w:multiLevelType w:val="multilevel"/>
    <w:tmpl w:val="496E4D7B"/>
    <w:lvl w:ilvl="0" w:tentative="0">
      <w:start w:val="1"/>
      <w:numFmt w:val="none"/>
      <w:pStyle w:val="16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4B0A158F"/>
    <w:multiLevelType w:val="multilevel"/>
    <w:tmpl w:val="4B0A158F"/>
    <w:lvl w:ilvl="0" w:tentative="0">
      <w:start w:val="1"/>
      <w:numFmt w:val="decimal"/>
      <w:lvlText w:val="%1."/>
      <w:lvlJc w:val="left"/>
      <w:pPr>
        <w:ind w:left="420" w:hanging="420"/>
      </w:pPr>
      <w:rPr>
        <w:rFonts w:hint="eastAsia" w:eastAsia="宋体" w:asciiTheme="minorEastAsia" w:hAnsiTheme="minorEastAsia"/>
        <w:b/>
        <w:bCs/>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57C2AF5"/>
    <w:multiLevelType w:val="multilevel"/>
    <w:tmpl w:val="557C2AF5"/>
    <w:lvl w:ilvl="0" w:tentative="0">
      <w:start w:val="1"/>
      <w:numFmt w:val="decimal"/>
      <w:pStyle w:val="16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5">
    <w:nsid w:val="5927069D"/>
    <w:multiLevelType w:val="multilevel"/>
    <w:tmpl w:val="5927069D"/>
    <w:lvl w:ilvl="0" w:tentative="0">
      <w:start w:val="1"/>
      <w:numFmt w:val="decimal"/>
      <w:pStyle w:val="172"/>
      <w:lvlText w:val="（%1）"/>
      <w:lvlJc w:val="left"/>
      <w:pPr>
        <w:tabs>
          <w:tab w:val="left" w:pos="0"/>
        </w:tabs>
        <w:ind w:left="0" w:firstLine="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646260FA"/>
    <w:multiLevelType w:val="multilevel"/>
    <w:tmpl w:val="646260FA"/>
    <w:lvl w:ilvl="0" w:tentative="0">
      <w:start w:val="1"/>
      <w:numFmt w:val="decimal"/>
      <w:pStyle w:val="163"/>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149"/>
      <w:suff w:val="nothing"/>
      <w:lvlText w:val="%1.%2.%3.%4　"/>
      <w:lvlJc w:val="left"/>
      <w:pPr>
        <w:ind w:left="0" w:firstLine="0"/>
      </w:pPr>
      <w:rPr>
        <w:rFonts w:hint="eastAsia" w:ascii="黑体" w:hAnsi="Times New Roman" w:eastAsia="黑体"/>
        <w:b w:val="0"/>
        <w:i w:val="0"/>
        <w:sz w:val="21"/>
      </w:rPr>
    </w:lvl>
    <w:lvl w:ilvl="4" w:tentative="0">
      <w:start w:val="1"/>
      <w:numFmt w:val="decimal"/>
      <w:pStyle w:val="150"/>
      <w:suff w:val="nothing"/>
      <w:lvlText w:val="%1.%2.%3.%4.%5　"/>
      <w:lvlJc w:val="left"/>
      <w:pPr>
        <w:ind w:left="0" w:firstLine="0"/>
      </w:pPr>
      <w:rPr>
        <w:rFonts w:hint="eastAsia" w:ascii="黑体" w:hAnsi="Times New Roman" w:eastAsia="黑体"/>
        <w:b w:val="0"/>
        <w:i w:val="0"/>
        <w:sz w:val="21"/>
      </w:rPr>
    </w:lvl>
    <w:lvl w:ilvl="5" w:tentative="0">
      <w:start w:val="1"/>
      <w:numFmt w:val="decimal"/>
      <w:pStyle w:val="151"/>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67AD122B"/>
    <w:multiLevelType w:val="multilevel"/>
    <w:tmpl w:val="67AD122B"/>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9">
    <w:nsid w:val="6DBF04F4"/>
    <w:multiLevelType w:val="multilevel"/>
    <w:tmpl w:val="6DBF04F4"/>
    <w:lvl w:ilvl="0" w:tentative="0">
      <w:start w:val="1"/>
      <w:numFmt w:val="none"/>
      <w:pStyle w:val="165"/>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F1431A9"/>
    <w:multiLevelType w:val="multilevel"/>
    <w:tmpl w:val="6F1431A9"/>
    <w:lvl w:ilvl="0" w:tentative="0">
      <w:start w:val="1"/>
      <w:numFmt w:val="decimal"/>
      <w:pStyle w:val="87"/>
      <w:lvlText w:val="%1."/>
      <w:lvlJc w:val="left"/>
      <w:pPr>
        <w:ind w:left="425" w:hanging="425"/>
      </w:pPr>
      <w:rPr>
        <w:rFonts w:hint="eastAsia"/>
        <w:sz w:val="21"/>
        <w:szCs w:val="21"/>
      </w:rPr>
    </w:lvl>
    <w:lvl w:ilvl="1" w:tentative="0">
      <w:start w:val="1"/>
      <w:numFmt w:val="decimal"/>
      <w:pStyle w:val="88"/>
      <w:lvlText w:val="%1.%2"/>
      <w:lvlJc w:val="left"/>
      <w:pPr>
        <w:ind w:left="992" w:hanging="567"/>
      </w:pPr>
      <w:rPr>
        <w:rFonts w:hint="eastAsia" w:cs="Times New Roman"/>
        <w:b w:val="0"/>
        <w:bCs/>
        <w:i w:val="0"/>
        <w:iCs w:val="0"/>
        <w:caps w:val="0"/>
        <w:smallCaps w:val="0"/>
        <w:strike w:val="0"/>
        <w:dstrike w:val="0"/>
        <w:vanish w:val="0"/>
        <w:color w:val="auto"/>
        <w:spacing w:val="0"/>
        <w:position w:val="0"/>
        <w:u w:val="none"/>
        <w:vertAlign w:val="baseline"/>
      </w:rPr>
    </w:lvl>
    <w:lvl w:ilvl="2" w:tentative="0">
      <w:start w:val="1"/>
      <w:numFmt w:val="decimal"/>
      <w:pStyle w:val="89"/>
      <w:lvlText w:val="%1.%2.%3"/>
      <w:lvlJc w:val="left"/>
      <w:pPr>
        <w:ind w:left="1418" w:hanging="567"/>
      </w:pPr>
      <w:rPr>
        <w:rFonts w:hint="eastAsia"/>
        <w:color w:val="auto"/>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71F10759"/>
    <w:multiLevelType w:val="multilevel"/>
    <w:tmpl w:val="71F10759"/>
    <w:lvl w:ilvl="0" w:tentative="0">
      <w:start w:val="1"/>
      <w:numFmt w:val="decimal"/>
      <w:lvlText w:val="%1."/>
      <w:lvlJc w:val="left"/>
      <w:pPr>
        <w:ind w:left="704" w:hanging="420"/>
      </w:pPr>
      <w:rPr>
        <w:rFonts w:hint="eastAsia"/>
        <w:sz w:val="21"/>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2">
    <w:nsid w:val="76933334"/>
    <w:multiLevelType w:val="multilevel"/>
    <w:tmpl w:val="76933334"/>
    <w:lvl w:ilvl="0" w:tentative="0">
      <w:start w:val="1"/>
      <w:numFmt w:val="none"/>
      <w:pStyle w:val="156"/>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76E5114C"/>
    <w:multiLevelType w:val="multilevel"/>
    <w:tmpl w:val="76E5114C"/>
    <w:lvl w:ilvl="0" w:tentative="0">
      <w:start w:val="1"/>
      <w:numFmt w:val="decimal"/>
      <w:pStyle w:val="143"/>
      <w:lvlText w:val="%1"/>
      <w:lvlJc w:val="left"/>
      <w:pPr>
        <w:ind w:left="1063" w:hanging="420"/>
      </w:pPr>
      <w:rPr>
        <w:rFonts w:ascii="黑体" w:hAnsi="Times New Roman" w:eastAsia="黑体" w:cs="Times New Roman"/>
        <w:b/>
      </w:rPr>
    </w:lvl>
    <w:lvl w:ilvl="1" w:tentative="0">
      <w:start w:val="1"/>
      <w:numFmt w:val="lowerLetter"/>
      <w:pStyle w:val="142"/>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4">
    <w:nsid w:val="7C103B0A"/>
    <w:multiLevelType w:val="multilevel"/>
    <w:tmpl w:val="7C103B0A"/>
    <w:lvl w:ilvl="0" w:tentative="0">
      <w:start w:val="1"/>
      <w:numFmt w:val="decimal"/>
      <w:lvlText w:val="%1."/>
      <w:lvlJc w:val="left"/>
      <w:pPr>
        <w:ind w:left="70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0"/>
  </w:num>
  <w:num w:numId="2">
    <w:abstractNumId w:val="23"/>
  </w:num>
  <w:num w:numId="3">
    <w:abstractNumId w:val="17"/>
  </w:num>
  <w:num w:numId="4">
    <w:abstractNumId w:val="22"/>
  </w:num>
  <w:num w:numId="5">
    <w:abstractNumId w:val="10"/>
  </w:num>
  <w:num w:numId="6">
    <w:abstractNumId w:val="3"/>
  </w:num>
  <w:num w:numId="7">
    <w:abstractNumId w:val="5"/>
  </w:num>
  <w:num w:numId="8">
    <w:abstractNumId w:val="16"/>
  </w:num>
  <w:num w:numId="9">
    <w:abstractNumId w:val="14"/>
  </w:num>
  <w:num w:numId="10">
    <w:abstractNumId w:val="19"/>
  </w:num>
  <w:num w:numId="11">
    <w:abstractNumId w:val="12"/>
  </w:num>
  <w:num w:numId="12">
    <w:abstractNumId w:val="15"/>
  </w:num>
  <w:num w:numId="13">
    <w:abstractNumId w:val="1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lvl w:ilvl="0" w:tentative="1">
        <w:start w:val="1"/>
        <w:numFmt w:val="decimal"/>
        <w:lvlText w:val="%1."/>
        <w:lvlJc w:val="left"/>
        <w:pPr>
          <w:ind w:left="425" w:hanging="425"/>
        </w:pPr>
        <w:rPr>
          <w:rFonts w:hint="eastAsia"/>
          <w:sz w:val="21"/>
          <w:szCs w:val="21"/>
        </w:rPr>
      </w:lvl>
    </w:lvlOverride>
    <w:lvlOverride w:ilvl="1">
      <w:lvl w:ilvl="1" w:tentative="1">
        <w:start w:val="1"/>
        <w:numFmt w:val="decimal"/>
        <w:lvlText w:val="%1.%2"/>
        <w:lvlJc w:val="left"/>
        <w:pPr>
          <w:ind w:left="992" w:hanging="567"/>
        </w:pPr>
        <w:rPr>
          <w:rFonts w:hint="eastAsia" w:cs="Times New Roman"/>
          <w:b w:val="0"/>
          <w:bCs/>
          <w:i w:val="0"/>
          <w:iCs w:val="0"/>
          <w:caps w:val="0"/>
          <w:smallCaps w:val="0"/>
          <w:strike w:val="0"/>
          <w:dstrike w:val="0"/>
          <w:vanish w:val="0"/>
          <w:color w:val="auto"/>
          <w:spacing w:val="0"/>
          <w:position w:val="0"/>
          <w:u w:val="none"/>
          <w:vertAlign w:val="baseline"/>
        </w:rPr>
      </w:lvl>
    </w:lvlOverride>
    <w:lvlOverride w:ilvl="2">
      <w:lvl w:ilvl="2" w:tentative="1">
        <w:start w:val="1"/>
        <w:numFmt w:val="decimal"/>
        <w:lvlText w:val="%1.%2.%3"/>
        <w:lvlJc w:val="left"/>
        <w:pPr>
          <w:ind w:left="992" w:hanging="567"/>
        </w:pPr>
        <w:rPr>
          <w:rFonts w:hint="eastAsia"/>
        </w:rPr>
      </w:lvl>
    </w:lvlOverride>
    <w:lvlOverride w:ilvl="3">
      <w:lvl w:ilvl="3" w:tentative="1">
        <w:start w:val="1"/>
        <w:numFmt w:val="decimal"/>
        <w:lvlText w:val="%1.%2.%3.%4"/>
        <w:lvlJc w:val="left"/>
        <w:pPr>
          <w:ind w:left="1984" w:hanging="708"/>
        </w:pPr>
        <w:rPr>
          <w:rFonts w:hint="eastAsia"/>
        </w:rPr>
      </w:lvl>
    </w:lvlOverride>
    <w:lvlOverride w:ilvl="4">
      <w:lvl w:ilvl="4" w:tentative="1">
        <w:start w:val="1"/>
        <w:numFmt w:val="decimal"/>
        <w:lvlText w:val="%1.%2.%3.%4.%5"/>
        <w:lvlJc w:val="left"/>
        <w:pPr>
          <w:ind w:left="2551" w:hanging="850"/>
        </w:pPr>
        <w:rPr>
          <w:rFonts w:hint="eastAsia"/>
        </w:rPr>
      </w:lvl>
    </w:lvlOverride>
    <w:lvlOverride w:ilvl="5">
      <w:lvl w:ilvl="5" w:tentative="1">
        <w:start w:val="1"/>
        <w:numFmt w:val="decimal"/>
        <w:lvlText w:val="%1.%2.%3.%4.%5.%6"/>
        <w:lvlJc w:val="left"/>
        <w:pPr>
          <w:ind w:left="3260" w:hanging="1134"/>
        </w:pPr>
        <w:rPr>
          <w:rFonts w:hint="eastAsia"/>
        </w:rPr>
      </w:lvl>
    </w:lvlOverride>
    <w:lvlOverride w:ilvl="6">
      <w:lvl w:ilvl="6" w:tentative="1">
        <w:start w:val="1"/>
        <w:numFmt w:val="decimal"/>
        <w:lvlText w:val="%1.%2.%3.%4.%5.%6.%7"/>
        <w:lvlJc w:val="left"/>
        <w:pPr>
          <w:ind w:left="3827" w:hanging="1276"/>
        </w:pPr>
        <w:rPr>
          <w:rFonts w:hint="eastAsia"/>
        </w:rPr>
      </w:lvl>
    </w:lvlOverride>
    <w:lvlOverride w:ilvl="7">
      <w:lvl w:ilvl="7" w:tentative="1">
        <w:start w:val="1"/>
        <w:numFmt w:val="decimal"/>
        <w:lvlText w:val="%1.%2.%3.%4.%5.%6.%7.%8"/>
        <w:lvlJc w:val="left"/>
        <w:pPr>
          <w:ind w:left="4394" w:hanging="1418"/>
        </w:pPr>
        <w:rPr>
          <w:rFonts w:hint="eastAsia"/>
        </w:rPr>
      </w:lvl>
    </w:lvlOverride>
    <w:lvlOverride w:ilvl="8">
      <w:lvl w:ilvl="8" w:tentative="1">
        <w:start w:val="1"/>
        <w:numFmt w:val="decimal"/>
        <w:lvlText w:val="%1.%2.%3.%4.%5.%6.%7.%8.%9"/>
        <w:lvlJc w:val="left"/>
        <w:pPr>
          <w:ind w:left="5102" w:hanging="1700"/>
        </w:pPr>
        <w:rPr>
          <w:rFonts w:hint="eastAsia"/>
        </w:rPr>
      </w:lvl>
    </w:lvlOverride>
  </w:num>
  <w:num w:numId="18">
    <w:abstractNumId w:val="2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num>
  <w:num w:numId="60">
    <w:abstractNumId w:val="4"/>
  </w:num>
  <w:num w:numId="61">
    <w:abstractNumId w:val="2"/>
  </w:num>
  <w:num w:numId="62">
    <w:abstractNumId w:val="1"/>
  </w:num>
  <w:num w:numId="63">
    <w:abstractNumId w:val="0"/>
  </w:num>
  <w:num w:numId="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1NWNlYzEyN2NlNzMwODg4ZDE4ZGNhNDQ2ZmU5ZWYifQ=="/>
  </w:docVars>
  <w:rsids>
    <w:rsidRoot w:val="00172A27"/>
    <w:rsid w:val="000004E1"/>
    <w:rsid w:val="00000639"/>
    <w:rsid w:val="00001145"/>
    <w:rsid w:val="00001148"/>
    <w:rsid w:val="0000156E"/>
    <w:rsid w:val="0000161E"/>
    <w:rsid w:val="00001D41"/>
    <w:rsid w:val="00001EF7"/>
    <w:rsid w:val="000020C7"/>
    <w:rsid w:val="0000250F"/>
    <w:rsid w:val="00002DC0"/>
    <w:rsid w:val="0000459D"/>
    <w:rsid w:val="000045AB"/>
    <w:rsid w:val="000073B9"/>
    <w:rsid w:val="00011D44"/>
    <w:rsid w:val="000123DD"/>
    <w:rsid w:val="00012D84"/>
    <w:rsid w:val="000135A6"/>
    <w:rsid w:val="00013B7D"/>
    <w:rsid w:val="0001432B"/>
    <w:rsid w:val="00014933"/>
    <w:rsid w:val="00014B42"/>
    <w:rsid w:val="00015294"/>
    <w:rsid w:val="0001533F"/>
    <w:rsid w:val="00017B12"/>
    <w:rsid w:val="00017B1C"/>
    <w:rsid w:val="00021741"/>
    <w:rsid w:val="0002214B"/>
    <w:rsid w:val="00023E61"/>
    <w:rsid w:val="000249FA"/>
    <w:rsid w:val="00026A19"/>
    <w:rsid w:val="00026D63"/>
    <w:rsid w:val="000315D6"/>
    <w:rsid w:val="00032A54"/>
    <w:rsid w:val="00033B62"/>
    <w:rsid w:val="00034D9F"/>
    <w:rsid w:val="00034F41"/>
    <w:rsid w:val="00036145"/>
    <w:rsid w:val="00037FE0"/>
    <w:rsid w:val="0004127C"/>
    <w:rsid w:val="0004215D"/>
    <w:rsid w:val="000446A4"/>
    <w:rsid w:val="00045885"/>
    <w:rsid w:val="00045AC4"/>
    <w:rsid w:val="0004614D"/>
    <w:rsid w:val="000474AD"/>
    <w:rsid w:val="000478EF"/>
    <w:rsid w:val="00047B36"/>
    <w:rsid w:val="00051243"/>
    <w:rsid w:val="00051FE4"/>
    <w:rsid w:val="0005233D"/>
    <w:rsid w:val="0005252C"/>
    <w:rsid w:val="00052B1E"/>
    <w:rsid w:val="00052C32"/>
    <w:rsid w:val="00054DC7"/>
    <w:rsid w:val="000556EB"/>
    <w:rsid w:val="0005581C"/>
    <w:rsid w:val="00055E47"/>
    <w:rsid w:val="00055F71"/>
    <w:rsid w:val="00060B54"/>
    <w:rsid w:val="00060ECD"/>
    <w:rsid w:val="0006162A"/>
    <w:rsid w:val="000616A9"/>
    <w:rsid w:val="00061EA4"/>
    <w:rsid w:val="00063763"/>
    <w:rsid w:val="00064ACD"/>
    <w:rsid w:val="00064CD5"/>
    <w:rsid w:val="000658DF"/>
    <w:rsid w:val="00065B99"/>
    <w:rsid w:val="00066342"/>
    <w:rsid w:val="00066F8C"/>
    <w:rsid w:val="00070F56"/>
    <w:rsid w:val="00071107"/>
    <w:rsid w:val="0007114E"/>
    <w:rsid w:val="000716A3"/>
    <w:rsid w:val="000744C0"/>
    <w:rsid w:val="0007532C"/>
    <w:rsid w:val="00075D25"/>
    <w:rsid w:val="0008052B"/>
    <w:rsid w:val="0008168B"/>
    <w:rsid w:val="00082269"/>
    <w:rsid w:val="00084033"/>
    <w:rsid w:val="00086346"/>
    <w:rsid w:val="00086722"/>
    <w:rsid w:val="00086F6E"/>
    <w:rsid w:val="00086FDD"/>
    <w:rsid w:val="0008759E"/>
    <w:rsid w:val="00087DD0"/>
    <w:rsid w:val="00090530"/>
    <w:rsid w:val="0009054B"/>
    <w:rsid w:val="00090EAF"/>
    <w:rsid w:val="00091B4E"/>
    <w:rsid w:val="00092603"/>
    <w:rsid w:val="00092889"/>
    <w:rsid w:val="00093DBF"/>
    <w:rsid w:val="00093EBD"/>
    <w:rsid w:val="00093F64"/>
    <w:rsid w:val="00095C1A"/>
    <w:rsid w:val="00095EF2"/>
    <w:rsid w:val="000972C4"/>
    <w:rsid w:val="00097F9E"/>
    <w:rsid w:val="000A1546"/>
    <w:rsid w:val="000A272A"/>
    <w:rsid w:val="000A3997"/>
    <w:rsid w:val="000A4228"/>
    <w:rsid w:val="000A5E2A"/>
    <w:rsid w:val="000A6938"/>
    <w:rsid w:val="000A69B7"/>
    <w:rsid w:val="000A6AC9"/>
    <w:rsid w:val="000A6B2C"/>
    <w:rsid w:val="000A7233"/>
    <w:rsid w:val="000A79D8"/>
    <w:rsid w:val="000A7D80"/>
    <w:rsid w:val="000B1519"/>
    <w:rsid w:val="000B334C"/>
    <w:rsid w:val="000B3401"/>
    <w:rsid w:val="000B456E"/>
    <w:rsid w:val="000B5292"/>
    <w:rsid w:val="000B5EB9"/>
    <w:rsid w:val="000B7120"/>
    <w:rsid w:val="000B760E"/>
    <w:rsid w:val="000B7CAC"/>
    <w:rsid w:val="000C0FAA"/>
    <w:rsid w:val="000C1515"/>
    <w:rsid w:val="000C37A6"/>
    <w:rsid w:val="000C3E96"/>
    <w:rsid w:val="000C4EF7"/>
    <w:rsid w:val="000C61ED"/>
    <w:rsid w:val="000C62B2"/>
    <w:rsid w:val="000C64F1"/>
    <w:rsid w:val="000C6722"/>
    <w:rsid w:val="000C6A98"/>
    <w:rsid w:val="000C6C51"/>
    <w:rsid w:val="000C6E50"/>
    <w:rsid w:val="000D058A"/>
    <w:rsid w:val="000D0C3B"/>
    <w:rsid w:val="000D175B"/>
    <w:rsid w:val="000D1B5A"/>
    <w:rsid w:val="000D249B"/>
    <w:rsid w:val="000D2868"/>
    <w:rsid w:val="000D325E"/>
    <w:rsid w:val="000D3D71"/>
    <w:rsid w:val="000D45F7"/>
    <w:rsid w:val="000D47A9"/>
    <w:rsid w:val="000D5D7E"/>
    <w:rsid w:val="000D5E35"/>
    <w:rsid w:val="000D7003"/>
    <w:rsid w:val="000D74A5"/>
    <w:rsid w:val="000D7E2F"/>
    <w:rsid w:val="000E149A"/>
    <w:rsid w:val="000E1C31"/>
    <w:rsid w:val="000E31CC"/>
    <w:rsid w:val="000E4444"/>
    <w:rsid w:val="000E4779"/>
    <w:rsid w:val="000E6B40"/>
    <w:rsid w:val="000E6C08"/>
    <w:rsid w:val="000E719F"/>
    <w:rsid w:val="000F0449"/>
    <w:rsid w:val="000F0C58"/>
    <w:rsid w:val="000F1CF0"/>
    <w:rsid w:val="000F31F2"/>
    <w:rsid w:val="000F34A0"/>
    <w:rsid w:val="000F3CCA"/>
    <w:rsid w:val="000F4029"/>
    <w:rsid w:val="000F4465"/>
    <w:rsid w:val="000F4F01"/>
    <w:rsid w:val="00101F56"/>
    <w:rsid w:val="001026F1"/>
    <w:rsid w:val="0010305B"/>
    <w:rsid w:val="00103955"/>
    <w:rsid w:val="001040E1"/>
    <w:rsid w:val="001058BF"/>
    <w:rsid w:val="00112825"/>
    <w:rsid w:val="001129F3"/>
    <w:rsid w:val="00113B51"/>
    <w:rsid w:val="00113EE4"/>
    <w:rsid w:val="0011478D"/>
    <w:rsid w:val="00114DD6"/>
    <w:rsid w:val="00115929"/>
    <w:rsid w:val="0011632D"/>
    <w:rsid w:val="00117674"/>
    <w:rsid w:val="00120BB1"/>
    <w:rsid w:val="00122118"/>
    <w:rsid w:val="001246B1"/>
    <w:rsid w:val="00124997"/>
    <w:rsid w:val="00125568"/>
    <w:rsid w:val="001278C2"/>
    <w:rsid w:val="00130061"/>
    <w:rsid w:val="00131071"/>
    <w:rsid w:val="001320F2"/>
    <w:rsid w:val="001327DE"/>
    <w:rsid w:val="00132BE4"/>
    <w:rsid w:val="00133607"/>
    <w:rsid w:val="001354C1"/>
    <w:rsid w:val="00136838"/>
    <w:rsid w:val="00137A2F"/>
    <w:rsid w:val="00141593"/>
    <w:rsid w:val="00142056"/>
    <w:rsid w:val="0014242A"/>
    <w:rsid w:val="00142BB6"/>
    <w:rsid w:val="00142EC2"/>
    <w:rsid w:val="0014327B"/>
    <w:rsid w:val="001434EA"/>
    <w:rsid w:val="001440C0"/>
    <w:rsid w:val="00144B84"/>
    <w:rsid w:val="00145987"/>
    <w:rsid w:val="001467DB"/>
    <w:rsid w:val="0015034B"/>
    <w:rsid w:val="001524A7"/>
    <w:rsid w:val="00152D11"/>
    <w:rsid w:val="00153D66"/>
    <w:rsid w:val="001548E8"/>
    <w:rsid w:val="00155827"/>
    <w:rsid w:val="00157251"/>
    <w:rsid w:val="001573A9"/>
    <w:rsid w:val="00157DD2"/>
    <w:rsid w:val="00161B71"/>
    <w:rsid w:val="00161F05"/>
    <w:rsid w:val="00162233"/>
    <w:rsid w:val="001627D4"/>
    <w:rsid w:val="0016289D"/>
    <w:rsid w:val="001636C0"/>
    <w:rsid w:val="001649D8"/>
    <w:rsid w:val="001655A8"/>
    <w:rsid w:val="00165E80"/>
    <w:rsid w:val="00166444"/>
    <w:rsid w:val="001668EB"/>
    <w:rsid w:val="00166D2C"/>
    <w:rsid w:val="00166EDD"/>
    <w:rsid w:val="00166F0E"/>
    <w:rsid w:val="00167059"/>
    <w:rsid w:val="00167A56"/>
    <w:rsid w:val="00172A27"/>
    <w:rsid w:val="001736B0"/>
    <w:rsid w:val="00173964"/>
    <w:rsid w:val="00174F4A"/>
    <w:rsid w:val="00176227"/>
    <w:rsid w:val="00176A13"/>
    <w:rsid w:val="00177699"/>
    <w:rsid w:val="00177D7B"/>
    <w:rsid w:val="001808B4"/>
    <w:rsid w:val="00180E23"/>
    <w:rsid w:val="001813F5"/>
    <w:rsid w:val="00181A84"/>
    <w:rsid w:val="001834B6"/>
    <w:rsid w:val="00184C3C"/>
    <w:rsid w:val="00185B7C"/>
    <w:rsid w:val="00190EC5"/>
    <w:rsid w:val="00191BFF"/>
    <w:rsid w:val="00192898"/>
    <w:rsid w:val="001941B5"/>
    <w:rsid w:val="001951B5"/>
    <w:rsid w:val="00196A24"/>
    <w:rsid w:val="00196CD8"/>
    <w:rsid w:val="00197284"/>
    <w:rsid w:val="00197DA3"/>
    <w:rsid w:val="001A0551"/>
    <w:rsid w:val="001A0CF8"/>
    <w:rsid w:val="001A20D1"/>
    <w:rsid w:val="001A22F7"/>
    <w:rsid w:val="001A25C4"/>
    <w:rsid w:val="001A3BD7"/>
    <w:rsid w:val="001A4DD1"/>
    <w:rsid w:val="001A5073"/>
    <w:rsid w:val="001A5BF9"/>
    <w:rsid w:val="001A656C"/>
    <w:rsid w:val="001A65F0"/>
    <w:rsid w:val="001A6B41"/>
    <w:rsid w:val="001A6DE6"/>
    <w:rsid w:val="001A6EB5"/>
    <w:rsid w:val="001A79E5"/>
    <w:rsid w:val="001B0D1F"/>
    <w:rsid w:val="001B1267"/>
    <w:rsid w:val="001B13B0"/>
    <w:rsid w:val="001B1A98"/>
    <w:rsid w:val="001B2DCF"/>
    <w:rsid w:val="001B348B"/>
    <w:rsid w:val="001B3690"/>
    <w:rsid w:val="001B371F"/>
    <w:rsid w:val="001B3827"/>
    <w:rsid w:val="001B39D5"/>
    <w:rsid w:val="001B3EDF"/>
    <w:rsid w:val="001B607D"/>
    <w:rsid w:val="001B6724"/>
    <w:rsid w:val="001B7C12"/>
    <w:rsid w:val="001C0A42"/>
    <w:rsid w:val="001C1A27"/>
    <w:rsid w:val="001C378C"/>
    <w:rsid w:val="001C4275"/>
    <w:rsid w:val="001C57B5"/>
    <w:rsid w:val="001C6FAD"/>
    <w:rsid w:val="001C7123"/>
    <w:rsid w:val="001D0306"/>
    <w:rsid w:val="001D30DF"/>
    <w:rsid w:val="001D3971"/>
    <w:rsid w:val="001D481C"/>
    <w:rsid w:val="001D4C63"/>
    <w:rsid w:val="001D541D"/>
    <w:rsid w:val="001D5F98"/>
    <w:rsid w:val="001D719C"/>
    <w:rsid w:val="001D7241"/>
    <w:rsid w:val="001E0D69"/>
    <w:rsid w:val="001E1369"/>
    <w:rsid w:val="001E1CE1"/>
    <w:rsid w:val="001E5149"/>
    <w:rsid w:val="001E69B6"/>
    <w:rsid w:val="001F0B41"/>
    <w:rsid w:val="001F1BFE"/>
    <w:rsid w:val="001F2A32"/>
    <w:rsid w:val="001F3480"/>
    <w:rsid w:val="001F430B"/>
    <w:rsid w:val="001F4E75"/>
    <w:rsid w:val="001F57F4"/>
    <w:rsid w:val="001F5E5C"/>
    <w:rsid w:val="001F63E0"/>
    <w:rsid w:val="001F7023"/>
    <w:rsid w:val="001F7243"/>
    <w:rsid w:val="001F7B94"/>
    <w:rsid w:val="001F7C6C"/>
    <w:rsid w:val="001F7EBE"/>
    <w:rsid w:val="0020003C"/>
    <w:rsid w:val="002005D4"/>
    <w:rsid w:val="00200804"/>
    <w:rsid w:val="002019BE"/>
    <w:rsid w:val="00204471"/>
    <w:rsid w:val="0020515B"/>
    <w:rsid w:val="00205F17"/>
    <w:rsid w:val="002106B8"/>
    <w:rsid w:val="00210BB4"/>
    <w:rsid w:val="00210FF7"/>
    <w:rsid w:val="002118B4"/>
    <w:rsid w:val="002128DA"/>
    <w:rsid w:val="002129B1"/>
    <w:rsid w:val="0021360E"/>
    <w:rsid w:val="00213CAD"/>
    <w:rsid w:val="002161FC"/>
    <w:rsid w:val="00216550"/>
    <w:rsid w:val="002204B6"/>
    <w:rsid w:val="00221BF1"/>
    <w:rsid w:val="00222365"/>
    <w:rsid w:val="00222BAA"/>
    <w:rsid w:val="0022312F"/>
    <w:rsid w:val="0022373D"/>
    <w:rsid w:val="00224A07"/>
    <w:rsid w:val="00224AF6"/>
    <w:rsid w:val="00224D2E"/>
    <w:rsid w:val="00225FFC"/>
    <w:rsid w:val="00226589"/>
    <w:rsid w:val="00226EA2"/>
    <w:rsid w:val="00227EA4"/>
    <w:rsid w:val="002316BE"/>
    <w:rsid w:val="00232B16"/>
    <w:rsid w:val="00233D8F"/>
    <w:rsid w:val="00236CE1"/>
    <w:rsid w:val="00237655"/>
    <w:rsid w:val="00237CA0"/>
    <w:rsid w:val="002406A4"/>
    <w:rsid w:val="002408D7"/>
    <w:rsid w:val="00241210"/>
    <w:rsid w:val="00241817"/>
    <w:rsid w:val="0024248F"/>
    <w:rsid w:val="002437DD"/>
    <w:rsid w:val="00244170"/>
    <w:rsid w:val="00246CE2"/>
    <w:rsid w:val="0024716E"/>
    <w:rsid w:val="00247D6F"/>
    <w:rsid w:val="00251355"/>
    <w:rsid w:val="0025364E"/>
    <w:rsid w:val="002544B2"/>
    <w:rsid w:val="002568E2"/>
    <w:rsid w:val="002569AE"/>
    <w:rsid w:val="00257612"/>
    <w:rsid w:val="0026004B"/>
    <w:rsid w:val="00260D2A"/>
    <w:rsid w:val="0026237B"/>
    <w:rsid w:val="002632BF"/>
    <w:rsid w:val="002636AD"/>
    <w:rsid w:val="00263803"/>
    <w:rsid w:val="0026433E"/>
    <w:rsid w:val="00264D56"/>
    <w:rsid w:val="0026505C"/>
    <w:rsid w:val="002650B1"/>
    <w:rsid w:val="002652AC"/>
    <w:rsid w:val="002701FB"/>
    <w:rsid w:val="00271227"/>
    <w:rsid w:val="0027426A"/>
    <w:rsid w:val="0027485B"/>
    <w:rsid w:val="0027599F"/>
    <w:rsid w:val="00275D51"/>
    <w:rsid w:val="002769C5"/>
    <w:rsid w:val="00277EBB"/>
    <w:rsid w:val="00277F42"/>
    <w:rsid w:val="002805C2"/>
    <w:rsid w:val="00280936"/>
    <w:rsid w:val="00280B84"/>
    <w:rsid w:val="00282DBD"/>
    <w:rsid w:val="00282EC0"/>
    <w:rsid w:val="00284535"/>
    <w:rsid w:val="00284E66"/>
    <w:rsid w:val="00285166"/>
    <w:rsid w:val="00290035"/>
    <w:rsid w:val="00290BCC"/>
    <w:rsid w:val="0029107B"/>
    <w:rsid w:val="00291DD8"/>
    <w:rsid w:val="00292007"/>
    <w:rsid w:val="002932E5"/>
    <w:rsid w:val="00293552"/>
    <w:rsid w:val="00293D6D"/>
    <w:rsid w:val="002945F4"/>
    <w:rsid w:val="00297C3D"/>
    <w:rsid w:val="002A04CE"/>
    <w:rsid w:val="002A0676"/>
    <w:rsid w:val="002A0FC1"/>
    <w:rsid w:val="002A1D73"/>
    <w:rsid w:val="002A4FA4"/>
    <w:rsid w:val="002A4FC2"/>
    <w:rsid w:val="002A57E1"/>
    <w:rsid w:val="002A6B27"/>
    <w:rsid w:val="002A7618"/>
    <w:rsid w:val="002B019E"/>
    <w:rsid w:val="002B040F"/>
    <w:rsid w:val="002B199B"/>
    <w:rsid w:val="002B2339"/>
    <w:rsid w:val="002B3DDE"/>
    <w:rsid w:val="002B3DEF"/>
    <w:rsid w:val="002B58DC"/>
    <w:rsid w:val="002B7874"/>
    <w:rsid w:val="002C0CC6"/>
    <w:rsid w:val="002C1C1F"/>
    <w:rsid w:val="002C3106"/>
    <w:rsid w:val="002C43BE"/>
    <w:rsid w:val="002C5934"/>
    <w:rsid w:val="002C7A50"/>
    <w:rsid w:val="002C7CBE"/>
    <w:rsid w:val="002C7D94"/>
    <w:rsid w:val="002D182A"/>
    <w:rsid w:val="002D2438"/>
    <w:rsid w:val="002D2AE5"/>
    <w:rsid w:val="002D31EC"/>
    <w:rsid w:val="002D3F85"/>
    <w:rsid w:val="002D48D5"/>
    <w:rsid w:val="002D5093"/>
    <w:rsid w:val="002D5358"/>
    <w:rsid w:val="002D54F1"/>
    <w:rsid w:val="002D6397"/>
    <w:rsid w:val="002D783F"/>
    <w:rsid w:val="002E005C"/>
    <w:rsid w:val="002E0423"/>
    <w:rsid w:val="002E0D3A"/>
    <w:rsid w:val="002E213A"/>
    <w:rsid w:val="002E2405"/>
    <w:rsid w:val="002E2418"/>
    <w:rsid w:val="002E269D"/>
    <w:rsid w:val="002E2E56"/>
    <w:rsid w:val="002E2FBC"/>
    <w:rsid w:val="002E39FE"/>
    <w:rsid w:val="002E4E39"/>
    <w:rsid w:val="002E5F4C"/>
    <w:rsid w:val="002E621D"/>
    <w:rsid w:val="002E67EF"/>
    <w:rsid w:val="002E6ED2"/>
    <w:rsid w:val="002E74E8"/>
    <w:rsid w:val="002E7CB9"/>
    <w:rsid w:val="002F0B87"/>
    <w:rsid w:val="002F0C0A"/>
    <w:rsid w:val="002F2A08"/>
    <w:rsid w:val="002F2DA6"/>
    <w:rsid w:val="002F378D"/>
    <w:rsid w:val="002F4815"/>
    <w:rsid w:val="002F5934"/>
    <w:rsid w:val="002F5B04"/>
    <w:rsid w:val="002F7D87"/>
    <w:rsid w:val="00300770"/>
    <w:rsid w:val="00301A19"/>
    <w:rsid w:val="00301B91"/>
    <w:rsid w:val="00302017"/>
    <w:rsid w:val="00302258"/>
    <w:rsid w:val="003029F0"/>
    <w:rsid w:val="003039B4"/>
    <w:rsid w:val="0030413B"/>
    <w:rsid w:val="003044D2"/>
    <w:rsid w:val="00307C2B"/>
    <w:rsid w:val="003115D7"/>
    <w:rsid w:val="003116DB"/>
    <w:rsid w:val="003134D2"/>
    <w:rsid w:val="00313753"/>
    <w:rsid w:val="00313902"/>
    <w:rsid w:val="00316D04"/>
    <w:rsid w:val="003176FE"/>
    <w:rsid w:val="00320857"/>
    <w:rsid w:val="003215B8"/>
    <w:rsid w:val="00322C9E"/>
    <w:rsid w:val="003230EC"/>
    <w:rsid w:val="003256C0"/>
    <w:rsid w:val="00327010"/>
    <w:rsid w:val="003277B1"/>
    <w:rsid w:val="00327B70"/>
    <w:rsid w:val="0033052C"/>
    <w:rsid w:val="003309EF"/>
    <w:rsid w:val="003314CE"/>
    <w:rsid w:val="0033261C"/>
    <w:rsid w:val="00333281"/>
    <w:rsid w:val="003335A5"/>
    <w:rsid w:val="003338E1"/>
    <w:rsid w:val="003339CD"/>
    <w:rsid w:val="003340AE"/>
    <w:rsid w:val="0033447E"/>
    <w:rsid w:val="00334AA9"/>
    <w:rsid w:val="003352C5"/>
    <w:rsid w:val="003369EE"/>
    <w:rsid w:val="00336E58"/>
    <w:rsid w:val="003403CC"/>
    <w:rsid w:val="0034212A"/>
    <w:rsid w:val="00343950"/>
    <w:rsid w:val="0034428F"/>
    <w:rsid w:val="00344856"/>
    <w:rsid w:val="0034498C"/>
    <w:rsid w:val="003450E2"/>
    <w:rsid w:val="0034560E"/>
    <w:rsid w:val="00345727"/>
    <w:rsid w:val="00345945"/>
    <w:rsid w:val="003462B4"/>
    <w:rsid w:val="00346304"/>
    <w:rsid w:val="003471E7"/>
    <w:rsid w:val="003473A8"/>
    <w:rsid w:val="00350639"/>
    <w:rsid w:val="003513B5"/>
    <w:rsid w:val="003514D5"/>
    <w:rsid w:val="00353C9C"/>
    <w:rsid w:val="003547E8"/>
    <w:rsid w:val="00356325"/>
    <w:rsid w:val="003564D3"/>
    <w:rsid w:val="003577F0"/>
    <w:rsid w:val="00357E6A"/>
    <w:rsid w:val="0036004C"/>
    <w:rsid w:val="00360E6D"/>
    <w:rsid w:val="00361AB1"/>
    <w:rsid w:val="00362BEC"/>
    <w:rsid w:val="00363242"/>
    <w:rsid w:val="00363335"/>
    <w:rsid w:val="003633A0"/>
    <w:rsid w:val="00365411"/>
    <w:rsid w:val="00367D31"/>
    <w:rsid w:val="00367FAA"/>
    <w:rsid w:val="00370D7B"/>
    <w:rsid w:val="00371149"/>
    <w:rsid w:val="00372722"/>
    <w:rsid w:val="0037368B"/>
    <w:rsid w:val="00373734"/>
    <w:rsid w:val="00373909"/>
    <w:rsid w:val="003746B1"/>
    <w:rsid w:val="00374A37"/>
    <w:rsid w:val="00374B9E"/>
    <w:rsid w:val="00375289"/>
    <w:rsid w:val="00376C57"/>
    <w:rsid w:val="0037714F"/>
    <w:rsid w:val="003771F4"/>
    <w:rsid w:val="00381353"/>
    <w:rsid w:val="003818D8"/>
    <w:rsid w:val="0038324F"/>
    <w:rsid w:val="00385222"/>
    <w:rsid w:val="00386256"/>
    <w:rsid w:val="00386BF3"/>
    <w:rsid w:val="003875D7"/>
    <w:rsid w:val="00391A3B"/>
    <w:rsid w:val="00393ABC"/>
    <w:rsid w:val="00394B8E"/>
    <w:rsid w:val="003956E3"/>
    <w:rsid w:val="00395B76"/>
    <w:rsid w:val="00395B7A"/>
    <w:rsid w:val="00396BEE"/>
    <w:rsid w:val="00396E03"/>
    <w:rsid w:val="003976D8"/>
    <w:rsid w:val="003A0784"/>
    <w:rsid w:val="003A12F3"/>
    <w:rsid w:val="003A2DAD"/>
    <w:rsid w:val="003A3DF6"/>
    <w:rsid w:val="003A3E34"/>
    <w:rsid w:val="003A4603"/>
    <w:rsid w:val="003A5BAA"/>
    <w:rsid w:val="003A5CA3"/>
    <w:rsid w:val="003A698A"/>
    <w:rsid w:val="003A7F6F"/>
    <w:rsid w:val="003B01B9"/>
    <w:rsid w:val="003B0A9E"/>
    <w:rsid w:val="003B0B04"/>
    <w:rsid w:val="003B1B8A"/>
    <w:rsid w:val="003B26A0"/>
    <w:rsid w:val="003B2D4E"/>
    <w:rsid w:val="003B2FC9"/>
    <w:rsid w:val="003B3E58"/>
    <w:rsid w:val="003B4A58"/>
    <w:rsid w:val="003B4B5D"/>
    <w:rsid w:val="003B4CDD"/>
    <w:rsid w:val="003B6A43"/>
    <w:rsid w:val="003B6F77"/>
    <w:rsid w:val="003B7063"/>
    <w:rsid w:val="003B749B"/>
    <w:rsid w:val="003C0D90"/>
    <w:rsid w:val="003C0E6C"/>
    <w:rsid w:val="003C18EE"/>
    <w:rsid w:val="003C29D1"/>
    <w:rsid w:val="003C2E21"/>
    <w:rsid w:val="003C3D83"/>
    <w:rsid w:val="003C4B22"/>
    <w:rsid w:val="003C621F"/>
    <w:rsid w:val="003C6484"/>
    <w:rsid w:val="003C6538"/>
    <w:rsid w:val="003C6972"/>
    <w:rsid w:val="003C6BA4"/>
    <w:rsid w:val="003C6F48"/>
    <w:rsid w:val="003D174E"/>
    <w:rsid w:val="003D22B0"/>
    <w:rsid w:val="003D320B"/>
    <w:rsid w:val="003D39AA"/>
    <w:rsid w:val="003D4C7F"/>
    <w:rsid w:val="003D6475"/>
    <w:rsid w:val="003D64DA"/>
    <w:rsid w:val="003D6764"/>
    <w:rsid w:val="003D6B1D"/>
    <w:rsid w:val="003D72D9"/>
    <w:rsid w:val="003D7533"/>
    <w:rsid w:val="003D7D1A"/>
    <w:rsid w:val="003E15C0"/>
    <w:rsid w:val="003E26E3"/>
    <w:rsid w:val="003E3C2D"/>
    <w:rsid w:val="003E49E4"/>
    <w:rsid w:val="003E4B2B"/>
    <w:rsid w:val="003E654F"/>
    <w:rsid w:val="003E72D0"/>
    <w:rsid w:val="003E7BBC"/>
    <w:rsid w:val="003F11D0"/>
    <w:rsid w:val="003F1729"/>
    <w:rsid w:val="003F5280"/>
    <w:rsid w:val="003F57EA"/>
    <w:rsid w:val="003F6839"/>
    <w:rsid w:val="003F6ABD"/>
    <w:rsid w:val="003F6B8B"/>
    <w:rsid w:val="003F6EB8"/>
    <w:rsid w:val="00400370"/>
    <w:rsid w:val="00400B2E"/>
    <w:rsid w:val="00400D61"/>
    <w:rsid w:val="00400F66"/>
    <w:rsid w:val="004011A7"/>
    <w:rsid w:val="004021AE"/>
    <w:rsid w:val="00402727"/>
    <w:rsid w:val="004030AC"/>
    <w:rsid w:val="0040432E"/>
    <w:rsid w:val="00405052"/>
    <w:rsid w:val="00405112"/>
    <w:rsid w:val="0040783F"/>
    <w:rsid w:val="00407ED2"/>
    <w:rsid w:val="0041042A"/>
    <w:rsid w:val="0041088E"/>
    <w:rsid w:val="00410A90"/>
    <w:rsid w:val="00410B5E"/>
    <w:rsid w:val="00410FA6"/>
    <w:rsid w:val="00412307"/>
    <w:rsid w:val="00412A48"/>
    <w:rsid w:val="00412F42"/>
    <w:rsid w:val="0041358F"/>
    <w:rsid w:val="00415F70"/>
    <w:rsid w:val="004167E3"/>
    <w:rsid w:val="004202FD"/>
    <w:rsid w:val="004209F6"/>
    <w:rsid w:val="00420A80"/>
    <w:rsid w:val="0042320A"/>
    <w:rsid w:val="004234D4"/>
    <w:rsid w:val="0042368A"/>
    <w:rsid w:val="004236C1"/>
    <w:rsid w:val="0042794B"/>
    <w:rsid w:val="004304C4"/>
    <w:rsid w:val="0043295B"/>
    <w:rsid w:val="00435675"/>
    <w:rsid w:val="00435DA1"/>
    <w:rsid w:val="00436D81"/>
    <w:rsid w:val="004374E4"/>
    <w:rsid w:val="0044236E"/>
    <w:rsid w:val="004434BF"/>
    <w:rsid w:val="004439F9"/>
    <w:rsid w:val="00445354"/>
    <w:rsid w:val="00445CBF"/>
    <w:rsid w:val="004474B4"/>
    <w:rsid w:val="00447821"/>
    <w:rsid w:val="004505FD"/>
    <w:rsid w:val="00450E51"/>
    <w:rsid w:val="004510A5"/>
    <w:rsid w:val="00451261"/>
    <w:rsid w:val="004518F5"/>
    <w:rsid w:val="00451B76"/>
    <w:rsid w:val="00454849"/>
    <w:rsid w:val="004552C9"/>
    <w:rsid w:val="00455406"/>
    <w:rsid w:val="0045654F"/>
    <w:rsid w:val="00457018"/>
    <w:rsid w:val="004575CD"/>
    <w:rsid w:val="0046061F"/>
    <w:rsid w:val="00460C43"/>
    <w:rsid w:val="0046155E"/>
    <w:rsid w:val="00461E93"/>
    <w:rsid w:val="00463C2A"/>
    <w:rsid w:val="004640FF"/>
    <w:rsid w:val="004649BC"/>
    <w:rsid w:val="00465EF8"/>
    <w:rsid w:val="00466A55"/>
    <w:rsid w:val="0046746A"/>
    <w:rsid w:val="00467E67"/>
    <w:rsid w:val="0047077E"/>
    <w:rsid w:val="00470951"/>
    <w:rsid w:val="00470F5A"/>
    <w:rsid w:val="00472926"/>
    <w:rsid w:val="00475D7C"/>
    <w:rsid w:val="00476040"/>
    <w:rsid w:val="004761B6"/>
    <w:rsid w:val="00476B29"/>
    <w:rsid w:val="00476C36"/>
    <w:rsid w:val="004771A1"/>
    <w:rsid w:val="00477387"/>
    <w:rsid w:val="0048011A"/>
    <w:rsid w:val="00480EEC"/>
    <w:rsid w:val="00482322"/>
    <w:rsid w:val="00485C02"/>
    <w:rsid w:val="00485C29"/>
    <w:rsid w:val="00487639"/>
    <w:rsid w:val="00487939"/>
    <w:rsid w:val="00491098"/>
    <w:rsid w:val="004919E8"/>
    <w:rsid w:val="004929B8"/>
    <w:rsid w:val="00492D55"/>
    <w:rsid w:val="00492FA4"/>
    <w:rsid w:val="004930AE"/>
    <w:rsid w:val="00493BA3"/>
    <w:rsid w:val="004940DE"/>
    <w:rsid w:val="004957AC"/>
    <w:rsid w:val="004A09D0"/>
    <w:rsid w:val="004A0D4F"/>
    <w:rsid w:val="004A12F9"/>
    <w:rsid w:val="004A1D19"/>
    <w:rsid w:val="004A2768"/>
    <w:rsid w:val="004A33D4"/>
    <w:rsid w:val="004A36DB"/>
    <w:rsid w:val="004A4921"/>
    <w:rsid w:val="004A4A3E"/>
    <w:rsid w:val="004A7FE9"/>
    <w:rsid w:val="004B0783"/>
    <w:rsid w:val="004B0800"/>
    <w:rsid w:val="004B08A5"/>
    <w:rsid w:val="004B0CA8"/>
    <w:rsid w:val="004B1DCC"/>
    <w:rsid w:val="004B2C0B"/>
    <w:rsid w:val="004B3CAB"/>
    <w:rsid w:val="004B3D85"/>
    <w:rsid w:val="004B40B3"/>
    <w:rsid w:val="004B43FB"/>
    <w:rsid w:val="004B493D"/>
    <w:rsid w:val="004B5028"/>
    <w:rsid w:val="004B694C"/>
    <w:rsid w:val="004B69D2"/>
    <w:rsid w:val="004B6DF3"/>
    <w:rsid w:val="004B7575"/>
    <w:rsid w:val="004C26FC"/>
    <w:rsid w:val="004C52DC"/>
    <w:rsid w:val="004C5C7F"/>
    <w:rsid w:val="004C6A20"/>
    <w:rsid w:val="004C6D9A"/>
    <w:rsid w:val="004C7031"/>
    <w:rsid w:val="004D18D9"/>
    <w:rsid w:val="004D35C2"/>
    <w:rsid w:val="004D51B8"/>
    <w:rsid w:val="004D652A"/>
    <w:rsid w:val="004E0943"/>
    <w:rsid w:val="004E0DB3"/>
    <w:rsid w:val="004E2864"/>
    <w:rsid w:val="004E5309"/>
    <w:rsid w:val="004E556E"/>
    <w:rsid w:val="004F0C4A"/>
    <w:rsid w:val="004F0F06"/>
    <w:rsid w:val="004F0FC6"/>
    <w:rsid w:val="004F1005"/>
    <w:rsid w:val="004F1045"/>
    <w:rsid w:val="004F261E"/>
    <w:rsid w:val="004F3417"/>
    <w:rsid w:val="004F4B0C"/>
    <w:rsid w:val="004F4CBD"/>
    <w:rsid w:val="004F54FD"/>
    <w:rsid w:val="004F5C2C"/>
    <w:rsid w:val="004F6C4F"/>
    <w:rsid w:val="004F7ED4"/>
    <w:rsid w:val="00501022"/>
    <w:rsid w:val="00502169"/>
    <w:rsid w:val="00502CC8"/>
    <w:rsid w:val="00502D6A"/>
    <w:rsid w:val="00503367"/>
    <w:rsid w:val="0050583C"/>
    <w:rsid w:val="00507130"/>
    <w:rsid w:val="00510E72"/>
    <w:rsid w:val="0051172E"/>
    <w:rsid w:val="00512C00"/>
    <w:rsid w:val="0051379D"/>
    <w:rsid w:val="00513938"/>
    <w:rsid w:val="005152F0"/>
    <w:rsid w:val="005164F6"/>
    <w:rsid w:val="00520D90"/>
    <w:rsid w:val="00521120"/>
    <w:rsid w:val="00521600"/>
    <w:rsid w:val="00523014"/>
    <w:rsid w:val="005237C5"/>
    <w:rsid w:val="005252BB"/>
    <w:rsid w:val="00525926"/>
    <w:rsid w:val="0052676F"/>
    <w:rsid w:val="00530BDD"/>
    <w:rsid w:val="005311C9"/>
    <w:rsid w:val="00532B2F"/>
    <w:rsid w:val="0053411C"/>
    <w:rsid w:val="00534311"/>
    <w:rsid w:val="00534906"/>
    <w:rsid w:val="00535B12"/>
    <w:rsid w:val="00535B2E"/>
    <w:rsid w:val="00535C8A"/>
    <w:rsid w:val="00537F52"/>
    <w:rsid w:val="0054086C"/>
    <w:rsid w:val="00540B4C"/>
    <w:rsid w:val="00540BEE"/>
    <w:rsid w:val="00540CBF"/>
    <w:rsid w:val="00540F1A"/>
    <w:rsid w:val="0054117D"/>
    <w:rsid w:val="00543ADC"/>
    <w:rsid w:val="00545295"/>
    <w:rsid w:val="005454A2"/>
    <w:rsid w:val="005459DA"/>
    <w:rsid w:val="00546116"/>
    <w:rsid w:val="005464C5"/>
    <w:rsid w:val="00546628"/>
    <w:rsid w:val="005477DE"/>
    <w:rsid w:val="005508ED"/>
    <w:rsid w:val="00554994"/>
    <w:rsid w:val="00554A57"/>
    <w:rsid w:val="005550C5"/>
    <w:rsid w:val="00556287"/>
    <w:rsid w:val="005562FF"/>
    <w:rsid w:val="00557445"/>
    <w:rsid w:val="00560068"/>
    <w:rsid w:val="00560808"/>
    <w:rsid w:val="00560C8F"/>
    <w:rsid w:val="00561458"/>
    <w:rsid w:val="00561C56"/>
    <w:rsid w:val="00561DDC"/>
    <w:rsid w:val="00561EE6"/>
    <w:rsid w:val="00562873"/>
    <w:rsid w:val="00563401"/>
    <w:rsid w:val="005634C1"/>
    <w:rsid w:val="00564058"/>
    <w:rsid w:val="005655B8"/>
    <w:rsid w:val="0056718D"/>
    <w:rsid w:val="00567708"/>
    <w:rsid w:val="00567931"/>
    <w:rsid w:val="00567FFB"/>
    <w:rsid w:val="00570FEC"/>
    <w:rsid w:val="0057199D"/>
    <w:rsid w:val="00571EC9"/>
    <w:rsid w:val="00572DBA"/>
    <w:rsid w:val="00573047"/>
    <w:rsid w:val="005732C5"/>
    <w:rsid w:val="005734AE"/>
    <w:rsid w:val="005743B7"/>
    <w:rsid w:val="005744D6"/>
    <w:rsid w:val="00574A4A"/>
    <w:rsid w:val="005770E1"/>
    <w:rsid w:val="00577144"/>
    <w:rsid w:val="00580BAC"/>
    <w:rsid w:val="00580D85"/>
    <w:rsid w:val="00580F37"/>
    <w:rsid w:val="00582D54"/>
    <w:rsid w:val="005836CF"/>
    <w:rsid w:val="005838AD"/>
    <w:rsid w:val="00583D33"/>
    <w:rsid w:val="0058410B"/>
    <w:rsid w:val="00584777"/>
    <w:rsid w:val="00584DCF"/>
    <w:rsid w:val="00585380"/>
    <w:rsid w:val="0058566F"/>
    <w:rsid w:val="005863C7"/>
    <w:rsid w:val="00590633"/>
    <w:rsid w:val="005910FC"/>
    <w:rsid w:val="005924FC"/>
    <w:rsid w:val="005925AD"/>
    <w:rsid w:val="00592931"/>
    <w:rsid w:val="00592DA6"/>
    <w:rsid w:val="0059332A"/>
    <w:rsid w:val="0059385A"/>
    <w:rsid w:val="00594E73"/>
    <w:rsid w:val="0059542F"/>
    <w:rsid w:val="00595B41"/>
    <w:rsid w:val="0059726A"/>
    <w:rsid w:val="005A02C9"/>
    <w:rsid w:val="005A11A0"/>
    <w:rsid w:val="005A1498"/>
    <w:rsid w:val="005A1E2A"/>
    <w:rsid w:val="005A22FF"/>
    <w:rsid w:val="005A35CA"/>
    <w:rsid w:val="005A6959"/>
    <w:rsid w:val="005B0724"/>
    <w:rsid w:val="005B0EFC"/>
    <w:rsid w:val="005B1253"/>
    <w:rsid w:val="005B21A2"/>
    <w:rsid w:val="005B2574"/>
    <w:rsid w:val="005B2C37"/>
    <w:rsid w:val="005B329A"/>
    <w:rsid w:val="005B3D37"/>
    <w:rsid w:val="005B4420"/>
    <w:rsid w:val="005B4592"/>
    <w:rsid w:val="005B610C"/>
    <w:rsid w:val="005B62ED"/>
    <w:rsid w:val="005B6BC5"/>
    <w:rsid w:val="005B7213"/>
    <w:rsid w:val="005B735C"/>
    <w:rsid w:val="005C0DE7"/>
    <w:rsid w:val="005C149A"/>
    <w:rsid w:val="005C1C31"/>
    <w:rsid w:val="005C4586"/>
    <w:rsid w:val="005C47E9"/>
    <w:rsid w:val="005C5B48"/>
    <w:rsid w:val="005C5DAD"/>
    <w:rsid w:val="005C66C5"/>
    <w:rsid w:val="005C71D8"/>
    <w:rsid w:val="005C77B7"/>
    <w:rsid w:val="005D135A"/>
    <w:rsid w:val="005D19A2"/>
    <w:rsid w:val="005D22B0"/>
    <w:rsid w:val="005D2C9B"/>
    <w:rsid w:val="005D419A"/>
    <w:rsid w:val="005D4463"/>
    <w:rsid w:val="005D54B3"/>
    <w:rsid w:val="005E320E"/>
    <w:rsid w:val="005E3904"/>
    <w:rsid w:val="005E3DB9"/>
    <w:rsid w:val="005E4DE9"/>
    <w:rsid w:val="005E5A84"/>
    <w:rsid w:val="005F0177"/>
    <w:rsid w:val="005F04BF"/>
    <w:rsid w:val="005F1DF1"/>
    <w:rsid w:val="005F41B2"/>
    <w:rsid w:val="005F47E9"/>
    <w:rsid w:val="0060040B"/>
    <w:rsid w:val="006007E7"/>
    <w:rsid w:val="00600F8F"/>
    <w:rsid w:val="00600F9B"/>
    <w:rsid w:val="00602072"/>
    <w:rsid w:val="00602DD6"/>
    <w:rsid w:val="00603292"/>
    <w:rsid w:val="00603910"/>
    <w:rsid w:val="00603CBF"/>
    <w:rsid w:val="006048F7"/>
    <w:rsid w:val="00605861"/>
    <w:rsid w:val="0060597E"/>
    <w:rsid w:val="006071E6"/>
    <w:rsid w:val="00614CC9"/>
    <w:rsid w:val="00616621"/>
    <w:rsid w:val="00616A79"/>
    <w:rsid w:val="0062159A"/>
    <w:rsid w:val="00621F2F"/>
    <w:rsid w:val="00622994"/>
    <w:rsid w:val="006231ED"/>
    <w:rsid w:val="00625F1B"/>
    <w:rsid w:val="00626386"/>
    <w:rsid w:val="006263D1"/>
    <w:rsid w:val="00626440"/>
    <w:rsid w:val="00626733"/>
    <w:rsid w:val="00626D76"/>
    <w:rsid w:val="006274EA"/>
    <w:rsid w:val="00627E47"/>
    <w:rsid w:val="00630027"/>
    <w:rsid w:val="00630A6A"/>
    <w:rsid w:val="0063362B"/>
    <w:rsid w:val="00634760"/>
    <w:rsid w:val="006349D8"/>
    <w:rsid w:val="00634DC4"/>
    <w:rsid w:val="00635AA7"/>
    <w:rsid w:val="00635FAF"/>
    <w:rsid w:val="006365DB"/>
    <w:rsid w:val="00636E43"/>
    <w:rsid w:val="00636F23"/>
    <w:rsid w:val="006376F4"/>
    <w:rsid w:val="00637BFD"/>
    <w:rsid w:val="00637D20"/>
    <w:rsid w:val="00640871"/>
    <w:rsid w:val="00640D4D"/>
    <w:rsid w:val="00641AB1"/>
    <w:rsid w:val="0064240C"/>
    <w:rsid w:val="00643BC4"/>
    <w:rsid w:val="006446A9"/>
    <w:rsid w:val="00644A24"/>
    <w:rsid w:val="00645239"/>
    <w:rsid w:val="00645A49"/>
    <w:rsid w:val="00646BE4"/>
    <w:rsid w:val="00646FA8"/>
    <w:rsid w:val="00647F92"/>
    <w:rsid w:val="00651B03"/>
    <w:rsid w:val="00652085"/>
    <w:rsid w:val="006536F2"/>
    <w:rsid w:val="00653B2F"/>
    <w:rsid w:val="006547B9"/>
    <w:rsid w:val="0065489E"/>
    <w:rsid w:val="00654C8F"/>
    <w:rsid w:val="006556EB"/>
    <w:rsid w:val="0065634C"/>
    <w:rsid w:val="00657366"/>
    <w:rsid w:val="00657590"/>
    <w:rsid w:val="00657972"/>
    <w:rsid w:val="00657B57"/>
    <w:rsid w:val="00660FD9"/>
    <w:rsid w:val="006619A7"/>
    <w:rsid w:val="00662133"/>
    <w:rsid w:val="006627A0"/>
    <w:rsid w:val="00662C99"/>
    <w:rsid w:val="00662FD5"/>
    <w:rsid w:val="00663B40"/>
    <w:rsid w:val="00664200"/>
    <w:rsid w:val="00664244"/>
    <w:rsid w:val="00664279"/>
    <w:rsid w:val="00665E91"/>
    <w:rsid w:val="00666179"/>
    <w:rsid w:val="00666E3A"/>
    <w:rsid w:val="00667F50"/>
    <w:rsid w:val="00670446"/>
    <w:rsid w:val="00670675"/>
    <w:rsid w:val="00671112"/>
    <w:rsid w:val="006727F7"/>
    <w:rsid w:val="006730BE"/>
    <w:rsid w:val="00673BDC"/>
    <w:rsid w:val="006744A6"/>
    <w:rsid w:val="00675CB7"/>
    <w:rsid w:val="00676264"/>
    <w:rsid w:val="00676641"/>
    <w:rsid w:val="00677285"/>
    <w:rsid w:val="00680861"/>
    <w:rsid w:val="00681E11"/>
    <w:rsid w:val="00682404"/>
    <w:rsid w:val="00683121"/>
    <w:rsid w:val="006848B3"/>
    <w:rsid w:val="006857DC"/>
    <w:rsid w:val="00686CDE"/>
    <w:rsid w:val="00687027"/>
    <w:rsid w:val="00687D7F"/>
    <w:rsid w:val="00687F12"/>
    <w:rsid w:val="00687F1C"/>
    <w:rsid w:val="006906FD"/>
    <w:rsid w:val="00690F1A"/>
    <w:rsid w:val="0069145F"/>
    <w:rsid w:val="006919EA"/>
    <w:rsid w:val="00692517"/>
    <w:rsid w:val="00692C51"/>
    <w:rsid w:val="00693060"/>
    <w:rsid w:val="00694D12"/>
    <w:rsid w:val="00694F52"/>
    <w:rsid w:val="006953E8"/>
    <w:rsid w:val="00695EEC"/>
    <w:rsid w:val="00696B1C"/>
    <w:rsid w:val="00696D1D"/>
    <w:rsid w:val="0069722E"/>
    <w:rsid w:val="006972AA"/>
    <w:rsid w:val="00697DD3"/>
    <w:rsid w:val="006A1521"/>
    <w:rsid w:val="006A16AC"/>
    <w:rsid w:val="006A1D85"/>
    <w:rsid w:val="006A1E04"/>
    <w:rsid w:val="006A2021"/>
    <w:rsid w:val="006A27D4"/>
    <w:rsid w:val="006A2D43"/>
    <w:rsid w:val="006A3439"/>
    <w:rsid w:val="006A36B5"/>
    <w:rsid w:val="006A5E21"/>
    <w:rsid w:val="006A71F0"/>
    <w:rsid w:val="006A7EAF"/>
    <w:rsid w:val="006B3855"/>
    <w:rsid w:val="006B3BBD"/>
    <w:rsid w:val="006B4261"/>
    <w:rsid w:val="006B6DAA"/>
    <w:rsid w:val="006B7DD8"/>
    <w:rsid w:val="006C029E"/>
    <w:rsid w:val="006C0AF5"/>
    <w:rsid w:val="006C0B21"/>
    <w:rsid w:val="006C1425"/>
    <w:rsid w:val="006C35B4"/>
    <w:rsid w:val="006C3C0C"/>
    <w:rsid w:val="006C5AB8"/>
    <w:rsid w:val="006C70B7"/>
    <w:rsid w:val="006D0067"/>
    <w:rsid w:val="006D1D61"/>
    <w:rsid w:val="006D3845"/>
    <w:rsid w:val="006D38D4"/>
    <w:rsid w:val="006D4C84"/>
    <w:rsid w:val="006D54E7"/>
    <w:rsid w:val="006D606F"/>
    <w:rsid w:val="006D6BA3"/>
    <w:rsid w:val="006D7DBF"/>
    <w:rsid w:val="006E0C10"/>
    <w:rsid w:val="006E0E9C"/>
    <w:rsid w:val="006E264C"/>
    <w:rsid w:val="006E2A59"/>
    <w:rsid w:val="006E2DDD"/>
    <w:rsid w:val="006E2E2A"/>
    <w:rsid w:val="006E3692"/>
    <w:rsid w:val="006E4A96"/>
    <w:rsid w:val="006E65F0"/>
    <w:rsid w:val="006E67E4"/>
    <w:rsid w:val="006E717A"/>
    <w:rsid w:val="006F06E8"/>
    <w:rsid w:val="006F0C87"/>
    <w:rsid w:val="006F1414"/>
    <w:rsid w:val="006F16C3"/>
    <w:rsid w:val="006F1BDC"/>
    <w:rsid w:val="006F2C8F"/>
    <w:rsid w:val="006F3CF1"/>
    <w:rsid w:val="006F4A94"/>
    <w:rsid w:val="006F5E89"/>
    <w:rsid w:val="006F6E19"/>
    <w:rsid w:val="0070085C"/>
    <w:rsid w:val="00700DBB"/>
    <w:rsid w:val="00703A1E"/>
    <w:rsid w:val="00704543"/>
    <w:rsid w:val="00704C13"/>
    <w:rsid w:val="00707E4D"/>
    <w:rsid w:val="00711279"/>
    <w:rsid w:val="00711D5F"/>
    <w:rsid w:val="007121E8"/>
    <w:rsid w:val="00712525"/>
    <w:rsid w:val="007129B4"/>
    <w:rsid w:val="00712B7A"/>
    <w:rsid w:val="0071355B"/>
    <w:rsid w:val="00713E16"/>
    <w:rsid w:val="007151EC"/>
    <w:rsid w:val="00716191"/>
    <w:rsid w:val="00717B82"/>
    <w:rsid w:val="007200C0"/>
    <w:rsid w:val="007202CF"/>
    <w:rsid w:val="00720681"/>
    <w:rsid w:val="007236FB"/>
    <w:rsid w:val="00723F96"/>
    <w:rsid w:val="0072488E"/>
    <w:rsid w:val="00724EC9"/>
    <w:rsid w:val="0072513F"/>
    <w:rsid w:val="00725EA0"/>
    <w:rsid w:val="007302C3"/>
    <w:rsid w:val="00730E80"/>
    <w:rsid w:val="00733031"/>
    <w:rsid w:val="00733925"/>
    <w:rsid w:val="007347DE"/>
    <w:rsid w:val="0073627A"/>
    <w:rsid w:val="00736CBC"/>
    <w:rsid w:val="00736CFB"/>
    <w:rsid w:val="0073761A"/>
    <w:rsid w:val="00740682"/>
    <w:rsid w:val="00741176"/>
    <w:rsid w:val="007411B3"/>
    <w:rsid w:val="00741229"/>
    <w:rsid w:val="00741568"/>
    <w:rsid w:val="007416DC"/>
    <w:rsid w:val="007420D2"/>
    <w:rsid w:val="00742ED1"/>
    <w:rsid w:val="00744BD6"/>
    <w:rsid w:val="00747E78"/>
    <w:rsid w:val="00750214"/>
    <w:rsid w:val="00751550"/>
    <w:rsid w:val="00752C12"/>
    <w:rsid w:val="00753379"/>
    <w:rsid w:val="0075354A"/>
    <w:rsid w:val="0075360B"/>
    <w:rsid w:val="00755084"/>
    <w:rsid w:val="00755522"/>
    <w:rsid w:val="00755E1D"/>
    <w:rsid w:val="00760992"/>
    <w:rsid w:val="00760B46"/>
    <w:rsid w:val="00761DBD"/>
    <w:rsid w:val="00763344"/>
    <w:rsid w:val="00763FA2"/>
    <w:rsid w:val="00764110"/>
    <w:rsid w:val="007642B8"/>
    <w:rsid w:val="00765AAB"/>
    <w:rsid w:val="007700EB"/>
    <w:rsid w:val="00770AAA"/>
    <w:rsid w:val="00771DD5"/>
    <w:rsid w:val="00771F4D"/>
    <w:rsid w:val="007724A0"/>
    <w:rsid w:val="007725AB"/>
    <w:rsid w:val="0077461A"/>
    <w:rsid w:val="00775599"/>
    <w:rsid w:val="00775B41"/>
    <w:rsid w:val="007761F0"/>
    <w:rsid w:val="00777479"/>
    <w:rsid w:val="00777482"/>
    <w:rsid w:val="00777577"/>
    <w:rsid w:val="00783CE5"/>
    <w:rsid w:val="00786026"/>
    <w:rsid w:val="00787220"/>
    <w:rsid w:val="00792FC8"/>
    <w:rsid w:val="0079301C"/>
    <w:rsid w:val="0079303A"/>
    <w:rsid w:val="007937F8"/>
    <w:rsid w:val="007942D9"/>
    <w:rsid w:val="00794932"/>
    <w:rsid w:val="00794A1B"/>
    <w:rsid w:val="00796659"/>
    <w:rsid w:val="00797670"/>
    <w:rsid w:val="007A029D"/>
    <w:rsid w:val="007A1117"/>
    <w:rsid w:val="007A132B"/>
    <w:rsid w:val="007A274E"/>
    <w:rsid w:val="007A28F9"/>
    <w:rsid w:val="007A619B"/>
    <w:rsid w:val="007A67FB"/>
    <w:rsid w:val="007A6917"/>
    <w:rsid w:val="007B0B69"/>
    <w:rsid w:val="007B0FBA"/>
    <w:rsid w:val="007B10CC"/>
    <w:rsid w:val="007B1D9A"/>
    <w:rsid w:val="007B1E73"/>
    <w:rsid w:val="007B2932"/>
    <w:rsid w:val="007B3F3F"/>
    <w:rsid w:val="007B638F"/>
    <w:rsid w:val="007B65AC"/>
    <w:rsid w:val="007B6AC5"/>
    <w:rsid w:val="007B734F"/>
    <w:rsid w:val="007C0130"/>
    <w:rsid w:val="007C557B"/>
    <w:rsid w:val="007C7ACB"/>
    <w:rsid w:val="007D06C0"/>
    <w:rsid w:val="007D1431"/>
    <w:rsid w:val="007D322F"/>
    <w:rsid w:val="007D37C1"/>
    <w:rsid w:val="007D38D6"/>
    <w:rsid w:val="007D4653"/>
    <w:rsid w:val="007D51DA"/>
    <w:rsid w:val="007E10BD"/>
    <w:rsid w:val="007E206E"/>
    <w:rsid w:val="007E4CB6"/>
    <w:rsid w:val="007E4EC4"/>
    <w:rsid w:val="007E51C6"/>
    <w:rsid w:val="007E57C3"/>
    <w:rsid w:val="007E7064"/>
    <w:rsid w:val="007E754B"/>
    <w:rsid w:val="007E7754"/>
    <w:rsid w:val="007E788F"/>
    <w:rsid w:val="007E7CAD"/>
    <w:rsid w:val="007F0042"/>
    <w:rsid w:val="007F06A1"/>
    <w:rsid w:val="007F11F1"/>
    <w:rsid w:val="007F189C"/>
    <w:rsid w:val="007F1D39"/>
    <w:rsid w:val="007F3850"/>
    <w:rsid w:val="00800B39"/>
    <w:rsid w:val="008027A0"/>
    <w:rsid w:val="00803096"/>
    <w:rsid w:val="008042F5"/>
    <w:rsid w:val="00804648"/>
    <w:rsid w:val="008049DC"/>
    <w:rsid w:val="00805EAB"/>
    <w:rsid w:val="008064F3"/>
    <w:rsid w:val="00806532"/>
    <w:rsid w:val="0080728B"/>
    <w:rsid w:val="00807618"/>
    <w:rsid w:val="00811443"/>
    <w:rsid w:val="008115AE"/>
    <w:rsid w:val="008124EE"/>
    <w:rsid w:val="00812EA3"/>
    <w:rsid w:val="008136C3"/>
    <w:rsid w:val="00816C03"/>
    <w:rsid w:val="00820A51"/>
    <w:rsid w:val="00821B88"/>
    <w:rsid w:val="008225CE"/>
    <w:rsid w:val="008229B1"/>
    <w:rsid w:val="00823514"/>
    <w:rsid w:val="00826A8A"/>
    <w:rsid w:val="0082795B"/>
    <w:rsid w:val="00830347"/>
    <w:rsid w:val="00830623"/>
    <w:rsid w:val="00830674"/>
    <w:rsid w:val="00831812"/>
    <w:rsid w:val="00831827"/>
    <w:rsid w:val="00832D2D"/>
    <w:rsid w:val="00833F06"/>
    <w:rsid w:val="00834142"/>
    <w:rsid w:val="00836212"/>
    <w:rsid w:val="00836E56"/>
    <w:rsid w:val="00840902"/>
    <w:rsid w:val="00840A9A"/>
    <w:rsid w:val="00840C3A"/>
    <w:rsid w:val="00841888"/>
    <w:rsid w:val="008421E3"/>
    <w:rsid w:val="0084252D"/>
    <w:rsid w:val="008426C3"/>
    <w:rsid w:val="008442DD"/>
    <w:rsid w:val="00844ADA"/>
    <w:rsid w:val="00844D3F"/>
    <w:rsid w:val="008462E4"/>
    <w:rsid w:val="00846C52"/>
    <w:rsid w:val="008514D0"/>
    <w:rsid w:val="0085151E"/>
    <w:rsid w:val="00851E28"/>
    <w:rsid w:val="00853339"/>
    <w:rsid w:val="0085408D"/>
    <w:rsid w:val="00854AA6"/>
    <w:rsid w:val="00854FE1"/>
    <w:rsid w:val="0085644F"/>
    <w:rsid w:val="00856D93"/>
    <w:rsid w:val="00856F53"/>
    <w:rsid w:val="008577A5"/>
    <w:rsid w:val="00857E46"/>
    <w:rsid w:val="00860AA5"/>
    <w:rsid w:val="00860C54"/>
    <w:rsid w:val="00861D1A"/>
    <w:rsid w:val="0086487B"/>
    <w:rsid w:val="00864B07"/>
    <w:rsid w:val="008669ED"/>
    <w:rsid w:val="008704EC"/>
    <w:rsid w:val="00870892"/>
    <w:rsid w:val="0087092B"/>
    <w:rsid w:val="00870A46"/>
    <w:rsid w:val="00870DFE"/>
    <w:rsid w:val="008710EA"/>
    <w:rsid w:val="00871346"/>
    <w:rsid w:val="0087144A"/>
    <w:rsid w:val="0087167A"/>
    <w:rsid w:val="0087168C"/>
    <w:rsid w:val="008719DD"/>
    <w:rsid w:val="00871E1C"/>
    <w:rsid w:val="00871F47"/>
    <w:rsid w:val="00873AFA"/>
    <w:rsid w:val="00874B59"/>
    <w:rsid w:val="00875389"/>
    <w:rsid w:val="00875522"/>
    <w:rsid w:val="00875A8E"/>
    <w:rsid w:val="00876894"/>
    <w:rsid w:val="00876D48"/>
    <w:rsid w:val="00877043"/>
    <w:rsid w:val="00877755"/>
    <w:rsid w:val="00882A1D"/>
    <w:rsid w:val="0088546C"/>
    <w:rsid w:val="008865FB"/>
    <w:rsid w:val="0088668B"/>
    <w:rsid w:val="00887484"/>
    <w:rsid w:val="008913EC"/>
    <w:rsid w:val="00891A33"/>
    <w:rsid w:val="00891A74"/>
    <w:rsid w:val="0089268B"/>
    <w:rsid w:val="008931F8"/>
    <w:rsid w:val="00895436"/>
    <w:rsid w:val="00895C74"/>
    <w:rsid w:val="00896904"/>
    <w:rsid w:val="008969FD"/>
    <w:rsid w:val="00896E1B"/>
    <w:rsid w:val="008A107D"/>
    <w:rsid w:val="008A1734"/>
    <w:rsid w:val="008A2283"/>
    <w:rsid w:val="008A22F1"/>
    <w:rsid w:val="008A271C"/>
    <w:rsid w:val="008A3883"/>
    <w:rsid w:val="008A4144"/>
    <w:rsid w:val="008A47DE"/>
    <w:rsid w:val="008A4DA3"/>
    <w:rsid w:val="008A51ED"/>
    <w:rsid w:val="008A5AE3"/>
    <w:rsid w:val="008A6CEB"/>
    <w:rsid w:val="008A6DFE"/>
    <w:rsid w:val="008A799D"/>
    <w:rsid w:val="008B18DC"/>
    <w:rsid w:val="008B20CD"/>
    <w:rsid w:val="008B3114"/>
    <w:rsid w:val="008B31CA"/>
    <w:rsid w:val="008B3EFF"/>
    <w:rsid w:val="008B41FF"/>
    <w:rsid w:val="008B49B2"/>
    <w:rsid w:val="008B5A4D"/>
    <w:rsid w:val="008B7852"/>
    <w:rsid w:val="008B7AE0"/>
    <w:rsid w:val="008C0421"/>
    <w:rsid w:val="008C04C2"/>
    <w:rsid w:val="008C091D"/>
    <w:rsid w:val="008C0C4D"/>
    <w:rsid w:val="008C2584"/>
    <w:rsid w:val="008C31C7"/>
    <w:rsid w:val="008C32CC"/>
    <w:rsid w:val="008C41A3"/>
    <w:rsid w:val="008C4727"/>
    <w:rsid w:val="008C64B7"/>
    <w:rsid w:val="008C6BDA"/>
    <w:rsid w:val="008C6D51"/>
    <w:rsid w:val="008C7C71"/>
    <w:rsid w:val="008D1F51"/>
    <w:rsid w:val="008D23AB"/>
    <w:rsid w:val="008D37BA"/>
    <w:rsid w:val="008D49F9"/>
    <w:rsid w:val="008D4BD3"/>
    <w:rsid w:val="008D58BF"/>
    <w:rsid w:val="008D70B7"/>
    <w:rsid w:val="008E046E"/>
    <w:rsid w:val="008E0D0A"/>
    <w:rsid w:val="008E1015"/>
    <w:rsid w:val="008E1994"/>
    <w:rsid w:val="008E1DC2"/>
    <w:rsid w:val="008E1DF0"/>
    <w:rsid w:val="008E40E6"/>
    <w:rsid w:val="008E4491"/>
    <w:rsid w:val="008E4C86"/>
    <w:rsid w:val="008E5552"/>
    <w:rsid w:val="008F07C3"/>
    <w:rsid w:val="008F1377"/>
    <w:rsid w:val="008F3900"/>
    <w:rsid w:val="008F3D87"/>
    <w:rsid w:val="008F518B"/>
    <w:rsid w:val="00901E9B"/>
    <w:rsid w:val="009029D2"/>
    <w:rsid w:val="00902C9D"/>
    <w:rsid w:val="00902CBB"/>
    <w:rsid w:val="00902E37"/>
    <w:rsid w:val="00903027"/>
    <w:rsid w:val="009034BB"/>
    <w:rsid w:val="00903E7B"/>
    <w:rsid w:val="009046A7"/>
    <w:rsid w:val="009048B4"/>
    <w:rsid w:val="009064EC"/>
    <w:rsid w:val="00906E5E"/>
    <w:rsid w:val="00907786"/>
    <w:rsid w:val="009078D7"/>
    <w:rsid w:val="009103A6"/>
    <w:rsid w:val="00910539"/>
    <w:rsid w:val="009127C1"/>
    <w:rsid w:val="00913784"/>
    <w:rsid w:val="0091381C"/>
    <w:rsid w:val="00913855"/>
    <w:rsid w:val="009155F1"/>
    <w:rsid w:val="00916138"/>
    <w:rsid w:val="009169D8"/>
    <w:rsid w:val="00916F8A"/>
    <w:rsid w:val="00917672"/>
    <w:rsid w:val="00921CAB"/>
    <w:rsid w:val="00922B59"/>
    <w:rsid w:val="009233B2"/>
    <w:rsid w:val="00924A87"/>
    <w:rsid w:val="00924BB1"/>
    <w:rsid w:val="00924D18"/>
    <w:rsid w:val="00925FA4"/>
    <w:rsid w:val="00927076"/>
    <w:rsid w:val="0093071E"/>
    <w:rsid w:val="00931085"/>
    <w:rsid w:val="0093251E"/>
    <w:rsid w:val="00932D3C"/>
    <w:rsid w:val="00932D76"/>
    <w:rsid w:val="00933611"/>
    <w:rsid w:val="009349A9"/>
    <w:rsid w:val="00935F5A"/>
    <w:rsid w:val="00936968"/>
    <w:rsid w:val="0094043D"/>
    <w:rsid w:val="00940C4C"/>
    <w:rsid w:val="00941685"/>
    <w:rsid w:val="00941D8D"/>
    <w:rsid w:val="009430FB"/>
    <w:rsid w:val="0094335E"/>
    <w:rsid w:val="00946281"/>
    <w:rsid w:val="00946B98"/>
    <w:rsid w:val="00950F26"/>
    <w:rsid w:val="00951B8B"/>
    <w:rsid w:val="009526F1"/>
    <w:rsid w:val="00952718"/>
    <w:rsid w:val="009542D5"/>
    <w:rsid w:val="009545C4"/>
    <w:rsid w:val="00954601"/>
    <w:rsid w:val="009570CA"/>
    <w:rsid w:val="009578D3"/>
    <w:rsid w:val="00957C31"/>
    <w:rsid w:val="00957DF6"/>
    <w:rsid w:val="0096021D"/>
    <w:rsid w:val="00960D31"/>
    <w:rsid w:val="00960D6E"/>
    <w:rsid w:val="00961E62"/>
    <w:rsid w:val="00962B63"/>
    <w:rsid w:val="00963540"/>
    <w:rsid w:val="009636F9"/>
    <w:rsid w:val="00963E27"/>
    <w:rsid w:val="0096576B"/>
    <w:rsid w:val="009678A5"/>
    <w:rsid w:val="0097015F"/>
    <w:rsid w:val="0097034B"/>
    <w:rsid w:val="00970476"/>
    <w:rsid w:val="00970478"/>
    <w:rsid w:val="00970D38"/>
    <w:rsid w:val="009725F6"/>
    <w:rsid w:val="0097275E"/>
    <w:rsid w:val="00972AB0"/>
    <w:rsid w:val="00973042"/>
    <w:rsid w:val="009739BA"/>
    <w:rsid w:val="0097498B"/>
    <w:rsid w:val="009759F8"/>
    <w:rsid w:val="00975E0E"/>
    <w:rsid w:val="00976B48"/>
    <w:rsid w:val="00977027"/>
    <w:rsid w:val="00983BA9"/>
    <w:rsid w:val="0098452E"/>
    <w:rsid w:val="00985035"/>
    <w:rsid w:val="00985480"/>
    <w:rsid w:val="0098568D"/>
    <w:rsid w:val="00985FD6"/>
    <w:rsid w:val="00987248"/>
    <w:rsid w:val="009877BD"/>
    <w:rsid w:val="00992553"/>
    <w:rsid w:val="00993D11"/>
    <w:rsid w:val="00993EA9"/>
    <w:rsid w:val="009942B7"/>
    <w:rsid w:val="009942BE"/>
    <w:rsid w:val="009943EB"/>
    <w:rsid w:val="0099475C"/>
    <w:rsid w:val="009947C1"/>
    <w:rsid w:val="0099576B"/>
    <w:rsid w:val="00996C24"/>
    <w:rsid w:val="00997752"/>
    <w:rsid w:val="009A0326"/>
    <w:rsid w:val="009A0C1C"/>
    <w:rsid w:val="009A1B4B"/>
    <w:rsid w:val="009A3021"/>
    <w:rsid w:val="009A33AE"/>
    <w:rsid w:val="009A347F"/>
    <w:rsid w:val="009A4612"/>
    <w:rsid w:val="009A4B02"/>
    <w:rsid w:val="009A5955"/>
    <w:rsid w:val="009A5B7C"/>
    <w:rsid w:val="009A5F60"/>
    <w:rsid w:val="009A7C87"/>
    <w:rsid w:val="009B2891"/>
    <w:rsid w:val="009B36C7"/>
    <w:rsid w:val="009B44D6"/>
    <w:rsid w:val="009B4CFF"/>
    <w:rsid w:val="009B4E4F"/>
    <w:rsid w:val="009B51AB"/>
    <w:rsid w:val="009B5938"/>
    <w:rsid w:val="009C04F3"/>
    <w:rsid w:val="009C12A9"/>
    <w:rsid w:val="009C1EC9"/>
    <w:rsid w:val="009C2D4F"/>
    <w:rsid w:val="009C2EA7"/>
    <w:rsid w:val="009C4640"/>
    <w:rsid w:val="009C721F"/>
    <w:rsid w:val="009C7418"/>
    <w:rsid w:val="009D007A"/>
    <w:rsid w:val="009D19F8"/>
    <w:rsid w:val="009D3B99"/>
    <w:rsid w:val="009D4B12"/>
    <w:rsid w:val="009D5141"/>
    <w:rsid w:val="009D5486"/>
    <w:rsid w:val="009D6236"/>
    <w:rsid w:val="009D63B9"/>
    <w:rsid w:val="009D65E5"/>
    <w:rsid w:val="009D74F2"/>
    <w:rsid w:val="009E1918"/>
    <w:rsid w:val="009E21E2"/>
    <w:rsid w:val="009E2BB6"/>
    <w:rsid w:val="009E3373"/>
    <w:rsid w:val="009E411E"/>
    <w:rsid w:val="009E564A"/>
    <w:rsid w:val="009E5757"/>
    <w:rsid w:val="009E6671"/>
    <w:rsid w:val="009E66A8"/>
    <w:rsid w:val="009E7605"/>
    <w:rsid w:val="009F0B4D"/>
    <w:rsid w:val="009F0E8C"/>
    <w:rsid w:val="009F133E"/>
    <w:rsid w:val="009F2863"/>
    <w:rsid w:val="009F3CCC"/>
    <w:rsid w:val="009F3E02"/>
    <w:rsid w:val="009F4D1A"/>
    <w:rsid w:val="009F51CB"/>
    <w:rsid w:val="009F5B0E"/>
    <w:rsid w:val="009F6638"/>
    <w:rsid w:val="009F68CF"/>
    <w:rsid w:val="00A000E6"/>
    <w:rsid w:val="00A00B04"/>
    <w:rsid w:val="00A0161F"/>
    <w:rsid w:val="00A01EF7"/>
    <w:rsid w:val="00A01F54"/>
    <w:rsid w:val="00A02B13"/>
    <w:rsid w:val="00A0375D"/>
    <w:rsid w:val="00A0412B"/>
    <w:rsid w:val="00A05CBA"/>
    <w:rsid w:val="00A05D4E"/>
    <w:rsid w:val="00A07AF3"/>
    <w:rsid w:val="00A07F61"/>
    <w:rsid w:val="00A1018D"/>
    <w:rsid w:val="00A10B21"/>
    <w:rsid w:val="00A10E28"/>
    <w:rsid w:val="00A114B1"/>
    <w:rsid w:val="00A11DC0"/>
    <w:rsid w:val="00A130B3"/>
    <w:rsid w:val="00A13EF9"/>
    <w:rsid w:val="00A14DD9"/>
    <w:rsid w:val="00A14E0E"/>
    <w:rsid w:val="00A16538"/>
    <w:rsid w:val="00A17CE6"/>
    <w:rsid w:val="00A17DF5"/>
    <w:rsid w:val="00A17E5B"/>
    <w:rsid w:val="00A207DC"/>
    <w:rsid w:val="00A211AB"/>
    <w:rsid w:val="00A22502"/>
    <w:rsid w:val="00A22F00"/>
    <w:rsid w:val="00A24C03"/>
    <w:rsid w:val="00A24C7F"/>
    <w:rsid w:val="00A253BC"/>
    <w:rsid w:val="00A30F62"/>
    <w:rsid w:val="00A312B0"/>
    <w:rsid w:val="00A31C17"/>
    <w:rsid w:val="00A31CEC"/>
    <w:rsid w:val="00A343D0"/>
    <w:rsid w:val="00A355FF"/>
    <w:rsid w:val="00A36020"/>
    <w:rsid w:val="00A36346"/>
    <w:rsid w:val="00A368DB"/>
    <w:rsid w:val="00A37A93"/>
    <w:rsid w:val="00A40BC5"/>
    <w:rsid w:val="00A41A9D"/>
    <w:rsid w:val="00A4407B"/>
    <w:rsid w:val="00A44539"/>
    <w:rsid w:val="00A44543"/>
    <w:rsid w:val="00A462BF"/>
    <w:rsid w:val="00A5232B"/>
    <w:rsid w:val="00A527CD"/>
    <w:rsid w:val="00A53618"/>
    <w:rsid w:val="00A546DA"/>
    <w:rsid w:val="00A546DD"/>
    <w:rsid w:val="00A555BE"/>
    <w:rsid w:val="00A5570E"/>
    <w:rsid w:val="00A56331"/>
    <w:rsid w:val="00A564BD"/>
    <w:rsid w:val="00A57F38"/>
    <w:rsid w:val="00A61791"/>
    <w:rsid w:val="00A62DE7"/>
    <w:rsid w:val="00A6410B"/>
    <w:rsid w:val="00A65034"/>
    <w:rsid w:val="00A658BE"/>
    <w:rsid w:val="00A714B2"/>
    <w:rsid w:val="00A72BDF"/>
    <w:rsid w:val="00A72F20"/>
    <w:rsid w:val="00A730B0"/>
    <w:rsid w:val="00A73B4A"/>
    <w:rsid w:val="00A74A00"/>
    <w:rsid w:val="00A766F3"/>
    <w:rsid w:val="00A774B8"/>
    <w:rsid w:val="00A8085A"/>
    <w:rsid w:val="00A80C8A"/>
    <w:rsid w:val="00A80CAD"/>
    <w:rsid w:val="00A80E3E"/>
    <w:rsid w:val="00A81FE6"/>
    <w:rsid w:val="00A82EC7"/>
    <w:rsid w:val="00A83112"/>
    <w:rsid w:val="00A8318F"/>
    <w:rsid w:val="00A8354C"/>
    <w:rsid w:val="00A8428F"/>
    <w:rsid w:val="00A846AF"/>
    <w:rsid w:val="00A84B62"/>
    <w:rsid w:val="00A851A5"/>
    <w:rsid w:val="00A8647F"/>
    <w:rsid w:val="00A865FF"/>
    <w:rsid w:val="00A86A34"/>
    <w:rsid w:val="00A86E86"/>
    <w:rsid w:val="00A872CC"/>
    <w:rsid w:val="00A87CE4"/>
    <w:rsid w:val="00A901E7"/>
    <w:rsid w:val="00A920BE"/>
    <w:rsid w:val="00A92EE9"/>
    <w:rsid w:val="00A93414"/>
    <w:rsid w:val="00A93501"/>
    <w:rsid w:val="00A94804"/>
    <w:rsid w:val="00A9526C"/>
    <w:rsid w:val="00A95F83"/>
    <w:rsid w:val="00A96C31"/>
    <w:rsid w:val="00AA3182"/>
    <w:rsid w:val="00AA33C9"/>
    <w:rsid w:val="00AA402A"/>
    <w:rsid w:val="00AA4385"/>
    <w:rsid w:val="00AA5E84"/>
    <w:rsid w:val="00AA6F03"/>
    <w:rsid w:val="00AA77E0"/>
    <w:rsid w:val="00AA7832"/>
    <w:rsid w:val="00AB0DC7"/>
    <w:rsid w:val="00AB10CB"/>
    <w:rsid w:val="00AB293D"/>
    <w:rsid w:val="00AB5EDC"/>
    <w:rsid w:val="00AB64B5"/>
    <w:rsid w:val="00AB6B8B"/>
    <w:rsid w:val="00AB6CB8"/>
    <w:rsid w:val="00AB760A"/>
    <w:rsid w:val="00AC1121"/>
    <w:rsid w:val="00AC1F4E"/>
    <w:rsid w:val="00AC25E5"/>
    <w:rsid w:val="00AC295F"/>
    <w:rsid w:val="00AC5455"/>
    <w:rsid w:val="00AC5E54"/>
    <w:rsid w:val="00AD0758"/>
    <w:rsid w:val="00AD0AF5"/>
    <w:rsid w:val="00AD134E"/>
    <w:rsid w:val="00AD2393"/>
    <w:rsid w:val="00AD2423"/>
    <w:rsid w:val="00AD2D10"/>
    <w:rsid w:val="00AD2F2F"/>
    <w:rsid w:val="00AD2FAA"/>
    <w:rsid w:val="00AD31DD"/>
    <w:rsid w:val="00AD5662"/>
    <w:rsid w:val="00AD5735"/>
    <w:rsid w:val="00AD62F2"/>
    <w:rsid w:val="00AD7A7E"/>
    <w:rsid w:val="00AE0402"/>
    <w:rsid w:val="00AE11BA"/>
    <w:rsid w:val="00AE1A54"/>
    <w:rsid w:val="00AE2935"/>
    <w:rsid w:val="00AE2AA0"/>
    <w:rsid w:val="00AE2BC2"/>
    <w:rsid w:val="00AE3121"/>
    <w:rsid w:val="00AE3E73"/>
    <w:rsid w:val="00AE59C6"/>
    <w:rsid w:val="00AE59FB"/>
    <w:rsid w:val="00AE6720"/>
    <w:rsid w:val="00AE6E3C"/>
    <w:rsid w:val="00AE7751"/>
    <w:rsid w:val="00AF07BF"/>
    <w:rsid w:val="00AF0E8D"/>
    <w:rsid w:val="00AF2767"/>
    <w:rsid w:val="00AF28CD"/>
    <w:rsid w:val="00AF2CCB"/>
    <w:rsid w:val="00AF3DD3"/>
    <w:rsid w:val="00AF3F6D"/>
    <w:rsid w:val="00AF73E0"/>
    <w:rsid w:val="00AF7438"/>
    <w:rsid w:val="00B00953"/>
    <w:rsid w:val="00B015D4"/>
    <w:rsid w:val="00B01AE2"/>
    <w:rsid w:val="00B01B04"/>
    <w:rsid w:val="00B029DE"/>
    <w:rsid w:val="00B02CCC"/>
    <w:rsid w:val="00B0337F"/>
    <w:rsid w:val="00B0435B"/>
    <w:rsid w:val="00B04686"/>
    <w:rsid w:val="00B05260"/>
    <w:rsid w:val="00B055DA"/>
    <w:rsid w:val="00B06607"/>
    <w:rsid w:val="00B10288"/>
    <w:rsid w:val="00B102EF"/>
    <w:rsid w:val="00B10912"/>
    <w:rsid w:val="00B12AC3"/>
    <w:rsid w:val="00B12C9C"/>
    <w:rsid w:val="00B1488A"/>
    <w:rsid w:val="00B14E7D"/>
    <w:rsid w:val="00B152BE"/>
    <w:rsid w:val="00B16371"/>
    <w:rsid w:val="00B16DEB"/>
    <w:rsid w:val="00B16E35"/>
    <w:rsid w:val="00B20F6F"/>
    <w:rsid w:val="00B21651"/>
    <w:rsid w:val="00B221C0"/>
    <w:rsid w:val="00B2305D"/>
    <w:rsid w:val="00B2372C"/>
    <w:rsid w:val="00B23D86"/>
    <w:rsid w:val="00B24711"/>
    <w:rsid w:val="00B24A02"/>
    <w:rsid w:val="00B257BC"/>
    <w:rsid w:val="00B27424"/>
    <w:rsid w:val="00B27E05"/>
    <w:rsid w:val="00B30B31"/>
    <w:rsid w:val="00B313A9"/>
    <w:rsid w:val="00B32DCA"/>
    <w:rsid w:val="00B3303D"/>
    <w:rsid w:val="00B33878"/>
    <w:rsid w:val="00B34C60"/>
    <w:rsid w:val="00B3519E"/>
    <w:rsid w:val="00B355BA"/>
    <w:rsid w:val="00B40F4A"/>
    <w:rsid w:val="00B426AA"/>
    <w:rsid w:val="00B43F07"/>
    <w:rsid w:val="00B45621"/>
    <w:rsid w:val="00B458FB"/>
    <w:rsid w:val="00B46221"/>
    <w:rsid w:val="00B463BA"/>
    <w:rsid w:val="00B46962"/>
    <w:rsid w:val="00B5000E"/>
    <w:rsid w:val="00B520DB"/>
    <w:rsid w:val="00B5258D"/>
    <w:rsid w:val="00B526AD"/>
    <w:rsid w:val="00B52D12"/>
    <w:rsid w:val="00B539EE"/>
    <w:rsid w:val="00B544A1"/>
    <w:rsid w:val="00B55646"/>
    <w:rsid w:val="00B55B75"/>
    <w:rsid w:val="00B560D7"/>
    <w:rsid w:val="00B56586"/>
    <w:rsid w:val="00B565C5"/>
    <w:rsid w:val="00B57055"/>
    <w:rsid w:val="00B57A51"/>
    <w:rsid w:val="00B600EF"/>
    <w:rsid w:val="00B6446C"/>
    <w:rsid w:val="00B644AD"/>
    <w:rsid w:val="00B65CAA"/>
    <w:rsid w:val="00B661FB"/>
    <w:rsid w:val="00B666CC"/>
    <w:rsid w:val="00B6718C"/>
    <w:rsid w:val="00B67D9F"/>
    <w:rsid w:val="00B708D4"/>
    <w:rsid w:val="00B70BBE"/>
    <w:rsid w:val="00B70CB1"/>
    <w:rsid w:val="00B713EE"/>
    <w:rsid w:val="00B72E10"/>
    <w:rsid w:val="00B72EDC"/>
    <w:rsid w:val="00B74F63"/>
    <w:rsid w:val="00B75C95"/>
    <w:rsid w:val="00B76132"/>
    <w:rsid w:val="00B778AC"/>
    <w:rsid w:val="00B80A41"/>
    <w:rsid w:val="00B80F96"/>
    <w:rsid w:val="00B8215E"/>
    <w:rsid w:val="00B843F2"/>
    <w:rsid w:val="00B85740"/>
    <w:rsid w:val="00B857C4"/>
    <w:rsid w:val="00B85DE8"/>
    <w:rsid w:val="00B85F0B"/>
    <w:rsid w:val="00B8635C"/>
    <w:rsid w:val="00B870E0"/>
    <w:rsid w:val="00B8783C"/>
    <w:rsid w:val="00B908EB"/>
    <w:rsid w:val="00B9197A"/>
    <w:rsid w:val="00B924C8"/>
    <w:rsid w:val="00B93C11"/>
    <w:rsid w:val="00B93D54"/>
    <w:rsid w:val="00B9443D"/>
    <w:rsid w:val="00B955E7"/>
    <w:rsid w:val="00B95DDC"/>
    <w:rsid w:val="00B970A7"/>
    <w:rsid w:val="00B9776F"/>
    <w:rsid w:val="00BA2248"/>
    <w:rsid w:val="00BA2336"/>
    <w:rsid w:val="00BA2509"/>
    <w:rsid w:val="00BA32D5"/>
    <w:rsid w:val="00BA389A"/>
    <w:rsid w:val="00BA3EDC"/>
    <w:rsid w:val="00BB33E3"/>
    <w:rsid w:val="00BB3B3A"/>
    <w:rsid w:val="00BB4011"/>
    <w:rsid w:val="00BB4F1E"/>
    <w:rsid w:val="00BB5954"/>
    <w:rsid w:val="00BB5D8B"/>
    <w:rsid w:val="00BB63BE"/>
    <w:rsid w:val="00BB7381"/>
    <w:rsid w:val="00BB7BE7"/>
    <w:rsid w:val="00BB7E55"/>
    <w:rsid w:val="00BC0403"/>
    <w:rsid w:val="00BC1872"/>
    <w:rsid w:val="00BC35D8"/>
    <w:rsid w:val="00BC4ADB"/>
    <w:rsid w:val="00BC4EA2"/>
    <w:rsid w:val="00BC637A"/>
    <w:rsid w:val="00BC6CC7"/>
    <w:rsid w:val="00BD1522"/>
    <w:rsid w:val="00BD1CC4"/>
    <w:rsid w:val="00BD2931"/>
    <w:rsid w:val="00BD4F81"/>
    <w:rsid w:val="00BD56D7"/>
    <w:rsid w:val="00BD5F35"/>
    <w:rsid w:val="00BD65F3"/>
    <w:rsid w:val="00BE0D37"/>
    <w:rsid w:val="00BE17FC"/>
    <w:rsid w:val="00BE2147"/>
    <w:rsid w:val="00BE238A"/>
    <w:rsid w:val="00BE2BCE"/>
    <w:rsid w:val="00BE31C2"/>
    <w:rsid w:val="00BE32A1"/>
    <w:rsid w:val="00BE4155"/>
    <w:rsid w:val="00BE47E7"/>
    <w:rsid w:val="00BE4A72"/>
    <w:rsid w:val="00BE515F"/>
    <w:rsid w:val="00BE5C2D"/>
    <w:rsid w:val="00BE5FBC"/>
    <w:rsid w:val="00BE7C8C"/>
    <w:rsid w:val="00BF0BE0"/>
    <w:rsid w:val="00BF1058"/>
    <w:rsid w:val="00BF34CD"/>
    <w:rsid w:val="00BF3CB3"/>
    <w:rsid w:val="00BF4871"/>
    <w:rsid w:val="00BF534A"/>
    <w:rsid w:val="00BF6EB5"/>
    <w:rsid w:val="00BF724A"/>
    <w:rsid w:val="00C00989"/>
    <w:rsid w:val="00C0290F"/>
    <w:rsid w:val="00C0314C"/>
    <w:rsid w:val="00C0356A"/>
    <w:rsid w:val="00C04693"/>
    <w:rsid w:val="00C04EFC"/>
    <w:rsid w:val="00C05A6E"/>
    <w:rsid w:val="00C05D2C"/>
    <w:rsid w:val="00C05FED"/>
    <w:rsid w:val="00C06B05"/>
    <w:rsid w:val="00C06CC9"/>
    <w:rsid w:val="00C07DA2"/>
    <w:rsid w:val="00C11BAB"/>
    <w:rsid w:val="00C129D7"/>
    <w:rsid w:val="00C1401E"/>
    <w:rsid w:val="00C16632"/>
    <w:rsid w:val="00C16717"/>
    <w:rsid w:val="00C16ED3"/>
    <w:rsid w:val="00C17C92"/>
    <w:rsid w:val="00C20704"/>
    <w:rsid w:val="00C225DF"/>
    <w:rsid w:val="00C244EF"/>
    <w:rsid w:val="00C25EB9"/>
    <w:rsid w:val="00C2613C"/>
    <w:rsid w:val="00C268B5"/>
    <w:rsid w:val="00C26912"/>
    <w:rsid w:val="00C2716E"/>
    <w:rsid w:val="00C30B1C"/>
    <w:rsid w:val="00C310D8"/>
    <w:rsid w:val="00C31F22"/>
    <w:rsid w:val="00C31F8B"/>
    <w:rsid w:val="00C34A0F"/>
    <w:rsid w:val="00C34D9B"/>
    <w:rsid w:val="00C34DC5"/>
    <w:rsid w:val="00C3500C"/>
    <w:rsid w:val="00C35CA1"/>
    <w:rsid w:val="00C3679F"/>
    <w:rsid w:val="00C377B3"/>
    <w:rsid w:val="00C40535"/>
    <w:rsid w:val="00C4322B"/>
    <w:rsid w:val="00C4361E"/>
    <w:rsid w:val="00C469B8"/>
    <w:rsid w:val="00C46E21"/>
    <w:rsid w:val="00C4701B"/>
    <w:rsid w:val="00C47FC0"/>
    <w:rsid w:val="00C5077C"/>
    <w:rsid w:val="00C5246E"/>
    <w:rsid w:val="00C54D1A"/>
    <w:rsid w:val="00C56881"/>
    <w:rsid w:val="00C569F0"/>
    <w:rsid w:val="00C6005D"/>
    <w:rsid w:val="00C613AA"/>
    <w:rsid w:val="00C6141B"/>
    <w:rsid w:val="00C61598"/>
    <w:rsid w:val="00C6383F"/>
    <w:rsid w:val="00C63ABB"/>
    <w:rsid w:val="00C64B16"/>
    <w:rsid w:val="00C653E5"/>
    <w:rsid w:val="00C65D91"/>
    <w:rsid w:val="00C65EA2"/>
    <w:rsid w:val="00C6619D"/>
    <w:rsid w:val="00C669E1"/>
    <w:rsid w:val="00C66C9F"/>
    <w:rsid w:val="00C67840"/>
    <w:rsid w:val="00C67CA0"/>
    <w:rsid w:val="00C70338"/>
    <w:rsid w:val="00C70D90"/>
    <w:rsid w:val="00C73976"/>
    <w:rsid w:val="00C749C2"/>
    <w:rsid w:val="00C75B75"/>
    <w:rsid w:val="00C76C51"/>
    <w:rsid w:val="00C77233"/>
    <w:rsid w:val="00C8086D"/>
    <w:rsid w:val="00C808AA"/>
    <w:rsid w:val="00C8171D"/>
    <w:rsid w:val="00C81E1D"/>
    <w:rsid w:val="00C851D3"/>
    <w:rsid w:val="00C85907"/>
    <w:rsid w:val="00C86280"/>
    <w:rsid w:val="00C86397"/>
    <w:rsid w:val="00C87120"/>
    <w:rsid w:val="00C872F8"/>
    <w:rsid w:val="00C873F9"/>
    <w:rsid w:val="00C8748B"/>
    <w:rsid w:val="00C90221"/>
    <w:rsid w:val="00C906E3"/>
    <w:rsid w:val="00C90E39"/>
    <w:rsid w:val="00C91E0E"/>
    <w:rsid w:val="00C932E9"/>
    <w:rsid w:val="00C95B83"/>
    <w:rsid w:val="00C96435"/>
    <w:rsid w:val="00C97A29"/>
    <w:rsid w:val="00CA056D"/>
    <w:rsid w:val="00CA0B94"/>
    <w:rsid w:val="00CA4109"/>
    <w:rsid w:val="00CA4CDB"/>
    <w:rsid w:val="00CA52B1"/>
    <w:rsid w:val="00CA5352"/>
    <w:rsid w:val="00CB0A48"/>
    <w:rsid w:val="00CB2092"/>
    <w:rsid w:val="00CB616F"/>
    <w:rsid w:val="00CB6B8A"/>
    <w:rsid w:val="00CB770B"/>
    <w:rsid w:val="00CC0305"/>
    <w:rsid w:val="00CC0482"/>
    <w:rsid w:val="00CC2A38"/>
    <w:rsid w:val="00CC4A21"/>
    <w:rsid w:val="00CC6157"/>
    <w:rsid w:val="00CC62B0"/>
    <w:rsid w:val="00CC65F0"/>
    <w:rsid w:val="00CC6BB6"/>
    <w:rsid w:val="00CC79E8"/>
    <w:rsid w:val="00CD0D0E"/>
    <w:rsid w:val="00CD1437"/>
    <w:rsid w:val="00CD366D"/>
    <w:rsid w:val="00CD37F5"/>
    <w:rsid w:val="00CD40CB"/>
    <w:rsid w:val="00CD47D2"/>
    <w:rsid w:val="00CD5F0D"/>
    <w:rsid w:val="00CD60DF"/>
    <w:rsid w:val="00CD71E0"/>
    <w:rsid w:val="00CD73FD"/>
    <w:rsid w:val="00CD7845"/>
    <w:rsid w:val="00CE05C6"/>
    <w:rsid w:val="00CE0806"/>
    <w:rsid w:val="00CE0C3C"/>
    <w:rsid w:val="00CE313E"/>
    <w:rsid w:val="00CE46E8"/>
    <w:rsid w:val="00CE5156"/>
    <w:rsid w:val="00CE5C01"/>
    <w:rsid w:val="00CE6AF9"/>
    <w:rsid w:val="00CE6E0B"/>
    <w:rsid w:val="00CF11C4"/>
    <w:rsid w:val="00CF13A6"/>
    <w:rsid w:val="00CF17A0"/>
    <w:rsid w:val="00CF1FED"/>
    <w:rsid w:val="00CF2E80"/>
    <w:rsid w:val="00CF33C7"/>
    <w:rsid w:val="00CF3894"/>
    <w:rsid w:val="00CF3A74"/>
    <w:rsid w:val="00CF3C0E"/>
    <w:rsid w:val="00CF4015"/>
    <w:rsid w:val="00CF40BA"/>
    <w:rsid w:val="00CF5562"/>
    <w:rsid w:val="00CF58B2"/>
    <w:rsid w:val="00CF6653"/>
    <w:rsid w:val="00CF74FA"/>
    <w:rsid w:val="00CF7755"/>
    <w:rsid w:val="00D00301"/>
    <w:rsid w:val="00D0399C"/>
    <w:rsid w:val="00D03AC6"/>
    <w:rsid w:val="00D03DCE"/>
    <w:rsid w:val="00D048D1"/>
    <w:rsid w:val="00D059B2"/>
    <w:rsid w:val="00D064C8"/>
    <w:rsid w:val="00D06595"/>
    <w:rsid w:val="00D135D0"/>
    <w:rsid w:val="00D138DD"/>
    <w:rsid w:val="00D14001"/>
    <w:rsid w:val="00D140CD"/>
    <w:rsid w:val="00D147D2"/>
    <w:rsid w:val="00D14AC6"/>
    <w:rsid w:val="00D14CDE"/>
    <w:rsid w:val="00D159EA"/>
    <w:rsid w:val="00D16C16"/>
    <w:rsid w:val="00D1711F"/>
    <w:rsid w:val="00D177BA"/>
    <w:rsid w:val="00D17B64"/>
    <w:rsid w:val="00D201BE"/>
    <w:rsid w:val="00D2078F"/>
    <w:rsid w:val="00D21781"/>
    <w:rsid w:val="00D24606"/>
    <w:rsid w:val="00D24ED2"/>
    <w:rsid w:val="00D251DB"/>
    <w:rsid w:val="00D2690E"/>
    <w:rsid w:val="00D26C08"/>
    <w:rsid w:val="00D2706E"/>
    <w:rsid w:val="00D279CE"/>
    <w:rsid w:val="00D303F2"/>
    <w:rsid w:val="00D3107D"/>
    <w:rsid w:val="00D31215"/>
    <w:rsid w:val="00D33329"/>
    <w:rsid w:val="00D33713"/>
    <w:rsid w:val="00D33A61"/>
    <w:rsid w:val="00D33E7C"/>
    <w:rsid w:val="00D35164"/>
    <w:rsid w:val="00D353AE"/>
    <w:rsid w:val="00D35C4A"/>
    <w:rsid w:val="00D36186"/>
    <w:rsid w:val="00D36709"/>
    <w:rsid w:val="00D36A1E"/>
    <w:rsid w:val="00D37A07"/>
    <w:rsid w:val="00D43CB2"/>
    <w:rsid w:val="00D44787"/>
    <w:rsid w:val="00D458E8"/>
    <w:rsid w:val="00D45FB2"/>
    <w:rsid w:val="00D466D1"/>
    <w:rsid w:val="00D47B54"/>
    <w:rsid w:val="00D50C4F"/>
    <w:rsid w:val="00D51362"/>
    <w:rsid w:val="00D51467"/>
    <w:rsid w:val="00D5208B"/>
    <w:rsid w:val="00D5272D"/>
    <w:rsid w:val="00D52C67"/>
    <w:rsid w:val="00D5320C"/>
    <w:rsid w:val="00D5382B"/>
    <w:rsid w:val="00D539B0"/>
    <w:rsid w:val="00D54DB0"/>
    <w:rsid w:val="00D54EFC"/>
    <w:rsid w:val="00D5546F"/>
    <w:rsid w:val="00D55895"/>
    <w:rsid w:val="00D56908"/>
    <w:rsid w:val="00D56ACD"/>
    <w:rsid w:val="00D60D12"/>
    <w:rsid w:val="00D61942"/>
    <w:rsid w:val="00D619B2"/>
    <w:rsid w:val="00D644A2"/>
    <w:rsid w:val="00D6484C"/>
    <w:rsid w:val="00D65041"/>
    <w:rsid w:val="00D65433"/>
    <w:rsid w:val="00D65455"/>
    <w:rsid w:val="00D656E2"/>
    <w:rsid w:val="00D67835"/>
    <w:rsid w:val="00D70444"/>
    <w:rsid w:val="00D73B96"/>
    <w:rsid w:val="00D7576C"/>
    <w:rsid w:val="00D7610F"/>
    <w:rsid w:val="00D76409"/>
    <w:rsid w:val="00D76F48"/>
    <w:rsid w:val="00D77017"/>
    <w:rsid w:val="00D7744C"/>
    <w:rsid w:val="00D7792A"/>
    <w:rsid w:val="00D822E5"/>
    <w:rsid w:val="00D8514F"/>
    <w:rsid w:val="00D85160"/>
    <w:rsid w:val="00D856C4"/>
    <w:rsid w:val="00D85C84"/>
    <w:rsid w:val="00D87C5F"/>
    <w:rsid w:val="00D906E9"/>
    <w:rsid w:val="00D91685"/>
    <w:rsid w:val="00D9220F"/>
    <w:rsid w:val="00D922D3"/>
    <w:rsid w:val="00D94D1C"/>
    <w:rsid w:val="00D95151"/>
    <w:rsid w:val="00D956E6"/>
    <w:rsid w:val="00D96C48"/>
    <w:rsid w:val="00D96CB4"/>
    <w:rsid w:val="00D96F47"/>
    <w:rsid w:val="00D973E2"/>
    <w:rsid w:val="00D97FDE"/>
    <w:rsid w:val="00DA04E7"/>
    <w:rsid w:val="00DA1AB2"/>
    <w:rsid w:val="00DA1BE6"/>
    <w:rsid w:val="00DA2EE7"/>
    <w:rsid w:val="00DA31B5"/>
    <w:rsid w:val="00DA39D6"/>
    <w:rsid w:val="00DA407A"/>
    <w:rsid w:val="00DA4173"/>
    <w:rsid w:val="00DA49E7"/>
    <w:rsid w:val="00DA4FDC"/>
    <w:rsid w:val="00DA5AC0"/>
    <w:rsid w:val="00DA6A82"/>
    <w:rsid w:val="00DA7737"/>
    <w:rsid w:val="00DB1B59"/>
    <w:rsid w:val="00DB33FA"/>
    <w:rsid w:val="00DB44CE"/>
    <w:rsid w:val="00DB521B"/>
    <w:rsid w:val="00DB5696"/>
    <w:rsid w:val="00DB61E7"/>
    <w:rsid w:val="00DB75E3"/>
    <w:rsid w:val="00DB7A68"/>
    <w:rsid w:val="00DC0684"/>
    <w:rsid w:val="00DC0FD0"/>
    <w:rsid w:val="00DC1DE6"/>
    <w:rsid w:val="00DC333A"/>
    <w:rsid w:val="00DC40DD"/>
    <w:rsid w:val="00DC4531"/>
    <w:rsid w:val="00DC4648"/>
    <w:rsid w:val="00DC52E6"/>
    <w:rsid w:val="00DC5C05"/>
    <w:rsid w:val="00DC781D"/>
    <w:rsid w:val="00DD0F17"/>
    <w:rsid w:val="00DD268A"/>
    <w:rsid w:val="00DD3B3B"/>
    <w:rsid w:val="00DD3CD9"/>
    <w:rsid w:val="00DD4492"/>
    <w:rsid w:val="00DD47F2"/>
    <w:rsid w:val="00DD49ED"/>
    <w:rsid w:val="00DD504A"/>
    <w:rsid w:val="00DD5B9C"/>
    <w:rsid w:val="00DD72EC"/>
    <w:rsid w:val="00DD7A33"/>
    <w:rsid w:val="00DE1063"/>
    <w:rsid w:val="00DE1550"/>
    <w:rsid w:val="00DE1E60"/>
    <w:rsid w:val="00DE22CA"/>
    <w:rsid w:val="00DE2424"/>
    <w:rsid w:val="00DE3C27"/>
    <w:rsid w:val="00DE4466"/>
    <w:rsid w:val="00DE6CC9"/>
    <w:rsid w:val="00DE744D"/>
    <w:rsid w:val="00DE7E17"/>
    <w:rsid w:val="00DF1F3D"/>
    <w:rsid w:val="00DF1FDF"/>
    <w:rsid w:val="00DF2FE7"/>
    <w:rsid w:val="00DF41D6"/>
    <w:rsid w:val="00DF4DFB"/>
    <w:rsid w:val="00DF5C75"/>
    <w:rsid w:val="00DF5FE4"/>
    <w:rsid w:val="00DF7E84"/>
    <w:rsid w:val="00E001BF"/>
    <w:rsid w:val="00E00AF2"/>
    <w:rsid w:val="00E01A36"/>
    <w:rsid w:val="00E01E79"/>
    <w:rsid w:val="00E03C69"/>
    <w:rsid w:val="00E04017"/>
    <w:rsid w:val="00E0502D"/>
    <w:rsid w:val="00E0535C"/>
    <w:rsid w:val="00E07DF5"/>
    <w:rsid w:val="00E07EEF"/>
    <w:rsid w:val="00E1198E"/>
    <w:rsid w:val="00E11CC8"/>
    <w:rsid w:val="00E124CA"/>
    <w:rsid w:val="00E13469"/>
    <w:rsid w:val="00E13E81"/>
    <w:rsid w:val="00E140A5"/>
    <w:rsid w:val="00E14D9F"/>
    <w:rsid w:val="00E14E4D"/>
    <w:rsid w:val="00E1591F"/>
    <w:rsid w:val="00E20882"/>
    <w:rsid w:val="00E2142D"/>
    <w:rsid w:val="00E22300"/>
    <w:rsid w:val="00E225FA"/>
    <w:rsid w:val="00E22C4D"/>
    <w:rsid w:val="00E230C4"/>
    <w:rsid w:val="00E233A9"/>
    <w:rsid w:val="00E23647"/>
    <w:rsid w:val="00E23A56"/>
    <w:rsid w:val="00E23B56"/>
    <w:rsid w:val="00E23D50"/>
    <w:rsid w:val="00E3006D"/>
    <w:rsid w:val="00E306D3"/>
    <w:rsid w:val="00E32F2E"/>
    <w:rsid w:val="00E350A6"/>
    <w:rsid w:val="00E37560"/>
    <w:rsid w:val="00E42CC6"/>
    <w:rsid w:val="00E431C0"/>
    <w:rsid w:val="00E43437"/>
    <w:rsid w:val="00E4376E"/>
    <w:rsid w:val="00E444C6"/>
    <w:rsid w:val="00E44543"/>
    <w:rsid w:val="00E44CEC"/>
    <w:rsid w:val="00E455C1"/>
    <w:rsid w:val="00E4596E"/>
    <w:rsid w:val="00E464ED"/>
    <w:rsid w:val="00E50096"/>
    <w:rsid w:val="00E506BB"/>
    <w:rsid w:val="00E50B4D"/>
    <w:rsid w:val="00E5104D"/>
    <w:rsid w:val="00E51972"/>
    <w:rsid w:val="00E51C37"/>
    <w:rsid w:val="00E53B72"/>
    <w:rsid w:val="00E53CC5"/>
    <w:rsid w:val="00E54EF0"/>
    <w:rsid w:val="00E553CE"/>
    <w:rsid w:val="00E5594C"/>
    <w:rsid w:val="00E56071"/>
    <w:rsid w:val="00E56F16"/>
    <w:rsid w:val="00E614DD"/>
    <w:rsid w:val="00E6199F"/>
    <w:rsid w:val="00E62758"/>
    <w:rsid w:val="00E62917"/>
    <w:rsid w:val="00E629A3"/>
    <w:rsid w:val="00E64043"/>
    <w:rsid w:val="00E64496"/>
    <w:rsid w:val="00E64B42"/>
    <w:rsid w:val="00E670DA"/>
    <w:rsid w:val="00E70203"/>
    <w:rsid w:val="00E7117F"/>
    <w:rsid w:val="00E720E9"/>
    <w:rsid w:val="00E724D0"/>
    <w:rsid w:val="00E73653"/>
    <w:rsid w:val="00E74E14"/>
    <w:rsid w:val="00E75319"/>
    <w:rsid w:val="00E766C7"/>
    <w:rsid w:val="00E76CD0"/>
    <w:rsid w:val="00E777BF"/>
    <w:rsid w:val="00E80B79"/>
    <w:rsid w:val="00E80C21"/>
    <w:rsid w:val="00E80C5F"/>
    <w:rsid w:val="00E83DD1"/>
    <w:rsid w:val="00E8568B"/>
    <w:rsid w:val="00E86E5C"/>
    <w:rsid w:val="00E87411"/>
    <w:rsid w:val="00E876CC"/>
    <w:rsid w:val="00E87919"/>
    <w:rsid w:val="00E87AE0"/>
    <w:rsid w:val="00E902BF"/>
    <w:rsid w:val="00E9148D"/>
    <w:rsid w:val="00E91A5C"/>
    <w:rsid w:val="00E920BE"/>
    <w:rsid w:val="00E93842"/>
    <w:rsid w:val="00E944B4"/>
    <w:rsid w:val="00E95F51"/>
    <w:rsid w:val="00E97514"/>
    <w:rsid w:val="00EA002B"/>
    <w:rsid w:val="00EA0147"/>
    <w:rsid w:val="00EA0203"/>
    <w:rsid w:val="00EA02E7"/>
    <w:rsid w:val="00EA1617"/>
    <w:rsid w:val="00EA1D3F"/>
    <w:rsid w:val="00EA2182"/>
    <w:rsid w:val="00EA3EFB"/>
    <w:rsid w:val="00EA494B"/>
    <w:rsid w:val="00EA4D19"/>
    <w:rsid w:val="00EA4D9F"/>
    <w:rsid w:val="00EA6BCF"/>
    <w:rsid w:val="00EA7706"/>
    <w:rsid w:val="00EB0147"/>
    <w:rsid w:val="00EB0395"/>
    <w:rsid w:val="00EB0C76"/>
    <w:rsid w:val="00EB1ECA"/>
    <w:rsid w:val="00EB580C"/>
    <w:rsid w:val="00EB6892"/>
    <w:rsid w:val="00EB6A47"/>
    <w:rsid w:val="00EB6A6A"/>
    <w:rsid w:val="00EC0BBF"/>
    <w:rsid w:val="00EC1F79"/>
    <w:rsid w:val="00EC293E"/>
    <w:rsid w:val="00EC601D"/>
    <w:rsid w:val="00EC6055"/>
    <w:rsid w:val="00EC695B"/>
    <w:rsid w:val="00EC6FB2"/>
    <w:rsid w:val="00EC7478"/>
    <w:rsid w:val="00EC7482"/>
    <w:rsid w:val="00ED120D"/>
    <w:rsid w:val="00ED1D4B"/>
    <w:rsid w:val="00ED352A"/>
    <w:rsid w:val="00ED372E"/>
    <w:rsid w:val="00ED4A04"/>
    <w:rsid w:val="00ED4A2E"/>
    <w:rsid w:val="00ED51FC"/>
    <w:rsid w:val="00ED5E2E"/>
    <w:rsid w:val="00ED6DD7"/>
    <w:rsid w:val="00ED6F49"/>
    <w:rsid w:val="00ED779C"/>
    <w:rsid w:val="00ED7C34"/>
    <w:rsid w:val="00ED7DB1"/>
    <w:rsid w:val="00ED7FC8"/>
    <w:rsid w:val="00EE1543"/>
    <w:rsid w:val="00EE220F"/>
    <w:rsid w:val="00EE2F23"/>
    <w:rsid w:val="00EE3BCD"/>
    <w:rsid w:val="00EE423D"/>
    <w:rsid w:val="00EE4FD7"/>
    <w:rsid w:val="00EE50B2"/>
    <w:rsid w:val="00EE51BB"/>
    <w:rsid w:val="00EE5FF7"/>
    <w:rsid w:val="00EE6B08"/>
    <w:rsid w:val="00EE70F8"/>
    <w:rsid w:val="00EE7ED5"/>
    <w:rsid w:val="00EF0B01"/>
    <w:rsid w:val="00EF0BB8"/>
    <w:rsid w:val="00EF2E9D"/>
    <w:rsid w:val="00EF37BE"/>
    <w:rsid w:val="00EF4556"/>
    <w:rsid w:val="00EF4726"/>
    <w:rsid w:val="00EF49C5"/>
    <w:rsid w:val="00EF51F6"/>
    <w:rsid w:val="00EF673B"/>
    <w:rsid w:val="00F000D5"/>
    <w:rsid w:val="00F00268"/>
    <w:rsid w:val="00F00959"/>
    <w:rsid w:val="00F01169"/>
    <w:rsid w:val="00F018A7"/>
    <w:rsid w:val="00F0333C"/>
    <w:rsid w:val="00F03359"/>
    <w:rsid w:val="00F05817"/>
    <w:rsid w:val="00F05DAF"/>
    <w:rsid w:val="00F06332"/>
    <w:rsid w:val="00F06E95"/>
    <w:rsid w:val="00F071F9"/>
    <w:rsid w:val="00F115A9"/>
    <w:rsid w:val="00F13559"/>
    <w:rsid w:val="00F157E4"/>
    <w:rsid w:val="00F15B14"/>
    <w:rsid w:val="00F15D65"/>
    <w:rsid w:val="00F24495"/>
    <w:rsid w:val="00F245F4"/>
    <w:rsid w:val="00F25657"/>
    <w:rsid w:val="00F272F9"/>
    <w:rsid w:val="00F305A0"/>
    <w:rsid w:val="00F31364"/>
    <w:rsid w:val="00F31D57"/>
    <w:rsid w:val="00F32040"/>
    <w:rsid w:val="00F32D22"/>
    <w:rsid w:val="00F334B3"/>
    <w:rsid w:val="00F33953"/>
    <w:rsid w:val="00F34E52"/>
    <w:rsid w:val="00F35AAC"/>
    <w:rsid w:val="00F35CC5"/>
    <w:rsid w:val="00F36893"/>
    <w:rsid w:val="00F3799C"/>
    <w:rsid w:val="00F37F1F"/>
    <w:rsid w:val="00F40036"/>
    <w:rsid w:val="00F40FED"/>
    <w:rsid w:val="00F429F6"/>
    <w:rsid w:val="00F42CE4"/>
    <w:rsid w:val="00F42DAD"/>
    <w:rsid w:val="00F451F7"/>
    <w:rsid w:val="00F472EB"/>
    <w:rsid w:val="00F515C3"/>
    <w:rsid w:val="00F51D48"/>
    <w:rsid w:val="00F52F08"/>
    <w:rsid w:val="00F531B7"/>
    <w:rsid w:val="00F531E0"/>
    <w:rsid w:val="00F53AAE"/>
    <w:rsid w:val="00F54402"/>
    <w:rsid w:val="00F5468C"/>
    <w:rsid w:val="00F551DE"/>
    <w:rsid w:val="00F55F73"/>
    <w:rsid w:val="00F5610D"/>
    <w:rsid w:val="00F56903"/>
    <w:rsid w:val="00F5740F"/>
    <w:rsid w:val="00F57E84"/>
    <w:rsid w:val="00F602A2"/>
    <w:rsid w:val="00F6047D"/>
    <w:rsid w:val="00F6185B"/>
    <w:rsid w:val="00F61A36"/>
    <w:rsid w:val="00F6278C"/>
    <w:rsid w:val="00F62BA2"/>
    <w:rsid w:val="00F64224"/>
    <w:rsid w:val="00F64EBF"/>
    <w:rsid w:val="00F674AB"/>
    <w:rsid w:val="00F67979"/>
    <w:rsid w:val="00F67AB8"/>
    <w:rsid w:val="00F67BED"/>
    <w:rsid w:val="00F70061"/>
    <w:rsid w:val="00F70A6E"/>
    <w:rsid w:val="00F716A0"/>
    <w:rsid w:val="00F71C06"/>
    <w:rsid w:val="00F74F1B"/>
    <w:rsid w:val="00F75373"/>
    <w:rsid w:val="00F755F2"/>
    <w:rsid w:val="00F76236"/>
    <w:rsid w:val="00F76AA8"/>
    <w:rsid w:val="00F804D3"/>
    <w:rsid w:val="00F81B44"/>
    <w:rsid w:val="00F82ECD"/>
    <w:rsid w:val="00F8315B"/>
    <w:rsid w:val="00F86DCE"/>
    <w:rsid w:val="00F871A1"/>
    <w:rsid w:val="00F87477"/>
    <w:rsid w:val="00F90ABD"/>
    <w:rsid w:val="00F92DAE"/>
    <w:rsid w:val="00F9307F"/>
    <w:rsid w:val="00F95760"/>
    <w:rsid w:val="00F95C89"/>
    <w:rsid w:val="00F95FD1"/>
    <w:rsid w:val="00F960C0"/>
    <w:rsid w:val="00F961AD"/>
    <w:rsid w:val="00F9660F"/>
    <w:rsid w:val="00F9662D"/>
    <w:rsid w:val="00FA02B0"/>
    <w:rsid w:val="00FA0497"/>
    <w:rsid w:val="00FA0F35"/>
    <w:rsid w:val="00FA1A27"/>
    <w:rsid w:val="00FA1C7B"/>
    <w:rsid w:val="00FA1F6F"/>
    <w:rsid w:val="00FA2531"/>
    <w:rsid w:val="00FA25B0"/>
    <w:rsid w:val="00FA305C"/>
    <w:rsid w:val="00FA418E"/>
    <w:rsid w:val="00FA5722"/>
    <w:rsid w:val="00FA61B2"/>
    <w:rsid w:val="00FA77BE"/>
    <w:rsid w:val="00FB010E"/>
    <w:rsid w:val="00FB0175"/>
    <w:rsid w:val="00FB0952"/>
    <w:rsid w:val="00FB0F5F"/>
    <w:rsid w:val="00FB1302"/>
    <w:rsid w:val="00FB35D6"/>
    <w:rsid w:val="00FB39F0"/>
    <w:rsid w:val="00FB5AFB"/>
    <w:rsid w:val="00FB6E26"/>
    <w:rsid w:val="00FB7361"/>
    <w:rsid w:val="00FC070E"/>
    <w:rsid w:val="00FC1D87"/>
    <w:rsid w:val="00FC282B"/>
    <w:rsid w:val="00FC3C6E"/>
    <w:rsid w:val="00FC4317"/>
    <w:rsid w:val="00FC4728"/>
    <w:rsid w:val="00FC4D94"/>
    <w:rsid w:val="00FC603F"/>
    <w:rsid w:val="00FC66CD"/>
    <w:rsid w:val="00FD1259"/>
    <w:rsid w:val="00FD1856"/>
    <w:rsid w:val="00FD20BE"/>
    <w:rsid w:val="00FD21A6"/>
    <w:rsid w:val="00FD350B"/>
    <w:rsid w:val="00FD4721"/>
    <w:rsid w:val="00FD4C54"/>
    <w:rsid w:val="00FD5A36"/>
    <w:rsid w:val="00FD6165"/>
    <w:rsid w:val="00FD691E"/>
    <w:rsid w:val="00FD6BEA"/>
    <w:rsid w:val="00FD7FE9"/>
    <w:rsid w:val="00FE07C7"/>
    <w:rsid w:val="00FE08E9"/>
    <w:rsid w:val="00FE2816"/>
    <w:rsid w:val="00FE2CD5"/>
    <w:rsid w:val="00FE2CDF"/>
    <w:rsid w:val="00FE4FFC"/>
    <w:rsid w:val="00FE62D6"/>
    <w:rsid w:val="00FE6936"/>
    <w:rsid w:val="00FF0095"/>
    <w:rsid w:val="00FF0570"/>
    <w:rsid w:val="00FF1241"/>
    <w:rsid w:val="00FF13DD"/>
    <w:rsid w:val="00FF14C1"/>
    <w:rsid w:val="00FF3A3F"/>
    <w:rsid w:val="00FF43FD"/>
    <w:rsid w:val="00FF4EC1"/>
    <w:rsid w:val="00FF5638"/>
    <w:rsid w:val="00FF6339"/>
    <w:rsid w:val="00FF66E8"/>
    <w:rsid w:val="01B64794"/>
    <w:rsid w:val="03EE7265"/>
    <w:rsid w:val="05F7529A"/>
    <w:rsid w:val="0B2E4096"/>
    <w:rsid w:val="0BFA39F1"/>
    <w:rsid w:val="0ED6366A"/>
    <w:rsid w:val="0FAF0331"/>
    <w:rsid w:val="168D20D6"/>
    <w:rsid w:val="17BD4703"/>
    <w:rsid w:val="1D352737"/>
    <w:rsid w:val="1DA64FA6"/>
    <w:rsid w:val="228E0C2C"/>
    <w:rsid w:val="2801136F"/>
    <w:rsid w:val="29C168FB"/>
    <w:rsid w:val="2A0A1513"/>
    <w:rsid w:val="364E5383"/>
    <w:rsid w:val="3BC47AE0"/>
    <w:rsid w:val="3D102618"/>
    <w:rsid w:val="3DF27918"/>
    <w:rsid w:val="40454D48"/>
    <w:rsid w:val="42AA5C01"/>
    <w:rsid w:val="43791F88"/>
    <w:rsid w:val="445448B1"/>
    <w:rsid w:val="4745062C"/>
    <w:rsid w:val="48181FE7"/>
    <w:rsid w:val="4B1355B6"/>
    <w:rsid w:val="4C547C35"/>
    <w:rsid w:val="516C02EC"/>
    <w:rsid w:val="518A4357"/>
    <w:rsid w:val="53FB62E1"/>
    <w:rsid w:val="55A038FB"/>
    <w:rsid w:val="571E4B6A"/>
    <w:rsid w:val="58937531"/>
    <w:rsid w:val="61F479E1"/>
    <w:rsid w:val="6E8E6A8C"/>
    <w:rsid w:val="6FBC3165"/>
    <w:rsid w:val="6FD54849"/>
    <w:rsid w:val="71E66389"/>
    <w:rsid w:val="769932D0"/>
    <w:rsid w:val="D7FF3634"/>
    <w:rsid w:val="E7FF71A2"/>
    <w:rsid w:val="F6EA3FB6"/>
    <w:rsid w:val="F7D753A7"/>
    <w:rsid w:val="FF29333A"/>
    <w:rsid w:val="FFBF2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0" w:name="macro"/>
    <w:lsdException w:qFormat="1" w:unhideWhenUsed="0"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kern w:val="2"/>
      <w:sz w:val="21"/>
      <w:szCs w:val="24"/>
      <w:lang w:val="en-US" w:eastAsia="zh-CN" w:bidi="ar-SA"/>
    </w:rPr>
  </w:style>
  <w:style w:type="paragraph" w:styleId="2">
    <w:name w:val="heading 1"/>
    <w:basedOn w:val="1"/>
    <w:next w:val="1"/>
    <w:link w:val="55"/>
    <w:qFormat/>
    <w:uiPriority w:val="9"/>
    <w:pPr>
      <w:keepNext/>
      <w:keepLines/>
      <w:spacing w:before="240" w:after="240" w:line="360" w:lineRule="auto"/>
      <w:jc w:val="center"/>
      <w:outlineLvl w:val="0"/>
    </w:pPr>
    <w:rPr>
      <w:b/>
      <w:bCs/>
      <w:kern w:val="44"/>
      <w:sz w:val="32"/>
      <w:szCs w:val="44"/>
    </w:rPr>
  </w:style>
  <w:style w:type="paragraph" w:styleId="3">
    <w:name w:val="heading 2"/>
    <w:basedOn w:val="1"/>
    <w:next w:val="1"/>
    <w:link w:val="56"/>
    <w:qFormat/>
    <w:uiPriority w:val="0"/>
    <w:pPr>
      <w:keepNext/>
      <w:keepLines/>
      <w:spacing w:before="120" w:after="120" w:line="360" w:lineRule="auto"/>
      <w:outlineLvl w:val="1"/>
    </w:pPr>
    <w:rPr>
      <w:rFonts w:ascii="Arial" w:hAnsi="Arial"/>
      <w:b/>
      <w:bCs/>
      <w:sz w:val="24"/>
      <w:szCs w:val="32"/>
    </w:rPr>
  </w:style>
  <w:style w:type="paragraph" w:styleId="4">
    <w:name w:val="heading 3"/>
    <w:basedOn w:val="1"/>
    <w:next w:val="1"/>
    <w:link w:val="57"/>
    <w:qFormat/>
    <w:uiPriority w:val="0"/>
    <w:pPr>
      <w:keepNext/>
      <w:keepLines/>
      <w:spacing w:before="260" w:after="260" w:line="415" w:lineRule="auto"/>
      <w:outlineLvl w:val="2"/>
    </w:pPr>
    <w:rPr>
      <w:b/>
      <w:bCs/>
      <w:sz w:val="32"/>
      <w:szCs w:val="32"/>
    </w:rPr>
  </w:style>
  <w:style w:type="paragraph" w:styleId="5">
    <w:name w:val="heading 4"/>
    <w:basedOn w:val="1"/>
    <w:next w:val="1"/>
    <w:link w:val="123"/>
    <w:qFormat/>
    <w:uiPriority w:val="9"/>
    <w:pPr>
      <w:keepNext/>
      <w:tabs>
        <w:tab w:val="left" w:pos="6768"/>
      </w:tabs>
      <w:spacing w:line="360" w:lineRule="auto"/>
      <w:jc w:val="center"/>
      <w:outlineLvl w:val="3"/>
    </w:pPr>
    <w:rPr>
      <w:b/>
      <w:bCs/>
    </w:rPr>
  </w:style>
  <w:style w:type="paragraph" w:styleId="6">
    <w:name w:val="heading 5"/>
    <w:basedOn w:val="1"/>
    <w:next w:val="1"/>
    <w:link w:val="124"/>
    <w:qFormat/>
    <w:uiPriority w:val="0"/>
    <w:pPr>
      <w:keepNext/>
      <w:adjustRightInd w:val="0"/>
      <w:snapToGrid w:val="0"/>
      <w:spacing w:line="320" w:lineRule="exact"/>
      <w:jc w:val="right"/>
      <w:outlineLvl w:val="4"/>
    </w:pPr>
    <w:rPr>
      <w:b/>
      <w:bCs/>
      <w:sz w:val="44"/>
    </w:rPr>
  </w:style>
  <w:style w:type="paragraph" w:styleId="7">
    <w:name w:val="heading 6"/>
    <w:basedOn w:val="1"/>
    <w:next w:val="1"/>
    <w:link w:val="125"/>
    <w:qFormat/>
    <w:uiPriority w:val="0"/>
    <w:pPr>
      <w:keepNext/>
      <w:adjustRightInd w:val="0"/>
      <w:snapToGrid w:val="0"/>
      <w:spacing w:line="320" w:lineRule="exact"/>
      <w:jc w:val="center"/>
      <w:outlineLvl w:val="5"/>
    </w:pPr>
    <w:rPr>
      <w:bCs/>
      <w:i/>
      <w:iCs/>
      <w:sz w:val="16"/>
    </w:rPr>
  </w:style>
  <w:style w:type="paragraph" w:styleId="8">
    <w:name w:val="heading 7"/>
    <w:basedOn w:val="1"/>
    <w:next w:val="1"/>
    <w:link w:val="126"/>
    <w:qFormat/>
    <w:uiPriority w:val="0"/>
    <w:pPr>
      <w:keepNext/>
      <w:adjustRightInd w:val="0"/>
      <w:snapToGrid w:val="0"/>
      <w:spacing w:line="320" w:lineRule="exact"/>
      <w:ind w:left="-105" w:leftChars="-50" w:right="-105" w:rightChars="-50"/>
      <w:jc w:val="center"/>
      <w:outlineLvl w:val="6"/>
    </w:pPr>
    <w:rPr>
      <w:bCs/>
      <w:i/>
      <w:iCs/>
      <w:sz w:val="16"/>
    </w:rPr>
  </w:style>
  <w:style w:type="paragraph" w:styleId="9">
    <w:name w:val="heading 8"/>
    <w:basedOn w:val="1"/>
    <w:next w:val="1"/>
    <w:link w:val="127"/>
    <w:qFormat/>
    <w:uiPriority w:val="0"/>
    <w:pPr>
      <w:keepNext/>
      <w:adjustRightInd w:val="0"/>
      <w:snapToGrid w:val="0"/>
      <w:spacing w:line="320" w:lineRule="exact"/>
      <w:jc w:val="center"/>
      <w:outlineLvl w:val="7"/>
    </w:pPr>
    <w:rPr>
      <w:rFonts w:eastAsia="黑体"/>
      <w:b/>
      <w:bCs/>
      <w:sz w:val="18"/>
    </w:rPr>
  </w:style>
  <w:style w:type="paragraph" w:styleId="10">
    <w:name w:val="heading 9"/>
    <w:basedOn w:val="1"/>
    <w:next w:val="1"/>
    <w:link w:val="128"/>
    <w:qFormat/>
    <w:uiPriority w:val="0"/>
    <w:pPr>
      <w:keepNext/>
      <w:keepLines/>
      <w:spacing w:before="240" w:after="64" w:line="319" w:lineRule="auto"/>
      <w:ind w:left="1584"/>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heme="minorHAnsi" w:hAnsiTheme="minorHAnsi" w:cstheme="minorHAnsi"/>
      <w:sz w:val="18"/>
      <w:szCs w:val="18"/>
    </w:rPr>
  </w:style>
  <w:style w:type="paragraph" w:styleId="12">
    <w:name w:val="table of authorities"/>
    <w:basedOn w:val="1"/>
    <w:next w:val="1"/>
    <w:qFormat/>
    <w:uiPriority w:val="0"/>
    <w:pPr>
      <w:spacing w:line="320" w:lineRule="exact"/>
      <w:ind w:left="420" w:leftChars="200"/>
    </w:pPr>
  </w:style>
  <w:style w:type="paragraph" w:styleId="13">
    <w:name w:val="Normal Indent"/>
    <w:basedOn w:val="1"/>
    <w:qFormat/>
    <w:uiPriority w:val="99"/>
    <w:pPr>
      <w:widowControl/>
      <w:ind w:firstLine="420" w:firstLineChars="200"/>
      <w:jc w:val="left"/>
    </w:pPr>
    <w:rPr>
      <w:rFonts w:eastAsia="PMingLiU"/>
      <w:kern w:val="0"/>
      <w:sz w:val="20"/>
      <w:szCs w:val="20"/>
      <w:lang w:eastAsia="en-US"/>
    </w:rPr>
  </w:style>
  <w:style w:type="paragraph" w:styleId="14">
    <w:name w:val="caption"/>
    <w:basedOn w:val="1"/>
    <w:next w:val="1"/>
    <w:unhideWhenUsed/>
    <w:qFormat/>
    <w:uiPriority w:val="0"/>
    <w:pPr>
      <w:autoSpaceDE w:val="0"/>
      <w:autoSpaceDN w:val="0"/>
      <w:adjustRightInd w:val="0"/>
      <w:jc w:val="left"/>
    </w:pPr>
    <w:rPr>
      <w:rFonts w:hint="eastAsia" w:ascii="Arial" w:hAnsi="Arial" w:eastAsia="黑体"/>
      <w:kern w:val="0"/>
      <w:sz w:val="20"/>
      <w:szCs w:val="20"/>
    </w:rPr>
  </w:style>
  <w:style w:type="paragraph" w:styleId="15">
    <w:name w:val="Document Map"/>
    <w:basedOn w:val="1"/>
    <w:link w:val="69"/>
    <w:qFormat/>
    <w:uiPriority w:val="0"/>
    <w:pPr>
      <w:shd w:val="clear" w:color="auto" w:fill="000080"/>
    </w:pPr>
  </w:style>
  <w:style w:type="paragraph" w:styleId="16">
    <w:name w:val="toa heading"/>
    <w:basedOn w:val="1"/>
    <w:next w:val="12"/>
    <w:semiHidden/>
    <w:qFormat/>
    <w:uiPriority w:val="0"/>
    <w:pPr>
      <w:keepNext/>
      <w:spacing w:before="240" w:after="120" w:line="360" w:lineRule="exact"/>
    </w:pPr>
    <w:rPr>
      <w:rFonts w:ascii="Arial" w:hAnsi="Arial"/>
      <w:b/>
      <w:kern w:val="28"/>
      <w:sz w:val="28"/>
    </w:rPr>
  </w:style>
  <w:style w:type="paragraph" w:styleId="17">
    <w:name w:val="annotation text"/>
    <w:basedOn w:val="1"/>
    <w:link w:val="72"/>
    <w:qFormat/>
    <w:uiPriority w:val="0"/>
    <w:pPr>
      <w:jc w:val="left"/>
    </w:pPr>
  </w:style>
  <w:style w:type="paragraph" w:styleId="18">
    <w:name w:val="Body Text"/>
    <w:basedOn w:val="1"/>
    <w:next w:val="1"/>
    <w:link w:val="103"/>
    <w:unhideWhenUsed/>
    <w:qFormat/>
    <w:uiPriority w:val="0"/>
    <w:pPr>
      <w:autoSpaceDE w:val="0"/>
      <w:autoSpaceDN w:val="0"/>
      <w:adjustRightInd w:val="0"/>
      <w:ind w:left="192"/>
      <w:jc w:val="left"/>
    </w:pPr>
    <w:rPr>
      <w:rFonts w:hint="eastAsia"/>
      <w:kern w:val="0"/>
      <w:sz w:val="28"/>
      <w:szCs w:val="20"/>
    </w:rPr>
  </w:style>
  <w:style w:type="paragraph" w:styleId="19">
    <w:name w:val="Body Text Indent"/>
    <w:basedOn w:val="1"/>
    <w:link w:val="129"/>
    <w:qFormat/>
    <w:uiPriority w:val="0"/>
    <w:pPr>
      <w:spacing w:line="320" w:lineRule="exact"/>
      <w:ind w:left="542" w:leftChars="258" w:firstLine="560" w:firstLineChars="200"/>
      <w:jc w:val="left"/>
    </w:pPr>
    <w:rPr>
      <w:sz w:val="28"/>
    </w:rPr>
  </w:style>
  <w:style w:type="paragraph" w:styleId="20">
    <w:name w:val="Block Text"/>
    <w:basedOn w:val="1"/>
    <w:qFormat/>
    <w:uiPriority w:val="0"/>
    <w:pPr>
      <w:adjustRightInd w:val="0"/>
      <w:snapToGrid w:val="0"/>
      <w:spacing w:line="320" w:lineRule="exact"/>
      <w:ind w:left="-105" w:leftChars="-50" w:right="-105" w:rightChars="-50"/>
      <w:jc w:val="center"/>
    </w:pPr>
    <w:rPr>
      <w:bCs/>
      <w:sz w:val="16"/>
    </w:rPr>
  </w:style>
  <w:style w:type="paragraph" w:styleId="21">
    <w:name w:val="toc 5"/>
    <w:basedOn w:val="1"/>
    <w:next w:val="1"/>
    <w:qFormat/>
    <w:uiPriority w:val="39"/>
    <w:pPr>
      <w:ind w:left="840"/>
      <w:jc w:val="left"/>
    </w:pPr>
    <w:rPr>
      <w:rFonts w:asciiTheme="minorHAnsi" w:hAnsiTheme="minorHAnsi" w:cstheme="minorHAnsi"/>
      <w:sz w:val="18"/>
      <w:szCs w:val="18"/>
    </w:rPr>
  </w:style>
  <w:style w:type="paragraph" w:styleId="22">
    <w:name w:val="toc 3"/>
    <w:basedOn w:val="1"/>
    <w:next w:val="1"/>
    <w:qFormat/>
    <w:uiPriority w:val="39"/>
    <w:pPr>
      <w:ind w:left="420"/>
      <w:jc w:val="left"/>
    </w:pPr>
    <w:rPr>
      <w:rFonts w:asciiTheme="minorHAnsi" w:hAnsiTheme="minorHAnsi" w:cstheme="minorHAnsi"/>
      <w:i/>
      <w:iCs/>
      <w:sz w:val="20"/>
      <w:szCs w:val="20"/>
    </w:rPr>
  </w:style>
  <w:style w:type="paragraph" w:styleId="23">
    <w:name w:val="Plain Text"/>
    <w:basedOn w:val="1"/>
    <w:link w:val="104"/>
    <w:qFormat/>
    <w:uiPriority w:val="0"/>
    <w:pPr>
      <w:autoSpaceDE w:val="0"/>
      <w:autoSpaceDN w:val="0"/>
      <w:adjustRightInd w:val="0"/>
      <w:jc w:val="left"/>
    </w:pPr>
    <w:rPr>
      <w:rFonts w:hint="eastAsia" w:hAnsi="Courier New" w:cs="Courier New"/>
      <w:kern w:val="0"/>
      <w:sz w:val="24"/>
      <w:szCs w:val="21"/>
    </w:rPr>
  </w:style>
  <w:style w:type="paragraph" w:styleId="24">
    <w:name w:val="toc 8"/>
    <w:basedOn w:val="1"/>
    <w:next w:val="1"/>
    <w:qFormat/>
    <w:uiPriority w:val="39"/>
    <w:pPr>
      <w:ind w:left="1470"/>
      <w:jc w:val="left"/>
    </w:pPr>
    <w:rPr>
      <w:rFonts w:asciiTheme="minorHAnsi" w:hAnsiTheme="minorHAnsi" w:cstheme="minorHAnsi"/>
      <w:sz w:val="18"/>
      <w:szCs w:val="18"/>
    </w:rPr>
  </w:style>
  <w:style w:type="paragraph" w:styleId="25">
    <w:name w:val="Date"/>
    <w:basedOn w:val="1"/>
    <w:next w:val="1"/>
    <w:link w:val="60"/>
    <w:qFormat/>
    <w:uiPriority w:val="0"/>
    <w:pPr>
      <w:ind w:left="100" w:leftChars="2500"/>
    </w:pPr>
  </w:style>
  <w:style w:type="paragraph" w:styleId="26">
    <w:name w:val="Body Text Indent 2"/>
    <w:basedOn w:val="1"/>
    <w:link w:val="130"/>
    <w:qFormat/>
    <w:uiPriority w:val="0"/>
    <w:pPr>
      <w:spacing w:line="320" w:lineRule="exact"/>
      <w:ind w:left="840" w:hanging="840" w:hangingChars="300"/>
    </w:pPr>
    <w:rPr>
      <w:sz w:val="28"/>
    </w:rPr>
  </w:style>
  <w:style w:type="paragraph" w:styleId="27">
    <w:name w:val="endnote text"/>
    <w:basedOn w:val="1"/>
    <w:link w:val="76"/>
    <w:qFormat/>
    <w:uiPriority w:val="0"/>
    <w:pPr>
      <w:snapToGrid w:val="0"/>
      <w:jc w:val="left"/>
    </w:pPr>
  </w:style>
  <w:style w:type="paragraph" w:styleId="28">
    <w:name w:val="Balloon Text"/>
    <w:basedOn w:val="1"/>
    <w:link w:val="68"/>
    <w:qFormat/>
    <w:uiPriority w:val="0"/>
    <w:rPr>
      <w:sz w:val="18"/>
      <w:szCs w:val="18"/>
    </w:rPr>
  </w:style>
  <w:style w:type="paragraph" w:styleId="29">
    <w:name w:val="footer"/>
    <w:basedOn w:val="1"/>
    <w:link w:val="61"/>
    <w:qFormat/>
    <w:uiPriority w:val="99"/>
    <w:pPr>
      <w:tabs>
        <w:tab w:val="center" w:pos="4153"/>
        <w:tab w:val="right" w:pos="8306"/>
      </w:tabs>
      <w:snapToGrid w:val="0"/>
      <w:jc w:val="left"/>
    </w:pPr>
    <w:rPr>
      <w:sz w:val="18"/>
      <w:szCs w:val="18"/>
    </w:rPr>
  </w:style>
  <w:style w:type="paragraph" w:styleId="3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32">
    <w:name w:val="toc 4"/>
    <w:basedOn w:val="1"/>
    <w:next w:val="1"/>
    <w:qFormat/>
    <w:uiPriority w:val="39"/>
    <w:pPr>
      <w:ind w:left="630"/>
      <w:jc w:val="left"/>
    </w:pPr>
    <w:rPr>
      <w:rFonts w:asciiTheme="minorHAnsi" w:hAnsiTheme="minorHAnsi" w:cstheme="minorHAnsi"/>
      <w:sz w:val="18"/>
      <w:szCs w:val="18"/>
    </w:rPr>
  </w:style>
  <w:style w:type="paragraph" w:styleId="33">
    <w:name w:val="Subtitle"/>
    <w:basedOn w:val="1"/>
    <w:next w:val="1"/>
    <w:link w:val="173"/>
    <w:qFormat/>
    <w:uiPriority w:val="0"/>
    <w:pPr>
      <w:spacing w:before="240" w:after="60" w:line="312" w:lineRule="auto"/>
      <w:jc w:val="center"/>
      <w:outlineLvl w:val="1"/>
    </w:pPr>
    <w:rPr>
      <w:rFonts w:ascii="Cambria" w:hAnsi="Cambria"/>
      <w:b/>
      <w:bCs/>
      <w:kern w:val="28"/>
      <w:sz w:val="32"/>
      <w:szCs w:val="32"/>
    </w:rPr>
  </w:style>
  <w:style w:type="paragraph" w:styleId="34">
    <w:name w:val="footnote text"/>
    <w:basedOn w:val="1"/>
    <w:link w:val="77"/>
    <w:qFormat/>
    <w:uiPriority w:val="0"/>
    <w:pPr>
      <w:snapToGrid w:val="0"/>
      <w:jc w:val="left"/>
    </w:pPr>
    <w:rPr>
      <w:sz w:val="18"/>
      <w:szCs w:val="18"/>
    </w:rPr>
  </w:style>
  <w:style w:type="paragraph" w:styleId="35">
    <w:name w:val="toc 6"/>
    <w:basedOn w:val="1"/>
    <w:next w:val="1"/>
    <w:qFormat/>
    <w:uiPriority w:val="39"/>
    <w:pPr>
      <w:ind w:left="1050"/>
      <w:jc w:val="left"/>
    </w:pPr>
    <w:rPr>
      <w:rFonts w:asciiTheme="minorHAnsi" w:hAnsiTheme="minorHAnsi" w:cstheme="minorHAnsi"/>
      <w:sz w:val="18"/>
      <w:szCs w:val="18"/>
    </w:rPr>
  </w:style>
  <w:style w:type="paragraph" w:styleId="36">
    <w:name w:val="Body Text Indent 3"/>
    <w:basedOn w:val="1"/>
    <w:link w:val="131"/>
    <w:qFormat/>
    <w:uiPriority w:val="0"/>
    <w:pPr>
      <w:spacing w:line="320" w:lineRule="exact"/>
      <w:ind w:firstLine="560" w:firstLineChars="200"/>
    </w:pPr>
    <w:rPr>
      <w:sz w:val="28"/>
    </w:rPr>
  </w:style>
  <w:style w:type="paragraph" w:styleId="37">
    <w:name w:val="toc 2"/>
    <w:basedOn w:val="1"/>
    <w:next w:val="1"/>
    <w:qFormat/>
    <w:uiPriority w:val="39"/>
    <w:pPr>
      <w:ind w:left="210"/>
      <w:jc w:val="left"/>
    </w:pPr>
    <w:rPr>
      <w:rFonts w:asciiTheme="minorHAnsi" w:hAnsiTheme="minorHAnsi" w:cstheme="minorHAnsi"/>
      <w:smallCaps/>
      <w:sz w:val="20"/>
      <w:szCs w:val="20"/>
    </w:rPr>
  </w:style>
  <w:style w:type="paragraph" w:styleId="38">
    <w:name w:val="toc 9"/>
    <w:basedOn w:val="1"/>
    <w:next w:val="1"/>
    <w:qFormat/>
    <w:uiPriority w:val="39"/>
    <w:pPr>
      <w:ind w:left="1680"/>
      <w:jc w:val="left"/>
    </w:pPr>
    <w:rPr>
      <w:rFonts w:asciiTheme="minorHAnsi" w:hAnsiTheme="minorHAnsi" w:cstheme="minorHAnsi"/>
      <w:sz w:val="18"/>
      <w:szCs w:val="18"/>
    </w:rPr>
  </w:style>
  <w:style w:type="paragraph" w:styleId="39">
    <w:name w:val="Body Text 2"/>
    <w:basedOn w:val="1"/>
    <w:link w:val="106"/>
    <w:qFormat/>
    <w:uiPriority w:val="0"/>
    <w:pPr>
      <w:autoSpaceDE w:val="0"/>
      <w:autoSpaceDN w:val="0"/>
      <w:adjustRightInd w:val="0"/>
      <w:spacing w:after="120" w:line="480" w:lineRule="auto"/>
      <w:jc w:val="left"/>
    </w:pPr>
    <w:rPr>
      <w:rFonts w:hint="eastAsia" w:ascii="Century" w:hAnsi="Century" w:eastAsia="MS Mincho"/>
      <w:kern w:val="0"/>
      <w:sz w:val="24"/>
    </w:rPr>
  </w:style>
  <w:style w:type="paragraph" w:styleId="40">
    <w:name w:val="HTML Preformatted"/>
    <w:basedOn w:val="1"/>
    <w:link w:val="17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left"/>
    </w:pPr>
    <w:rPr>
      <w:rFonts w:hAnsi="宋体"/>
      <w:kern w:val="0"/>
      <w:sz w:val="24"/>
    </w:rPr>
  </w:style>
  <w:style w:type="paragraph" w:styleId="41">
    <w:name w:val="Normal (Web)"/>
    <w:basedOn w:val="1"/>
    <w:qFormat/>
    <w:uiPriority w:val="0"/>
    <w:pPr>
      <w:widowControl/>
      <w:spacing w:before="100" w:beforeAutospacing="1" w:after="100" w:afterAutospacing="1"/>
      <w:jc w:val="left"/>
    </w:pPr>
    <w:rPr>
      <w:rFonts w:hAnsi="宋体"/>
      <w:kern w:val="0"/>
      <w:sz w:val="24"/>
    </w:rPr>
  </w:style>
  <w:style w:type="paragraph" w:styleId="42">
    <w:name w:val="Title"/>
    <w:basedOn w:val="1"/>
    <w:next w:val="1"/>
    <w:link w:val="59"/>
    <w:qFormat/>
    <w:uiPriority w:val="0"/>
    <w:pPr>
      <w:spacing w:before="240" w:after="60"/>
      <w:jc w:val="center"/>
      <w:outlineLvl w:val="0"/>
    </w:pPr>
    <w:rPr>
      <w:rFonts w:ascii="Cambria" w:hAnsi="Cambria"/>
      <w:b/>
      <w:bCs/>
      <w:sz w:val="32"/>
      <w:szCs w:val="32"/>
    </w:rPr>
  </w:style>
  <w:style w:type="paragraph" w:styleId="43">
    <w:name w:val="annotation subject"/>
    <w:basedOn w:val="17"/>
    <w:next w:val="17"/>
    <w:link w:val="73"/>
    <w:qFormat/>
    <w:uiPriority w:val="0"/>
    <w:rPr>
      <w:b/>
      <w:bCs/>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basedOn w:val="46"/>
    <w:qFormat/>
    <w:uiPriority w:val="0"/>
    <w:rPr>
      <w:b/>
      <w:bCs/>
    </w:rPr>
  </w:style>
  <w:style w:type="character" w:styleId="48">
    <w:name w:val="endnote reference"/>
    <w:qFormat/>
    <w:uiPriority w:val="0"/>
    <w:rPr>
      <w:vertAlign w:val="superscript"/>
    </w:rPr>
  </w:style>
  <w:style w:type="character" w:styleId="49">
    <w:name w:val="page number"/>
    <w:basedOn w:val="46"/>
    <w:qFormat/>
    <w:uiPriority w:val="0"/>
  </w:style>
  <w:style w:type="character" w:styleId="50">
    <w:name w:val="FollowedHyperlink"/>
    <w:basedOn w:val="46"/>
    <w:unhideWhenUsed/>
    <w:qFormat/>
    <w:uiPriority w:val="99"/>
    <w:rPr>
      <w:rFonts w:hint="default" w:ascii="Times New Roman" w:hAnsi="Times New Roman" w:eastAsia="Times New Roman"/>
      <w:sz w:val="24"/>
      <w:u w:val="single"/>
    </w:rPr>
  </w:style>
  <w:style w:type="character" w:styleId="51">
    <w:name w:val="Emphasis"/>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qFormat/>
    <w:uiPriority w:val="0"/>
    <w:rPr>
      <w:vertAlign w:val="superscript"/>
    </w:rPr>
  </w:style>
  <w:style w:type="character" w:customStyle="1" w:styleId="55">
    <w:name w:val="标题 1 Char"/>
    <w:link w:val="2"/>
    <w:qFormat/>
    <w:uiPriority w:val="9"/>
    <w:rPr>
      <w:b/>
      <w:bCs/>
      <w:kern w:val="44"/>
      <w:sz w:val="32"/>
      <w:szCs w:val="44"/>
    </w:rPr>
  </w:style>
  <w:style w:type="character" w:customStyle="1" w:styleId="56">
    <w:name w:val="标题 2 Char"/>
    <w:link w:val="3"/>
    <w:qFormat/>
    <w:uiPriority w:val="0"/>
    <w:rPr>
      <w:rFonts w:ascii="Arial" w:hAnsi="Arial" w:eastAsia="宋体"/>
      <w:b/>
      <w:bCs/>
      <w:kern w:val="2"/>
      <w:sz w:val="24"/>
      <w:szCs w:val="32"/>
      <w:lang w:val="en-US" w:eastAsia="zh-CN" w:bidi="ar-SA"/>
    </w:rPr>
  </w:style>
  <w:style w:type="character" w:customStyle="1" w:styleId="57">
    <w:name w:val="标题 3 Char"/>
    <w:link w:val="4"/>
    <w:qFormat/>
    <w:uiPriority w:val="0"/>
    <w:rPr>
      <w:b/>
      <w:bCs/>
      <w:kern w:val="2"/>
      <w:sz w:val="32"/>
      <w:szCs w:val="32"/>
    </w:rPr>
  </w:style>
  <w:style w:type="character" w:customStyle="1" w:styleId="58">
    <w:name w:val="页眉 Char"/>
    <w:link w:val="30"/>
    <w:qFormat/>
    <w:uiPriority w:val="0"/>
    <w:rPr>
      <w:kern w:val="2"/>
      <w:sz w:val="18"/>
      <w:szCs w:val="18"/>
    </w:rPr>
  </w:style>
  <w:style w:type="character" w:customStyle="1" w:styleId="59">
    <w:name w:val="标题 Char"/>
    <w:link w:val="42"/>
    <w:qFormat/>
    <w:uiPriority w:val="0"/>
    <w:rPr>
      <w:rFonts w:ascii="Cambria" w:hAnsi="Cambria" w:cs="Times New Roman"/>
      <w:b/>
      <w:bCs/>
      <w:kern w:val="2"/>
      <w:sz w:val="32"/>
      <w:szCs w:val="32"/>
    </w:rPr>
  </w:style>
  <w:style w:type="character" w:customStyle="1" w:styleId="60">
    <w:name w:val="日期 Char"/>
    <w:link w:val="25"/>
    <w:qFormat/>
    <w:uiPriority w:val="0"/>
    <w:rPr>
      <w:kern w:val="2"/>
      <w:sz w:val="21"/>
      <w:szCs w:val="24"/>
    </w:rPr>
  </w:style>
  <w:style w:type="character" w:customStyle="1" w:styleId="61">
    <w:name w:val="页脚 Char1"/>
    <w:link w:val="29"/>
    <w:qFormat/>
    <w:uiPriority w:val="99"/>
    <w:rPr>
      <w:kern w:val="2"/>
      <w:sz w:val="18"/>
      <w:szCs w:val="18"/>
    </w:rPr>
  </w:style>
  <w:style w:type="paragraph" w:customStyle="1" w:styleId="62">
    <w:name w:val="列出段落1"/>
    <w:basedOn w:val="1"/>
    <w:qFormat/>
    <w:uiPriority w:val="0"/>
    <w:pPr>
      <w:ind w:firstLine="420" w:firstLineChars="200"/>
    </w:pPr>
    <w:rPr>
      <w:rFonts w:ascii="Calibri" w:hAnsi="Calibri"/>
      <w:szCs w:val="22"/>
    </w:rPr>
  </w:style>
  <w:style w:type="paragraph" w:customStyle="1" w:styleId="63">
    <w:name w:val="Char"/>
    <w:basedOn w:val="1"/>
    <w:qFormat/>
    <w:uiPriority w:val="0"/>
    <w:pPr>
      <w:tabs>
        <w:tab w:val="left" w:pos="4665"/>
        <w:tab w:val="left" w:pos="8970"/>
      </w:tabs>
      <w:ind w:firstLine="400"/>
    </w:pPr>
    <w:rPr>
      <w:rFonts w:ascii="Tahoma" w:hAnsi="Tahoma" w:cs="Tahoma"/>
      <w:sz w:val="24"/>
    </w:rPr>
  </w:style>
  <w:style w:type="paragraph" w:customStyle="1" w:styleId="64">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65">
    <w:name w:val="Char Char Char Char Char Char Char Char Char Char"/>
    <w:basedOn w:val="1"/>
    <w:qFormat/>
    <w:uiPriority w:val="0"/>
    <w:pPr>
      <w:spacing w:line="240" w:lineRule="exact"/>
      <w:ind w:firstLine="200" w:firstLineChars="200"/>
    </w:pPr>
    <w:rPr>
      <w:rFonts w:cs="宋体"/>
      <w:color w:val="000000"/>
      <w:sz w:val="24"/>
      <w:lang w:val="zh-CN"/>
    </w:rPr>
  </w:style>
  <w:style w:type="paragraph" w:customStyle="1" w:styleId="66">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67">
    <w:name w:val="段落正文"/>
    <w:basedOn w:val="1"/>
    <w:qFormat/>
    <w:uiPriority w:val="0"/>
    <w:pPr>
      <w:spacing w:line="300" w:lineRule="auto"/>
      <w:ind w:firstLine="482" w:firstLineChars="200"/>
    </w:pPr>
    <w:rPr>
      <w:sz w:val="24"/>
    </w:rPr>
  </w:style>
  <w:style w:type="character" w:customStyle="1" w:styleId="68">
    <w:name w:val="批注框文本 Char"/>
    <w:link w:val="28"/>
    <w:qFormat/>
    <w:uiPriority w:val="0"/>
    <w:rPr>
      <w:kern w:val="2"/>
      <w:sz w:val="18"/>
      <w:szCs w:val="18"/>
    </w:rPr>
  </w:style>
  <w:style w:type="character" w:customStyle="1" w:styleId="69">
    <w:name w:val="文档结构图 Char"/>
    <w:link w:val="15"/>
    <w:qFormat/>
    <w:uiPriority w:val="0"/>
    <w:rPr>
      <w:kern w:val="2"/>
      <w:sz w:val="21"/>
      <w:szCs w:val="24"/>
      <w:shd w:val="clear" w:color="auto" w:fill="000080"/>
    </w:rPr>
  </w:style>
  <w:style w:type="paragraph" w:customStyle="1" w:styleId="70">
    <w:name w:val="列表段落1"/>
    <w:basedOn w:val="1"/>
    <w:link w:val="71"/>
    <w:qFormat/>
    <w:uiPriority w:val="34"/>
    <w:pPr>
      <w:ind w:firstLine="420" w:firstLineChars="200"/>
    </w:pPr>
  </w:style>
  <w:style w:type="character" w:customStyle="1" w:styleId="71">
    <w:name w:val="列表段落 字符"/>
    <w:link w:val="70"/>
    <w:qFormat/>
    <w:uiPriority w:val="34"/>
    <w:rPr>
      <w:kern w:val="2"/>
      <w:sz w:val="21"/>
      <w:szCs w:val="24"/>
    </w:rPr>
  </w:style>
  <w:style w:type="character" w:customStyle="1" w:styleId="72">
    <w:name w:val="批注文字 Char"/>
    <w:link w:val="17"/>
    <w:qFormat/>
    <w:uiPriority w:val="0"/>
    <w:rPr>
      <w:kern w:val="2"/>
      <w:sz w:val="21"/>
      <w:szCs w:val="24"/>
    </w:rPr>
  </w:style>
  <w:style w:type="character" w:customStyle="1" w:styleId="73">
    <w:name w:val="批注主题 Char"/>
    <w:link w:val="43"/>
    <w:qFormat/>
    <w:uiPriority w:val="0"/>
    <w:rPr>
      <w:b/>
      <w:bCs/>
      <w:kern w:val="2"/>
      <w:sz w:val="21"/>
      <w:szCs w:val="24"/>
    </w:rPr>
  </w:style>
  <w:style w:type="paragraph" w:customStyle="1" w:styleId="74">
    <w:name w:val="Default"/>
    <w:basedOn w:val="1"/>
    <w:qFormat/>
    <w:uiPriority w:val="0"/>
    <w:pPr>
      <w:autoSpaceDE w:val="0"/>
      <w:autoSpaceDN w:val="0"/>
      <w:adjustRightInd w:val="0"/>
      <w:jc w:val="left"/>
    </w:pPr>
    <w:rPr>
      <w:rFonts w:cs="宋体"/>
      <w:color w:val="000000"/>
      <w:kern w:val="0"/>
      <w:sz w:val="24"/>
    </w:rPr>
  </w:style>
  <w:style w:type="paragraph" w:customStyle="1" w:styleId="75">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76">
    <w:name w:val="尾注文本 Char"/>
    <w:link w:val="27"/>
    <w:qFormat/>
    <w:uiPriority w:val="0"/>
    <w:rPr>
      <w:kern w:val="2"/>
      <w:sz w:val="21"/>
      <w:szCs w:val="24"/>
    </w:rPr>
  </w:style>
  <w:style w:type="character" w:customStyle="1" w:styleId="77">
    <w:name w:val="脚注文本 Char"/>
    <w:link w:val="34"/>
    <w:qFormat/>
    <w:uiPriority w:val="0"/>
    <w:rPr>
      <w:kern w:val="2"/>
      <w:sz w:val="18"/>
      <w:szCs w:val="18"/>
    </w:rPr>
  </w:style>
  <w:style w:type="paragraph" w:customStyle="1" w:styleId="78">
    <w:name w:val="_Style 2"/>
    <w:basedOn w:val="1"/>
    <w:qFormat/>
    <w:uiPriority w:val="0"/>
    <w:pPr>
      <w:ind w:firstLine="420" w:firstLineChars="200"/>
    </w:pPr>
  </w:style>
  <w:style w:type="character" w:customStyle="1" w:styleId="79">
    <w:name w:val="标题 Char1"/>
    <w:qFormat/>
    <w:uiPriority w:val="10"/>
    <w:rPr>
      <w:rFonts w:ascii="Cambria" w:hAnsi="Cambria" w:cs="Times New Roman"/>
      <w:b/>
      <w:bCs/>
      <w:kern w:val="2"/>
      <w:sz w:val="32"/>
      <w:szCs w:val="32"/>
    </w:rPr>
  </w:style>
  <w:style w:type="paragraph" w:customStyle="1" w:styleId="80">
    <w:name w:val="正文11111"/>
    <w:qFormat/>
    <w:uiPriority w:val="0"/>
    <w:pPr>
      <w:jc w:val="both"/>
    </w:pPr>
    <w:rPr>
      <w:rFonts w:ascii="Times New Roman" w:hAnsi="Times New Roman" w:eastAsia="宋体" w:cs="Times New Roman"/>
      <w:kern w:val="2"/>
      <w:sz w:val="21"/>
      <w:szCs w:val="21"/>
      <w:lang w:val="en-US" w:eastAsia="zh-CN" w:bidi="ar-SA"/>
    </w:rPr>
  </w:style>
  <w:style w:type="character" w:customStyle="1" w:styleId="81">
    <w:name w:val="页眉 Char1"/>
    <w:basedOn w:val="46"/>
    <w:semiHidden/>
    <w:qFormat/>
    <w:uiPriority w:val="99"/>
    <w:rPr>
      <w:rFonts w:ascii="Times New Roman" w:hAnsi="Times New Roman" w:eastAsia="宋体" w:cs="Times New Roman"/>
      <w:sz w:val="18"/>
      <w:szCs w:val="18"/>
    </w:rPr>
  </w:style>
  <w:style w:type="character" w:customStyle="1" w:styleId="82">
    <w:name w:val="apple-converted-space"/>
    <w:basedOn w:val="46"/>
    <w:qFormat/>
    <w:uiPriority w:val="0"/>
  </w:style>
  <w:style w:type="character" w:customStyle="1" w:styleId="83">
    <w:name w:val="表格 Char"/>
    <w:link w:val="84"/>
    <w:qFormat/>
    <w:uiPriority w:val="0"/>
    <w:rPr>
      <w:kern w:val="2"/>
      <w:sz w:val="21"/>
      <w:szCs w:val="24"/>
    </w:rPr>
  </w:style>
  <w:style w:type="paragraph" w:customStyle="1" w:styleId="84">
    <w:name w:val="表格"/>
    <w:basedOn w:val="1"/>
    <w:link w:val="83"/>
    <w:qFormat/>
    <w:uiPriority w:val="0"/>
    <w:pPr>
      <w:jc w:val="center"/>
    </w:pPr>
  </w:style>
  <w:style w:type="paragraph" w:customStyle="1" w:styleId="85">
    <w:name w:val="条文"/>
    <w:basedOn w:val="1"/>
    <w:qFormat/>
    <w:uiPriority w:val="0"/>
    <w:pPr>
      <w:adjustRightInd w:val="0"/>
      <w:spacing w:line="300" w:lineRule="auto"/>
      <w:ind w:firstLine="200" w:firstLineChars="200"/>
      <w:outlineLvl w:val="2"/>
    </w:pPr>
    <w:rPr>
      <w:sz w:val="24"/>
    </w:rPr>
  </w:style>
  <w:style w:type="paragraph" w:customStyle="1" w:styleId="86">
    <w:name w:val="Table Paragraph"/>
    <w:basedOn w:val="1"/>
    <w:qFormat/>
    <w:uiPriority w:val="1"/>
    <w:pPr>
      <w:autoSpaceDE w:val="0"/>
      <w:autoSpaceDN w:val="0"/>
      <w:adjustRightInd w:val="0"/>
      <w:jc w:val="left"/>
    </w:pPr>
    <w:rPr>
      <w:kern w:val="0"/>
      <w:sz w:val="24"/>
    </w:rPr>
  </w:style>
  <w:style w:type="paragraph" w:customStyle="1" w:styleId="87">
    <w:name w:val="a章"/>
    <w:qFormat/>
    <w:uiPriority w:val="0"/>
    <w:pPr>
      <w:numPr>
        <w:ilvl w:val="0"/>
        <w:numId w:val="1"/>
      </w:numPr>
      <w:spacing w:line="400" w:lineRule="exact"/>
    </w:pPr>
    <w:rPr>
      <w:rFonts w:ascii="宋体" w:hAnsi="宋体" w:eastAsia="宋体" w:cs="Times New Roman"/>
      <w:kern w:val="2"/>
      <w:sz w:val="21"/>
      <w:szCs w:val="21"/>
      <w:lang w:val="en-US" w:eastAsia="zh-CN" w:bidi="ar-SA"/>
    </w:rPr>
  </w:style>
  <w:style w:type="paragraph" w:customStyle="1" w:styleId="88">
    <w:name w:val="c节"/>
    <w:basedOn w:val="87"/>
    <w:next w:val="1"/>
    <w:qFormat/>
    <w:uiPriority w:val="0"/>
    <w:pPr>
      <w:numPr>
        <w:ilvl w:val="1"/>
      </w:numPr>
    </w:pPr>
  </w:style>
  <w:style w:type="paragraph" w:customStyle="1" w:styleId="89">
    <w:name w:val="d点"/>
    <w:basedOn w:val="87"/>
    <w:next w:val="1"/>
    <w:qFormat/>
    <w:uiPriority w:val="0"/>
    <w:pPr>
      <w:numPr>
        <w:ilvl w:val="2"/>
      </w:numPr>
      <w:spacing w:line="360" w:lineRule="exact"/>
      <w:ind w:left="1050" w:leftChars="200" w:hanging="630" w:hangingChars="300"/>
      <w:jc w:val="both"/>
    </w:pPr>
  </w:style>
  <w:style w:type="paragraph" w:customStyle="1" w:styleId="90">
    <w:name w:val="a控制项"/>
    <w:qFormat/>
    <w:uiPriority w:val="0"/>
    <w:pPr>
      <w:spacing w:line="400" w:lineRule="exact"/>
    </w:pPr>
    <w:rPr>
      <w:rFonts w:ascii="宋体" w:hAnsi="宋体" w:eastAsia="宋体" w:cs="Times New Roman"/>
      <w:b/>
      <w:kern w:val="2"/>
      <w:sz w:val="21"/>
      <w:szCs w:val="21"/>
      <w:lang w:val="en-US" w:eastAsia="zh-CN" w:bidi="ar-SA"/>
    </w:rPr>
  </w:style>
  <w:style w:type="paragraph" w:customStyle="1" w:styleId="91">
    <w:name w:val="列表段落11"/>
    <w:basedOn w:val="1"/>
    <w:qFormat/>
    <w:uiPriority w:val="34"/>
    <w:pPr>
      <w:ind w:firstLine="420" w:firstLineChars="200"/>
    </w:pPr>
  </w:style>
  <w:style w:type="paragraph" w:customStyle="1" w:styleId="92">
    <w:name w:val="e正文-2"/>
    <w:basedOn w:val="88"/>
    <w:qFormat/>
    <w:uiPriority w:val="0"/>
    <w:pPr>
      <w:numPr>
        <w:ilvl w:val="0"/>
        <w:numId w:val="0"/>
      </w:numPr>
      <w:ind w:left="500" w:leftChars="400" w:hanging="100" w:hangingChars="100"/>
    </w:pPr>
  </w:style>
  <w:style w:type="paragraph" w:customStyle="1" w:styleId="93">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94">
    <w:name w:val="正文--非编号"/>
    <w:basedOn w:val="1"/>
    <w:qFormat/>
    <w:uiPriority w:val="0"/>
    <w:pPr>
      <w:spacing w:line="340" w:lineRule="exact"/>
      <w:ind w:firstLine="840" w:firstLineChars="400"/>
    </w:pPr>
    <w:rPr>
      <w:rFonts w:hAnsi="宋体"/>
      <w:bCs/>
      <w:color w:val="FF0000"/>
      <w:szCs w:val="21"/>
    </w:rPr>
  </w:style>
  <w:style w:type="paragraph" w:customStyle="1" w:styleId="95">
    <w:name w:val="TOC 标题11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6">
    <w:name w:val="正文11"/>
    <w:qFormat/>
    <w:uiPriority w:val="0"/>
    <w:pPr>
      <w:jc w:val="both"/>
    </w:pPr>
    <w:rPr>
      <w:rFonts w:ascii="Times New Roman" w:hAnsi="Times New Roman" w:eastAsia="宋体" w:cs="Times New Roman"/>
      <w:kern w:val="2"/>
      <w:sz w:val="21"/>
      <w:szCs w:val="21"/>
      <w:lang w:val="en-US" w:eastAsia="zh-CN" w:bidi="ar-SA"/>
    </w:rPr>
  </w:style>
  <w:style w:type="paragraph" w:customStyle="1" w:styleId="97">
    <w:name w:val="正文2"/>
    <w:qFormat/>
    <w:uiPriority w:val="0"/>
    <w:pPr>
      <w:jc w:val="both"/>
    </w:pPr>
    <w:rPr>
      <w:rFonts w:ascii="Times New Roman" w:hAnsi="Times New Roman" w:eastAsia="宋体" w:cs="Times New Roman"/>
      <w:kern w:val="2"/>
      <w:sz w:val="21"/>
      <w:szCs w:val="21"/>
      <w:lang w:val="en-US" w:eastAsia="zh-CN" w:bidi="ar-SA"/>
    </w:rPr>
  </w:style>
  <w:style w:type="character" w:customStyle="1" w:styleId="98">
    <w:name w:val="占位符文本1"/>
    <w:basedOn w:val="46"/>
    <w:semiHidden/>
    <w:qFormat/>
    <w:uiPriority w:val="99"/>
    <w:rPr>
      <w:color w:val="808080"/>
    </w:rPr>
  </w:style>
  <w:style w:type="paragraph" w:customStyle="1" w:styleId="99">
    <w:name w:val="正文111"/>
    <w:qFormat/>
    <w:uiPriority w:val="0"/>
    <w:pPr>
      <w:jc w:val="both"/>
    </w:pPr>
    <w:rPr>
      <w:rFonts w:ascii="Times New Roman" w:hAnsi="Times New Roman" w:eastAsia="宋体" w:cs="Times New Roman"/>
      <w:kern w:val="2"/>
      <w:sz w:val="21"/>
      <w:szCs w:val="21"/>
      <w:lang w:val="en-US" w:eastAsia="zh-CN" w:bidi="ar-SA"/>
    </w:rPr>
  </w:style>
  <w:style w:type="paragraph" w:customStyle="1" w:styleId="100">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01">
    <w:name w:val="正文1111"/>
    <w:qFormat/>
    <w:uiPriority w:val="0"/>
    <w:pPr>
      <w:jc w:val="both"/>
    </w:pPr>
    <w:rPr>
      <w:rFonts w:ascii="Times New Roman" w:hAnsi="Times New Roman" w:eastAsia="宋体" w:cs="Times New Roman"/>
      <w:kern w:val="2"/>
      <w:sz w:val="21"/>
      <w:szCs w:val="21"/>
      <w:lang w:val="en-US" w:eastAsia="zh-CN" w:bidi="ar-SA"/>
    </w:rPr>
  </w:style>
  <w:style w:type="paragraph" w:customStyle="1" w:styleId="102">
    <w:name w:val="修订11"/>
    <w:hidden/>
    <w:semiHidden/>
    <w:qFormat/>
    <w:uiPriority w:val="99"/>
    <w:rPr>
      <w:rFonts w:ascii="Times New Roman" w:hAnsi="Times New Roman" w:eastAsia="宋体" w:cs="Times New Roman"/>
      <w:kern w:val="2"/>
      <w:sz w:val="21"/>
      <w:szCs w:val="24"/>
      <w:lang w:val="en-US" w:eastAsia="zh-CN" w:bidi="ar-SA"/>
    </w:rPr>
  </w:style>
  <w:style w:type="character" w:customStyle="1" w:styleId="103">
    <w:name w:val="正文文本 Char"/>
    <w:basedOn w:val="46"/>
    <w:link w:val="18"/>
    <w:qFormat/>
    <w:uiPriority w:val="0"/>
    <w:rPr>
      <w:rFonts w:ascii="宋体"/>
      <w:sz w:val="28"/>
    </w:rPr>
  </w:style>
  <w:style w:type="character" w:customStyle="1" w:styleId="104">
    <w:name w:val="纯文本 Char"/>
    <w:basedOn w:val="46"/>
    <w:link w:val="23"/>
    <w:qFormat/>
    <w:uiPriority w:val="0"/>
    <w:rPr>
      <w:rFonts w:ascii="宋体" w:hAnsi="Courier New" w:cs="Courier New"/>
      <w:sz w:val="24"/>
      <w:szCs w:val="21"/>
    </w:rPr>
  </w:style>
  <w:style w:type="character" w:customStyle="1" w:styleId="105">
    <w:name w:val="页脚 Char"/>
    <w:basedOn w:val="46"/>
    <w:qFormat/>
    <w:uiPriority w:val="99"/>
    <w:rPr>
      <w:rFonts w:ascii="Times New Roman" w:hAnsi="Times New Roman" w:eastAsia="等线" w:cs="Times New Roman"/>
      <w:kern w:val="0"/>
      <w:sz w:val="18"/>
      <w:szCs w:val="18"/>
    </w:rPr>
  </w:style>
  <w:style w:type="character" w:customStyle="1" w:styleId="106">
    <w:name w:val="正文文本 2 Char"/>
    <w:basedOn w:val="46"/>
    <w:link w:val="39"/>
    <w:qFormat/>
    <w:uiPriority w:val="0"/>
    <w:rPr>
      <w:rFonts w:ascii="Century" w:hAnsi="Century" w:eastAsia="MS Mincho"/>
      <w:sz w:val="24"/>
      <w:szCs w:val="24"/>
    </w:rPr>
  </w:style>
  <w:style w:type="paragraph" w:customStyle="1" w:styleId="107">
    <w:name w:val="无间隔1"/>
    <w:unhideWhenUsed/>
    <w:qFormat/>
    <w:uiPriority w:val="1"/>
    <w:pPr>
      <w:widowControl w:val="0"/>
      <w:autoSpaceDE w:val="0"/>
      <w:autoSpaceDN w:val="0"/>
      <w:adjustRightInd w:val="0"/>
    </w:pPr>
    <w:rPr>
      <w:rFonts w:hint="eastAsia" w:ascii="Times New Roman" w:hAnsi="Times New Roman" w:eastAsia="等线" w:cs="Times New Roman"/>
      <w:sz w:val="24"/>
      <w:lang w:val="en-US" w:eastAsia="zh-CN" w:bidi="ar-SA"/>
    </w:rPr>
  </w:style>
  <w:style w:type="paragraph" w:customStyle="1" w:styleId="108">
    <w:name w:val="样式"/>
    <w:basedOn w:val="1"/>
    <w:next w:val="70"/>
    <w:unhideWhenUsed/>
    <w:qFormat/>
    <w:uiPriority w:val="99"/>
    <w:pPr>
      <w:ind w:firstLine="420"/>
    </w:pPr>
    <w:rPr>
      <w:rFonts w:hint="eastAsia"/>
      <w:szCs w:val="20"/>
    </w:rPr>
  </w:style>
  <w:style w:type="character" w:customStyle="1" w:styleId="109">
    <w:name w:val="批注框文本 字符2"/>
    <w:basedOn w:val="46"/>
    <w:unhideWhenUsed/>
    <w:qFormat/>
    <w:uiPriority w:val="99"/>
    <w:rPr>
      <w:rFonts w:hint="default" w:ascii="Times New Roman" w:hAnsi="Times New Roman" w:eastAsia="等线"/>
      <w:sz w:val="18"/>
    </w:rPr>
  </w:style>
  <w:style w:type="character" w:customStyle="1" w:styleId="110">
    <w:name w:val="批注文字 字符1"/>
    <w:basedOn w:val="46"/>
    <w:unhideWhenUsed/>
    <w:qFormat/>
    <w:uiPriority w:val="99"/>
    <w:rPr>
      <w:rFonts w:hint="default" w:ascii="Times New Roman" w:hAnsi="Times New Roman" w:eastAsia="Times New Roman"/>
      <w:sz w:val="24"/>
    </w:rPr>
  </w:style>
  <w:style w:type="character" w:customStyle="1" w:styleId="111">
    <w:name w:val="页脚 字符2"/>
    <w:basedOn w:val="46"/>
    <w:unhideWhenUsed/>
    <w:qFormat/>
    <w:uiPriority w:val="99"/>
    <w:rPr>
      <w:rFonts w:hint="default" w:ascii="Times New Roman" w:hAnsi="Times New Roman" w:eastAsia="等线"/>
      <w:sz w:val="18"/>
    </w:rPr>
  </w:style>
  <w:style w:type="character" w:customStyle="1" w:styleId="112">
    <w:name w:val="正文文本 字符1"/>
    <w:basedOn w:val="46"/>
    <w:unhideWhenUsed/>
    <w:qFormat/>
    <w:uiPriority w:val="99"/>
    <w:rPr>
      <w:rFonts w:hint="default" w:ascii="Times New Roman" w:hAnsi="Times New Roman" w:eastAsia="Times New Roman"/>
      <w:sz w:val="24"/>
    </w:rPr>
  </w:style>
  <w:style w:type="character" w:customStyle="1" w:styleId="113">
    <w:name w:val="页眉 字符2"/>
    <w:basedOn w:val="46"/>
    <w:unhideWhenUsed/>
    <w:qFormat/>
    <w:uiPriority w:val="99"/>
    <w:rPr>
      <w:rFonts w:hint="default" w:ascii="Times New Roman" w:hAnsi="Times New Roman" w:eastAsia="等线"/>
      <w:sz w:val="18"/>
    </w:rPr>
  </w:style>
  <w:style w:type="character" w:customStyle="1" w:styleId="114">
    <w:name w:val="批注主题 字符2"/>
    <w:basedOn w:val="72"/>
    <w:unhideWhenUsed/>
    <w:qFormat/>
    <w:uiPriority w:val="99"/>
    <w:rPr>
      <w:rFonts w:hint="default" w:ascii="Times New Roman" w:hAnsi="Times New Roman" w:eastAsia="等线" w:cs="Times New Roman"/>
      <w:b/>
      <w:kern w:val="0"/>
      <w:sz w:val="24"/>
      <w:szCs w:val="20"/>
    </w:rPr>
  </w:style>
  <w:style w:type="character" w:customStyle="1" w:styleId="115">
    <w:name w:val="日期 字符2"/>
    <w:basedOn w:val="46"/>
    <w:unhideWhenUsed/>
    <w:qFormat/>
    <w:uiPriority w:val="99"/>
    <w:rPr>
      <w:rFonts w:hint="default" w:ascii="Times New Roman" w:hAnsi="Times New Roman" w:eastAsia="等线"/>
      <w:sz w:val="24"/>
    </w:rPr>
  </w:style>
  <w:style w:type="character" w:customStyle="1" w:styleId="116">
    <w:name w:val="批注框文本 字符1"/>
    <w:basedOn w:val="46"/>
    <w:unhideWhenUsed/>
    <w:qFormat/>
    <w:uiPriority w:val="99"/>
    <w:rPr>
      <w:rFonts w:hint="default" w:ascii="Times New Roman" w:hAnsi="Times New Roman" w:eastAsia="Times New Roman"/>
      <w:sz w:val="18"/>
    </w:rPr>
  </w:style>
  <w:style w:type="character" w:customStyle="1" w:styleId="117">
    <w:name w:val="批注主题 字符1"/>
    <w:basedOn w:val="72"/>
    <w:unhideWhenUsed/>
    <w:qFormat/>
    <w:uiPriority w:val="99"/>
    <w:rPr>
      <w:rFonts w:hint="default" w:ascii="Times New Roman" w:hAnsi="Times New Roman" w:eastAsia="Times New Roman" w:cs="Times New Roman"/>
      <w:b/>
      <w:kern w:val="0"/>
      <w:sz w:val="24"/>
      <w:szCs w:val="20"/>
    </w:rPr>
  </w:style>
  <w:style w:type="character" w:customStyle="1" w:styleId="118">
    <w:name w:val="批注文字 字符2"/>
    <w:basedOn w:val="46"/>
    <w:unhideWhenUsed/>
    <w:qFormat/>
    <w:uiPriority w:val="99"/>
    <w:rPr>
      <w:rFonts w:hint="default" w:ascii="Times New Roman" w:hAnsi="Times New Roman" w:eastAsia="等线"/>
      <w:sz w:val="24"/>
    </w:rPr>
  </w:style>
  <w:style w:type="character" w:customStyle="1" w:styleId="119">
    <w:name w:val="正文文本 字符2"/>
    <w:basedOn w:val="46"/>
    <w:unhideWhenUsed/>
    <w:qFormat/>
    <w:uiPriority w:val="99"/>
    <w:rPr>
      <w:rFonts w:hint="default" w:ascii="Times New Roman" w:hAnsi="Times New Roman" w:eastAsia="等线"/>
      <w:sz w:val="24"/>
    </w:rPr>
  </w:style>
  <w:style w:type="character" w:customStyle="1" w:styleId="120">
    <w:name w:val="页眉 字符1"/>
    <w:basedOn w:val="46"/>
    <w:unhideWhenUsed/>
    <w:qFormat/>
    <w:uiPriority w:val="99"/>
    <w:rPr>
      <w:rFonts w:hint="default" w:ascii="Times New Roman" w:hAnsi="Times New Roman" w:eastAsia="Times New Roman"/>
      <w:sz w:val="18"/>
    </w:rPr>
  </w:style>
  <w:style w:type="character" w:customStyle="1" w:styleId="121">
    <w:name w:val="页脚 字符1"/>
    <w:basedOn w:val="46"/>
    <w:unhideWhenUsed/>
    <w:qFormat/>
    <w:uiPriority w:val="99"/>
    <w:rPr>
      <w:rFonts w:hint="default" w:ascii="Times New Roman" w:hAnsi="Times New Roman" w:eastAsia="Times New Roman"/>
      <w:sz w:val="18"/>
    </w:rPr>
  </w:style>
  <w:style w:type="character" w:customStyle="1" w:styleId="122">
    <w:name w:val="日期 字符1"/>
    <w:basedOn w:val="46"/>
    <w:unhideWhenUsed/>
    <w:qFormat/>
    <w:uiPriority w:val="99"/>
    <w:rPr>
      <w:rFonts w:hint="default" w:ascii="Times New Roman" w:hAnsi="Times New Roman" w:eastAsia="Times New Roman"/>
      <w:sz w:val="24"/>
    </w:rPr>
  </w:style>
  <w:style w:type="character" w:customStyle="1" w:styleId="123">
    <w:name w:val="标题 4 Char"/>
    <w:basedOn w:val="46"/>
    <w:link w:val="5"/>
    <w:qFormat/>
    <w:uiPriority w:val="9"/>
    <w:rPr>
      <w:b/>
      <w:bCs/>
      <w:kern w:val="2"/>
      <w:sz w:val="21"/>
      <w:szCs w:val="24"/>
    </w:rPr>
  </w:style>
  <w:style w:type="character" w:customStyle="1" w:styleId="124">
    <w:name w:val="标题 5 Char"/>
    <w:basedOn w:val="46"/>
    <w:link w:val="6"/>
    <w:qFormat/>
    <w:uiPriority w:val="0"/>
    <w:rPr>
      <w:b/>
      <w:bCs/>
      <w:kern w:val="2"/>
      <w:sz w:val="44"/>
      <w:szCs w:val="24"/>
    </w:rPr>
  </w:style>
  <w:style w:type="character" w:customStyle="1" w:styleId="125">
    <w:name w:val="标题 6 Char"/>
    <w:basedOn w:val="46"/>
    <w:link w:val="7"/>
    <w:qFormat/>
    <w:uiPriority w:val="0"/>
    <w:rPr>
      <w:bCs/>
      <w:i/>
      <w:iCs/>
      <w:kern w:val="2"/>
      <w:sz w:val="16"/>
      <w:szCs w:val="24"/>
    </w:rPr>
  </w:style>
  <w:style w:type="character" w:customStyle="1" w:styleId="126">
    <w:name w:val="标题 7 Char"/>
    <w:basedOn w:val="46"/>
    <w:link w:val="8"/>
    <w:qFormat/>
    <w:uiPriority w:val="0"/>
    <w:rPr>
      <w:bCs/>
      <w:i/>
      <w:iCs/>
      <w:kern w:val="2"/>
      <w:sz w:val="16"/>
      <w:szCs w:val="24"/>
    </w:rPr>
  </w:style>
  <w:style w:type="character" w:customStyle="1" w:styleId="127">
    <w:name w:val="标题 8 Char"/>
    <w:basedOn w:val="46"/>
    <w:link w:val="9"/>
    <w:qFormat/>
    <w:uiPriority w:val="0"/>
    <w:rPr>
      <w:rFonts w:eastAsia="黑体"/>
      <w:b/>
      <w:bCs/>
      <w:kern w:val="2"/>
      <w:sz w:val="18"/>
      <w:szCs w:val="24"/>
    </w:rPr>
  </w:style>
  <w:style w:type="character" w:customStyle="1" w:styleId="128">
    <w:name w:val="标题 9 Char"/>
    <w:basedOn w:val="46"/>
    <w:link w:val="10"/>
    <w:qFormat/>
    <w:uiPriority w:val="0"/>
    <w:rPr>
      <w:rFonts w:ascii="Cambria" w:hAnsi="Cambria"/>
      <w:kern w:val="2"/>
      <w:sz w:val="21"/>
      <w:szCs w:val="21"/>
    </w:rPr>
  </w:style>
  <w:style w:type="character" w:customStyle="1" w:styleId="129">
    <w:name w:val="正文文本缩进 Char"/>
    <w:basedOn w:val="46"/>
    <w:link w:val="19"/>
    <w:qFormat/>
    <w:uiPriority w:val="0"/>
    <w:rPr>
      <w:kern w:val="2"/>
      <w:sz w:val="28"/>
      <w:szCs w:val="24"/>
    </w:rPr>
  </w:style>
  <w:style w:type="character" w:customStyle="1" w:styleId="130">
    <w:name w:val="正文文本缩进 2 Char"/>
    <w:basedOn w:val="46"/>
    <w:link w:val="26"/>
    <w:qFormat/>
    <w:uiPriority w:val="0"/>
    <w:rPr>
      <w:kern w:val="2"/>
      <w:sz w:val="28"/>
      <w:szCs w:val="24"/>
    </w:rPr>
  </w:style>
  <w:style w:type="character" w:customStyle="1" w:styleId="131">
    <w:name w:val="正文文本缩进 3 Char"/>
    <w:basedOn w:val="46"/>
    <w:link w:val="36"/>
    <w:qFormat/>
    <w:uiPriority w:val="0"/>
    <w:rPr>
      <w:kern w:val="2"/>
      <w:sz w:val="28"/>
      <w:szCs w:val="24"/>
    </w:rPr>
  </w:style>
  <w:style w:type="paragraph" w:customStyle="1" w:styleId="132">
    <w:name w:val="xl27"/>
    <w:basedOn w:val="1"/>
    <w:qFormat/>
    <w:uiPriority w:val="0"/>
    <w:pPr>
      <w:widowControl/>
      <w:pBdr>
        <w:left w:val="single" w:color="auto" w:sz="4" w:space="0"/>
        <w:right w:val="single" w:color="auto" w:sz="4" w:space="0"/>
      </w:pBdr>
      <w:spacing w:before="100" w:beforeAutospacing="1" w:after="100" w:afterAutospacing="1" w:line="320" w:lineRule="exact"/>
      <w:jc w:val="center"/>
      <w:textAlignment w:val="center"/>
    </w:pPr>
    <w:rPr>
      <w:rFonts w:hAnsi="宋体"/>
      <w:kern w:val="0"/>
      <w:sz w:val="20"/>
      <w:szCs w:val="20"/>
    </w:rPr>
  </w:style>
  <w:style w:type="paragraph" w:customStyle="1" w:styleId="133">
    <w:name w:val="xl30"/>
    <w:basedOn w:val="1"/>
    <w:qFormat/>
    <w:uiPriority w:val="0"/>
    <w:pPr>
      <w:widowControl/>
      <w:spacing w:before="100" w:beforeAutospacing="1" w:after="100" w:afterAutospacing="1" w:line="320" w:lineRule="exact"/>
      <w:jc w:val="center"/>
      <w:textAlignment w:val="center"/>
    </w:pPr>
    <w:rPr>
      <w:rFonts w:hAnsi="宋体"/>
      <w:kern w:val="0"/>
      <w:sz w:val="24"/>
    </w:rPr>
  </w:style>
  <w:style w:type="character" w:customStyle="1" w:styleId="134">
    <w:name w:val="已访问的超链接1"/>
    <w:qFormat/>
    <w:uiPriority w:val="99"/>
    <w:rPr>
      <w:color w:val="800080"/>
      <w:u w:val="single"/>
    </w:rPr>
  </w:style>
  <w:style w:type="paragraph" w:customStyle="1" w:styleId="135">
    <w:name w:val="封面正文"/>
    <w:qFormat/>
    <w:uiPriority w:val="0"/>
    <w:pPr>
      <w:jc w:val="both"/>
    </w:pPr>
    <w:rPr>
      <w:rFonts w:ascii="Times New Roman" w:hAnsi="Times New Roman" w:eastAsia="宋体" w:cs="Times New Roman"/>
      <w:lang w:val="en-US" w:eastAsia="zh-CN" w:bidi="ar-SA"/>
    </w:rPr>
  </w:style>
  <w:style w:type="paragraph" w:customStyle="1" w:styleId="136">
    <w:name w:val="段"/>
    <w:link w:val="13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37">
    <w:name w:val="段 Char"/>
    <w:link w:val="136"/>
    <w:qFormat/>
    <w:uiPriority w:val="0"/>
    <w:rPr>
      <w:rFonts w:ascii="宋体"/>
      <w:sz w:val="21"/>
    </w:rPr>
  </w:style>
  <w:style w:type="paragraph" w:customStyle="1" w:styleId="138">
    <w:name w:val="一级条标题"/>
    <w:basedOn w:val="1"/>
    <w:next w:val="1"/>
    <w:qFormat/>
    <w:uiPriority w:val="0"/>
    <w:pPr>
      <w:widowControl/>
      <w:tabs>
        <w:tab w:val="left" w:pos="360"/>
      </w:tabs>
      <w:spacing w:line="320" w:lineRule="exact"/>
      <w:outlineLvl w:val="2"/>
    </w:pPr>
    <w:rPr>
      <w:rFonts w:ascii="黑体" w:eastAsia="黑体"/>
      <w:kern w:val="0"/>
      <w:szCs w:val="20"/>
    </w:rPr>
  </w:style>
  <w:style w:type="paragraph" w:customStyle="1" w:styleId="139">
    <w:name w:val="二级条标题"/>
    <w:basedOn w:val="138"/>
    <w:next w:val="1"/>
    <w:qFormat/>
    <w:uiPriority w:val="0"/>
    <w:pPr>
      <w:outlineLvl w:val="3"/>
    </w:pPr>
  </w:style>
  <w:style w:type="paragraph" w:customStyle="1" w:styleId="140">
    <w:name w:val="三级条标题"/>
    <w:basedOn w:val="139"/>
    <w:next w:val="1"/>
    <w:qFormat/>
    <w:uiPriority w:val="0"/>
    <w:pPr>
      <w:outlineLvl w:val="4"/>
    </w:pPr>
  </w:style>
  <w:style w:type="paragraph" w:customStyle="1" w:styleId="141">
    <w:name w:val="四级条标题"/>
    <w:basedOn w:val="140"/>
    <w:next w:val="1"/>
    <w:qFormat/>
    <w:uiPriority w:val="0"/>
    <w:pPr>
      <w:outlineLvl w:val="5"/>
    </w:pPr>
  </w:style>
  <w:style w:type="paragraph" w:customStyle="1" w:styleId="142">
    <w:name w:val="章标题"/>
    <w:next w:val="136"/>
    <w:qFormat/>
    <w:uiPriority w:val="0"/>
    <w:pPr>
      <w:numPr>
        <w:ilvl w:val="1"/>
        <w:numId w:val="2"/>
      </w:numPr>
      <w:spacing w:before="50" w:after="50"/>
      <w:jc w:val="both"/>
      <w:outlineLvl w:val="1"/>
    </w:pPr>
    <w:rPr>
      <w:rFonts w:ascii="黑体" w:hAnsi="Times New Roman" w:eastAsia="黑体" w:cs="Times New Roman"/>
      <w:sz w:val="21"/>
      <w:lang w:val="en-US" w:eastAsia="zh-CN" w:bidi="ar-SA"/>
    </w:rPr>
  </w:style>
  <w:style w:type="paragraph" w:customStyle="1" w:styleId="143">
    <w:name w:val="前言、引言标题"/>
    <w:next w:val="1"/>
    <w:qFormat/>
    <w:uiPriority w:val="0"/>
    <w:pPr>
      <w:numPr>
        <w:ilvl w:val="0"/>
        <w:numId w:val="2"/>
      </w:numPr>
      <w:shd w:val="clear" w:color="FFFFFF" w:fill="FFFFFF"/>
      <w:tabs>
        <w:tab w:val="left" w:pos="903"/>
      </w:tabs>
      <w:spacing w:before="640" w:after="560"/>
      <w:ind w:left="903" w:hanging="315"/>
      <w:jc w:val="center"/>
      <w:outlineLvl w:val="0"/>
    </w:pPr>
    <w:rPr>
      <w:rFonts w:ascii="黑体" w:hAnsi="Times New Roman" w:eastAsia="黑体" w:cs="Times New Roman"/>
      <w:sz w:val="32"/>
      <w:lang w:val="en-US" w:eastAsia="zh-CN" w:bidi="ar-SA"/>
    </w:rPr>
  </w:style>
  <w:style w:type="paragraph" w:customStyle="1" w:styleId="144">
    <w:name w:val="目次、标准名称标题"/>
    <w:basedOn w:val="143"/>
    <w:next w:val="136"/>
    <w:qFormat/>
    <w:uiPriority w:val="0"/>
    <w:pPr>
      <w:numPr>
        <w:numId w:val="0"/>
      </w:numPr>
      <w:spacing w:line="460" w:lineRule="exact"/>
    </w:pPr>
  </w:style>
  <w:style w:type="paragraph" w:customStyle="1" w:styleId="1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character" w:customStyle="1" w:styleId="148">
    <w:name w:val="HTML Markup"/>
    <w:qFormat/>
    <w:uiPriority w:val="0"/>
    <w:rPr>
      <w:vanish/>
      <w:color w:val="FF0000"/>
    </w:rPr>
  </w:style>
  <w:style w:type="paragraph" w:customStyle="1" w:styleId="149">
    <w:name w:val="五级条标题"/>
    <w:basedOn w:val="141"/>
    <w:next w:val="1"/>
    <w:qFormat/>
    <w:uiPriority w:val="0"/>
    <w:pPr>
      <w:numPr>
        <w:ilvl w:val="3"/>
        <w:numId w:val="3"/>
      </w:numPr>
      <w:outlineLvl w:val="6"/>
    </w:pPr>
  </w:style>
  <w:style w:type="paragraph" w:customStyle="1" w:styleId="150">
    <w:name w:val="附录标识"/>
    <w:basedOn w:val="143"/>
    <w:qFormat/>
    <w:uiPriority w:val="0"/>
    <w:pPr>
      <w:numPr>
        <w:ilvl w:val="4"/>
        <w:numId w:val="3"/>
      </w:numPr>
      <w:tabs>
        <w:tab w:val="left" w:pos="6405"/>
      </w:tabs>
      <w:spacing w:after="200"/>
    </w:pPr>
    <w:rPr>
      <w:sz w:val="21"/>
    </w:rPr>
  </w:style>
  <w:style w:type="paragraph" w:customStyle="1" w:styleId="151">
    <w:name w:val="附录章标题"/>
    <w:next w:val="136"/>
    <w:qFormat/>
    <w:uiPriority w:val="0"/>
    <w:pPr>
      <w:numPr>
        <w:ilvl w:val="5"/>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52">
    <w:name w:val="附录一级条标题"/>
    <w:basedOn w:val="151"/>
    <w:next w:val="136"/>
    <w:qFormat/>
    <w:uiPriority w:val="0"/>
    <w:pPr>
      <w:numPr>
        <w:ilvl w:val="0"/>
        <w:numId w:val="0"/>
      </w:numPr>
      <w:tabs>
        <w:tab w:val="left" w:pos="828"/>
      </w:tabs>
      <w:autoSpaceDN w:val="0"/>
      <w:spacing w:beforeLines="0" w:afterLines="0"/>
      <w:ind w:left="828" w:hanging="240"/>
      <w:outlineLvl w:val="2"/>
    </w:pPr>
  </w:style>
  <w:style w:type="paragraph" w:customStyle="1" w:styleId="153">
    <w:name w:val="附录二级条标题"/>
    <w:basedOn w:val="152"/>
    <w:next w:val="136"/>
    <w:qFormat/>
    <w:uiPriority w:val="0"/>
    <w:pPr>
      <w:numPr>
        <w:ilvl w:val="4"/>
      </w:numPr>
      <w:tabs>
        <w:tab w:val="left" w:pos="360"/>
      </w:tabs>
      <w:ind w:left="360" w:hanging="360"/>
      <w:outlineLvl w:val="3"/>
    </w:pPr>
  </w:style>
  <w:style w:type="paragraph" w:customStyle="1" w:styleId="154">
    <w:name w:val="附录三级条标题"/>
    <w:basedOn w:val="153"/>
    <w:next w:val="136"/>
    <w:qFormat/>
    <w:uiPriority w:val="0"/>
    <w:pPr>
      <w:numPr>
        <w:ilvl w:val="5"/>
      </w:numPr>
      <w:tabs>
        <w:tab w:val="left" w:pos="1068"/>
      </w:tabs>
      <w:ind w:left="1068" w:hanging="360"/>
      <w:outlineLvl w:val="4"/>
    </w:pPr>
  </w:style>
  <w:style w:type="paragraph" w:customStyle="1" w:styleId="155">
    <w:name w:val="附录四级条标题"/>
    <w:basedOn w:val="154"/>
    <w:next w:val="136"/>
    <w:qFormat/>
    <w:uiPriority w:val="0"/>
    <w:pPr>
      <w:numPr>
        <w:ilvl w:val="6"/>
      </w:numPr>
      <w:tabs>
        <w:tab w:val="left" w:pos="960"/>
      </w:tabs>
      <w:ind w:left="960" w:hanging="360"/>
      <w:outlineLvl w:val="5"/>
    </w:pPr>
  </w:style>
  <w:style w:type="paragraph" w:customStyle="1" w:styleId="156">
    <w:name w:val="附录五级条标题"/>
    <w:basedOn w:val="155"/>
    <w:next w:val="136"/>
    <w:qFormat/>
    <w:uiPriority w:val="0"/>
    <w:pPr>
      <w:numPr>
        <w:ilvl w:val="0"/>
        <w:numId w:val="4"/>
      </w:numPr>
      <w:tabs>
        <w:tab w:val="left" w:pos="435"/>
        <w:tab w:val="clear" w:pos="1140"/>
      </w:tabs>
      <w:ind w:left="435" w:hanging="165"/>
      <w:outlineLvl w:val="6"/>
    </w:pPr>
  </w:style>
  <w:style w:type="paragraph" w:customStyle="1" w:styleId="157">
    <w:name w:val="列项——"/>
    <w:qFormat/>
    <w:uiPriority w:val="0"/>
    <w:pPr>
      <w:widowControl w:val="0"/>
      <w:numPr>
        <w:ilvl w:val="0"/>
        <w:numId w:val="5"/>
      </w:numPr>
      <w:tabs>
        <w:tab w:val="left" w:pos="854"/>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8">
    <w:name w:val="列项·"/>
    <w:qFormat/>
    <w:uiPriority w:val="0"/>
    <w:pPr>
      <w:numPr>
        <w:ilvl w:val="6"/>
        <w:numId w:val="6"/>
      </w:numPr>
      <w:tabs>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159">
    <w:name w:val="三级无标题条"/>
    <w:basedOn w:val="1"/>
    <w:qFormat/>
    <w:uiPriority w:val="0"/>
    <w:pPr>
      <w:numPr>
        <w:ilvl w:val="0"/>
        <w:numId w:val="7"/>
      </w:numPr>
      <w:tabs>
        <w:tab w:val="clear" w:pos="1120"/>
      </w:tabs>
      <w:spacing w:line="320" w:lineRule="exact"/>
      <w:ind w:firstLine="0"/>
    </w:pPr>
  </w:style>
  <w:style w:type="paragraph" w:customStyle="1" w:styleId="160">
    <w:name w:val="示例"/>
    <w:next w:val="136"/>
    <w:qFormat/>
    <w:uiPriority w:val="0"/>
    <w:pPr>
      <w:numPr>
        <w:ilvl w:val="5"/>
        <w:numId w:val="6"/>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61">
    <w:name w:val="四级无标题条"/>
    <w:basedOn w:val="1"/>
    <w:qFormat/>
    <w:uiPriority w:val="0"/>
    <w:pPr>
      <w:spacing w:line="320" w:lineRule="exact"/>
    </w:pPr>
  </w:style>
  <w:style w:type="paragraph" w:customStyle="1" w:styleId="162">
    <w:name w:val="五级无标题条"/>
    <w:basedOn w:val="1"/>
    <w:qFormat/>
    <w:uiPriority w:val="0"/>
    <w:pPr>
      <w:numPr>
        <w:ilvl w:val="2"/>
        <w:numId w:val="6"/>
      </w:numPr>
      <w:spacing w:line="320" w:lineRule="exact"/>
    </w:pPr>
  </w:style>
  <w:style w:type="paragraph" w:customStyle="1" w:styleId="163">
    <w:name w:val="一级无标题条"/>
    <w:basedOn w:val="1"/>
    <w:qFormat/>
    <w:uiPriority w:val="0"/>
    <w:pPr>
      <w:numPr>
        <w:ilvl w:val="0"/>
        <w:numId w:val="8"/>
      </w:numPr>
      <w:spacing w:line="320" w:lineRule="exact"/>
    </w:pPr>
  </w:style>
  <w:style w:type="paragraph" w:customStyle="1" w:styleId="164">
    <w:name w:val="正文表标题"/>
    <w:next w:val="136"/>
    <w:qFormat/>
    <w:uiPriority w:val="0"/>
    <w:pPr>
      <w:numPr>
        <w:ilvl w:val="0"/>
        <w:numId w:val="9"/>
      </w:numPr>
      <w:jc w:val="center"/>
    </w:pPr>
    <w:rPr>
      <w:rFonts w:ascii="黑体" w:hAnsi="Times New Roman" w:eastAsia="黑体" w:cs="Times New Roman"/>
      <w:sz w:val="21"/>
      <w:lang w:val="en-US" w:eastAsia="zh-CN" w:bidi="ar-SA"/>
    </w:rPr>
  </w:style>
  <w:style w:type="paragraph" w:customStyle="1" w:styleId="165">
    <w:name w:val="正文图标题"/>
    <w:next w:val="136"/>
    <w:qFormat/>
    <w:uiPriority w:val="0"/>
    <w:pPr>
      <w:numPr>
        <w:ilvl w:val="0"/>
        <w:numId w:val="10"/>
      </w:numPr>
      <w:tabs>
        <w:tab w:val="clear" w:pos="1140"/>
      </w:tabs>
      <w:ind w:left="0" w:firstLine="0"/>
      <w:jc w:val="center"/>
    </w:pPr>
    <w:rPr>
      <w:rFonts w:ascii="黑体" w:hAnsi="Times New Roman" w:eastAsia="黑体" w:cs="Times New Roman"/>
      <w:sz w:val="21"/>
      <w:lang w:val="en-US" w:eastAsia="zh-CN" w:bidi="ar-SA"/>
    </w:rPr>
  </w:style>
  <w:style w:type="paragraph" w:customStyle="1" w:styleId="166">
    <w:name w:val="注："/>
    <w:next w:val="136"/>
    <w:qFormat/>
    <w:uiPriority w:val="0"/>
    <w:pPr>
      <w:widowControl w:val="0"/>
      <w:numPr>
        <w:ilvl w:val="0"/>
        <w:numId w:val="11"/>
      </w:numPr>
      <w:tabs>
        <w:tab w:val="clear" w:pos="900"/>
      </w:tabs>
      <w:autoSpaceDE w:val="0"/>
      <w:autoSpaceDN w:val="0"/>
      <w:ind w:left="840" w:hanging="420"/>
      <w:jc w:val="both"/>
    </w:pPr>
    <w:rPr>
      <w:rFonts w:ascii="宋体" w:hAnsi="Times New Roman" w:eastAsia="宋体" w:cs="Times New Roman"/>
      <w:sz w:val="18"/>
      <w:lang w:val="en-US" w:eastAsia="zh-CN" w:bidi="ar-SA"/>
    </w:rPr>
  </w:style>
  <w:style w:type="paragraph" w:customStyle="1" w:styleId="167">
    <w:name w:val="注×："/>
    <w:qFormat/>
    <w:uiPriority w:val="0"/>
    <w:pPr>
      <w:widowControl w:val="0"/>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68">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9">
    <w:name w:val="列项——（一级）"/>
    <w:qFormat/>
    <w:uiPriority w:val="0"/>
    <w:pPr>
      <w:widowControl w:val="0"/>
      <w:jc w:val="both"/>
    </w:pPr>
    <w:rPr>
      <w:rFonts w:ascii="宋体" w:hAnsi="Times New Roman" w:eastAsia="宋体" w:cs="Times New Roman"/>
      <w:sz w:val="21"/>
      <w:lang w:val="en-US" w:eastAsia="zh-CN" w:bidi="ar-SA"/>
    </w:rPr>
  </w:style>
  <w:style w:type="character" w:customStyle="1" w:styleId="170">
    <w:name w:val="批注框文本 Char1"/>
    <w:basedOn w:val="46"/>
    <w:semiHidden/>
    <w:qFormat/>
    <w:uiPriority w:val="99"/>
    <w:rPr>
      <w:rFonts w:ascii="Times New Roman" w:hAnsi="Times New Roman" w:eastAsia="宋体" w:cs="Times New Roman"/>
      <w:sz w:val="18"/>
      <w:szCs w:val="18"/>
    </w:rPr>
  </w:style>
  <w:style w:type="character" w:customStyle="1" w:styleId="171">
    <w:name w:val="标题 3 Char1"/>
    <w:qFormat/>
    <w:uiPriority w:val="0"/>
    <w:rPr>
      <w:rFonts w:ascii="Times New Roman" w:hAnsi="Times New Roman"/>
      <w:b/>
      <w:bCs/>
      <w:kern w:val="2"/>
      <w:sz w:val="32"/>
      <w:szCs w:val="32"/>
    </w:rPr>
  </w:style>
  <w:style w:type="paragraph" w:customStyle="1" w:styleId="172">
    <w:name w:val="样式 宋体 四号 行距: 1.5 倍行距"/>
    <w:basedOn w:val="1"/>
    <w:qFormat/>
    <w:uiPriority w:val="0"/>
    <w:pPr>
      <w:numPr>
        <w:ilvl w:val="0"/>
        <w:numId w:val="12"/>
      </w:numPr>
      <w:spacing w:line="360" w:lineRule="auto"/>
    </w:pPr>
    <w:rPr>
      <w:rFonts w:hAnsi="宋体" w:cs="宋体"/>
      <w:sz w:val="28"/>
      <w:szCs w:val="20"/>
    </w:rPr>
  </w:style>
  <w:style w:type="character" w:customStyle="1" w:styleId="173">
    <w:name w:val="副标题 Char"/>
    <w:basedOn w:val="46"/>
    <w:link w:val="33"/>
    <w:qFormat/>
    <w:uiPriority w:val="0"/>
    <w:rPr>
      <w:rFonts w:ascii="Cambria" w:hAnsi="Cambria"/>
      <w:b/>
      <w:bCs/>
      <w:kern w:val="28"/>
      <w:sz w:val="32"/>
      <w:szCs w:val="32"/>
    </w:rPr>
  </w:style>
  <w:style w:type="table" w:customStyle="1" w:styleId="174">
    <w:name w:val="网格型1"/>
    <w:basedOn w:val="4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75">
    <w:name w:val="HTML 预设格式 Char"/>
    <w:basedOn w:val="46"/>
    <w:link w:val="40"/>
    <w:qFormat/>
    <w:uiPriority w:val="99"/>
    <w:rPr>
      <w:rFonts w:ascii="宋体" w:hAnsi="宋体"/>
      <w:sz w:val="24"/>
      <w:szCs w:val="24"/>
    </w:rPr>
  </w:style>
  <w:style w:type="table" w:customStyle="1" w:styleId="176">
    <w:name w:val="网格型11"/>
    <w:basedOn w:val="4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7">
    <w:name w:val="一级标题"/>
    <w:basedOn w:val="2"/>
    <w:link w:val="178"/>
    <w:qFormat/>
    <w:uiPriority w:val="0"/>
    <w:pPr>
      <w:spacing w:before="340" w:after="330"/>
      <w:ind w:firstLine="643" w:firstLineChars="200"/>
    </w:pPr>
    <w:rPr>
      <w:rFonts w:eastAsia="黑体"/>
    </w:rPr>
  </w:style>
  <w:style w:type="character" w:customStyle="1" w:styleId="178">
    <w:name w:val="一级标题 Char"/>
    <w:link w:val="177"/>
    <w:qFormat/>
    <w:uiPriority w:val="0"/>
    <w:rPr>
      <w:rFonts w:eastAsia="黑体"/>
      <w:b/>
      <w:bCs/>
      <w:kern w:val="44"/>
      <w:sz w:val="32"/>
      <w:szCs w:val="44"/>
    </w:rPr>
  </w:style>
  <w:style w:type="paragraph" w:customStyle="1" w:styleId="179">
    <w:name w:val="二级标题"/>
    <w:basedOn w:val="1"/>
    <w:link w:val="180"/>
    <w:qFormat/>
    <w:uiPriority w:val="0"/>
    <w:pPr>
      <w:keepNext/>
      <w:keepLines/>
      <w:spacing w:before="260" w:after="260" w:line="415" w:lineRule="auto"/>
      <w:ind w:firstLine="200" w:firstLineChars="200"/>
      <w:jc w:val="left"/>
      <w:outlineLvl w:val="1"/>
    </w:pPr>
    <w:rPr>
      <w:rFonts w:ascii="Arial" w:hAnsi="Arial" w:eastAsia="黑体"/>
      <w:b/>
      <w:bCs/>
      <w:sz w:val="32"/>
      <w:szCs w:val="20"/>
    </w:rPr>
  </w:style>
  <w:style w:type="character" w:customStyle="1" w:styleId="180">
    <w:name w:val="二级标题 Char"/>
    <w:link w:val="179"/>
    <w:qFormat/>
    <w:uiPriority w:val="0"/>
    <w:rPr>
      <w:rFonts w:ascii="Arial" w:hAnsi="Arial" w:eastAsia="黑体"/>
      <w:b/>
      <w:bCs/>
      <w:kern w:val="2"/>
      <w:sz w:val="32"/>
    </w:rPr>
  </w:style>
  <w:style w:type="paragraph" w:customStyle="1" w:styleId="181">
    <w:name w:val="三级标题"/>
    <w:basedOn w:val="1"/>
    <w:link w:val="182"/>
    <w:qFormat/>
    <w:uiPriority w:val="0"/>
    <w:pPr>
      <w:spacing w:line="360" w:lineRule="auto"/>
    </w:pPr>
    <w:rPr>
      <w:sz w:val="24"/>
    </w:rPr>
  </w:style>
  <w:style w:type="character" w:customStyle="1" w:styleId="182">
    <w:name w:val="三级标题 Char"/>
    <w:link w:val="181"/>
    <w:qFormat/>
    <w:uiPriority w:val="0"/>
    <w:rPr>
      <w:kern w:val="2"/>
      <w:sz w:val="24"/>
      <w:szCs w:val="24"/>
    </w:rPr>
  </w:style>
  <w:style w:type="character" w:customStyle="1" w:styleId="183">
    <w:name w:val="正文文本缩进 2 Char1"/>
    <w:semiHidden/>
    <w:qFormat/>
    <w:uiPriority w:val="99"/>
    <w:rPr>
      <w:rFonts w:ascii="Times New Roman" w:hAnsi="Times New Roman"/>
      <w:sz w:val="24"/>
    </w:rPr>
  </w:style>
  <w:style w:type="character" w:customStyle="1" w:styleId="184">
    <w:name w:val="正文文本缩进 Char1"/>
    <w:semiHidden/>
    <w:qFormat/>
    <w:uiPriority w:val="99"/>
    <w:rPr>
      <w:rFonts w:ascii="Times New Roman" w:hAnsi="Times New Roman"/>
      <w:sz w:val="24"/>
    </w:rPr>
  </w:style>
  <w:style w:type="character" w:customStyle="1" w:styleId="185">
    <w:name w:val="日期 Char1"/>
    <w:semiHidden/>
    <w:qFormat/>
    <w:uiPriority w:val="99"/>
    <w:rPr>
      <w:rFonts w:ascii="Times New Roman" w:hAnsi="Times New Roman"/>
      <w:sz w:val="24"/>
    </w:rPr>
  </w:style>
  <w:style w:type="character" w:customStyle="1" w:styleId="186">
    <w:name w:val="正文文本缩进 3 Char1"/>
    <w:semiHidden/>
    <w:qFormat/>
    <w:uiPriority w:val="99"/>
    <w:rPr>
      <w:rFonts w:ascii="Times New Roman" w:hAnsi="Times New Roman"/>
      <w:sz w:val="16"/>
      <w:szCs w:val="16"/>
    </w:rPr>
  </w:style>
  <w:style w:type="character" w:customStyle="1" w:styleId="187">
    <w:name w:val="highlight1"/>
    <w:qFormat/>
    <w:uiPriority w:val="0"/>
    <w:rPr>
      <w:shd w:val="clear" w:color="auto" w:fill="FFFF00"/>
    </w:rPr>
  </w:style>
  <w:style w:type="paragraph" w:customStyle="1" w:styleId="188">
    <w:name w:val="Char1"/>
    <w:basedOn w:val="6"/>
    <w:qFormat/>
    <w:uiPriority w:val="0"/>
    <w:pPr>
      <w:keepLines/>
      <w:widowControl/>
      <w:tabs>
        <w:tab w:val="left" w:pos="1008"/>
      </w:tabs>
      <w:adjustRightInd/>
      <w:snapToGrid/>
      <w:spacing w:before="280" w:after="160" w:line="240" w:lineRule="exact"/>
      <w:ind w:left="1008" w:hanging="1008"/>
      <w:jc w:val="left"/>
    </w:pPr>
    <w:rPr>
      <w:rFonts w:ascii="Verdana" w:hAnsi="Verdana"/>
      <w:b w:val="0"/>
      <w:kern w:val="0"/>
      <w:sz w:val="20"/>
      <w:szCs w:val="20"/>
      <w:lang w:eastAsia="en-US"/>
    </w:rPr>
  </w:style>
  <w:style w:type="paragraph" w:customStyle="1" w:styleId="189">
    <w:name w:val="reader-word-layer"/>
    <w:basedOn w:val="1"/>
    <w:qFormat/>
    <w:uiPriority w:val="0"/>
    <w:pPr>
      <w:widowControl/>
      <w:spacing w:before="100" w:beforeAutospacing="1" w:after="100" w:afterAutospacing="1"/>
      <w:jc w:val="left"/>
    </w:pPr>
    <w:rPr>
      <w:rFonts w:hAnsi="宋体" w:cs="宋体"/>
      <w:kern w:val="0"/>
      <w:sz w:val="24"/>
    </w:rPr>
  </w:style>
  <w:style w:type="paragraph" w:customStyle="1" w:styleId="190">
    <w:name w:val="font5"/>
    <w:basedOn w:val="1"/>
    <w:qFormat/>
    <w:uiPriority w:val="0"/>
    <w:pPr>
      <w:widowControl/>
      <w:spacing w:before="100" w:beforeAutospacing="1" w:after="100" w:afterAutospacing="1" w:line="360" w:lineRule="auto"/>
      <w:ind w:firstLine="200" w:firstLineChars="200"/>
      <w:jc w:val="left"/>
    </w:pPr>
    <w:rPr>
      <w:rFonts w:hAnsi="宋体" w:cs="宋体"/>
      <w:kern w:val="0"/>
      <w:sz w:val="18"/>
      <w:szCs w:val="18"/>
    </w:rPr>
  </w:style>
  <w:style w:type="paragraph" w:customStyle="1" w:styleId="191">
    <w:name w:val="font6"/>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192">
    <w:name w:val="font7"/>
    <w:basedOn w:val="1"/>
    <w:qFormat/>
    <w:uiPriority w:val="0"/>
    <w:pPr>
      <w:widowControl/>
      <w:spacing w:before="100" w:beforeAutospacing="1" w:after="100" w:afterAutospacing="1" w:line="360" w:lineRule="auto"/>
      <w:ind w:firstLine="200" w:firstLineChars="200"/>
      <w:jc w:val="left"/>
    </w:pPr>
    <w:rPr>
      <w:rFonts w:hAnsi="宋体" w:cs="宋体"/>
      <w:kern w:val="0"/>
      <w:sz w:val="18"/>
      <w:szCs w:val="18"/>
    </w:rPr>
  </w:style>
  <w:style w:type="paragraph" w:customStyle="1" w:styleId="193">
    <w:name w:val="font8"/>
    <w:basedOn w:val="1"/>
    <w:qFormat/>
    <w:uiPriority w:val="0"/>
    <w:pPr>
      <w:widowControl/>
      <w:spacing w:before="100" w:beforeAutospacing="1" w:after="100" w:afterAutospacing="1" w:line="360" w:lineRule="auto"/>
      <w:ind w:firstLine="200" w:firstLineChars="200"/>
      <w:jc w:val="left"/>
    </w:pPr>
    <w:rPr>
      <w:rFonts w:hAnsi="宋体" w:cs="宋体"/>
      <w:b/>
      <w:bCs/>
      <w:kern w:val="0"/>
      <w:sz w:val="22"/>
      <w:szCs w:val="22"/>
    </w:rPr>
  </w:style>
  <w:style w:type="paragraph" w:customStyle="1" w:styleId="194">
    <w:name w:val="font9"/>
    <w:basedOn w:val="1"/>
    <w:qFormat/>
    <w:uiPriority w:val="0"/>
    <w:pPr>
      <w:widowControl/>
      <w:spacing w:before="100" w:beforeAutospacing="1" w:after="100" w:afterAutospacing="1" w:line="360" w:lineRule="auto"/>
      <w:ind w:firstLine="200" w:firstLineChars="200"/>
      <w:jc w:val="left"/>
    </w:pPr>
    <w:rPr>
      <w:kern w:val="0"/>
      <w:sz w:val="22"/>
      <w:szCs w:val="22"/>
    </w:rPr>
  </w:style>
  <w:style w:type="paragraph" w:customStyle="1" w:styleId="195">
    <w:name w:val="font10"/>
    <w:basedOn w:val="1"/>
    <w:qFormat/>
    <w:uiPriority w:val="0"/>
    <w:pPr>
      <w:widowControl/>
      <w:spacing w:before="100" w:beforeAutospacing="1" w:after="100" w:afterAutospacing="1" w:line="360" w:lineRule="auto"/>
      <w:ind w:firstLine="200" w:firstLineChars="200"/>
      <w:jc w:val="left"/>
    </w:pPr>
    <w:rPr>
      <w:b/>
      <w:bCs/>
      <w:kern w:val="0"/>
      <w:sz w:val="22"/>
      <w:szCs w:val="22"/>
    </w:rPr>
  </w:style>
  <w:style w:type="paragraph" w:customStyle="1" w:styleId="196">
    <w:name w:val="font11"/>
    <w:basedOn w:val="1"/>
    <w:qFormat/>
    <w:uiPriority w:val="0"/>
    <w:pPr>
      <w:widowControl/>
      <w:spacing w:before="100" w:beforeAutospacing="1" w:after="100" w:afterAutospacing="1" w:line="360" w:lineRule="auto"/>
      <w:ind w:firstLine="200" w:firstLineChars="200"/>
      <w:jc w:val="left"/>
    </w:pPr>
    <w:rPr>
      <w:b/>
      <w:bCs/>
      <w:kern w:val="0"/>
      <w:sz w:val="22"/>
      <w:szCs w:val="22"/>
    </w:rPr>
  </w:style>
  <w:style w:type="paragraph" w:customStyle="1" w:styleId="197">
    <w:name w:val="font12"/>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198">
    <w:name w:val="font13"/>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199">
    <w:name w:val="font14"/>
    <w:basedOn w:val="1"/>
    <w:qFormat/>
    <w:uiPriority w:val="0"/>
    <w:pPr>
      <w:widowControl/>
      <w:spacing w:before="100" w:beforeAutospacing="1" w:after="100" w:afterAutospacing="1" w:line="360" w:lineRule="auto"/>
      <w:ind w:firstLine="200" w:firstLineChars="200"/>
      <w:jc w:val="left"/>
    </w:pPr>
    <w:rPr>
      <w:rFonts w:hAnsi="宋体" w:cs="宋体"/>
      <w:kern w:val="0"/>
      <w:sz w:val="24"/>
      <w:szCs w:val="21"/>
    </w:rPr>
  </w:style>
  <w:style w:type="paragraph" w:customStyle="1" w:styleId="200">
    <w:name w:val="font15"/>
    <w:basedOn w:val="1"/>
    <w:qFormat/>
    <w:uiPriority w:val="0"/>
    <w:pPr>
      <w:widowControl/>
      <w:spacing w:before="100" w:beforeAutospacing="1" w:after="100" w:afterAutospacing="1" w:line="360" w:lineRule="auto"/>
      <w:ind w:firstLine="200" w:firstLineChars="200"/>
      <w:jc w:val="left"/>
    </w:pPr>
    <w:rPr>
      <w:rFonts w:hAnsi="宋体" w:cs="宋体"/>
      <w:kern w:val="0"/>
      <w:sz w:val="24"/>
      <w:szCs w:val="21"/>
    </w:rPr>
  </w:style>
  <w:style w:type="paragraph" w:customStyle="1" w:styleId="201">
    <w:name w:val="xl63"/>
    <w:basedOn w:val="1"/>
    <w:qFormat/>
    <w:uiPriority w:val="0"/>
    <w:pPr>
      <w:widowControl/>
      <w:spacing w:before="100" w:beforeAutospacing="1" w:after="100" w:afterAutospacing="1" w:line="360" w:lineRule="auto"/>
      <w:ind w:firstLine="200" w:firstLineChars="200"/>
      <w:jc w:val="left"/>
    </w:pPr>
    <w:rPr>
      <w:rFonts w:hAnsi="宋体" w:cs="宋体"/>
      <w:b/>
      <w:bCs/>
      <w:kern w:val="0"/>
      <w:sz w:val="24"/>
    </w:rPr>
  </w:style>
  <w:style w:type="paragraph" w:customStyle="1" w:styleId="20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hAnsi="宋体" w:cs="宋体"/>
      <w:kern w:val="0"/>
      <w:sz w:val="24"/>
    </w:rPr>
  </w:style>
  <w:style w:type="paragraph" w:customStyle="1" w:styleId="203">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hAnsi="宋体" w:cs="宋体"/>
      <w:kern w:val="0"/>
      <w:sz w:val="24"/>
    </w:rPr>
  </w:style>
  <w:style w:type="paragraph" w:customStyle="1" w:styleId="204">
    <w:name w:val="xl66"/>
    <w:basedOn w:val="1"/>
    <w:qFormat/>
    <w:uiPriority w:val="0"/>
    <w:pPr>
      <w:widowControl/>
      <w:spacing w:before="100" w:beforeAutospacing="1" w:after="100" w:afterAutospacing="1" w:line="360" w:lineRule="auto"/>
      <w:ind w:firstLine="200" w:firstLineChars="200"/>
      <w:jc w:val="center"/>
    </w:pPr>
    <w:rPr>
      <w:rFonts w:hAnsi="宋体" w:cs="宋体"/>
      <w:kern w:val="0"/>
      <w:sz w:val="24"/>
    </w:rPr>
  </w:style>
  <w:style w:type="paragraph" w:customStyle="1" w:styleId="205">
    <w:name w:val="xl67"/>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206">
    <w:name w:val="xl68"/>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207">
    <w:name w:val="xl69"/>
    <w:basedOn w:val="1"/>
    <w:qFormat/>
    <w:uiPriority w:val="0"/>
    <w:pPr>
      <w:widowControl/>
      <w:spacing w:before="100" w:beforeAutospacing="1" w:after="100" w:afterAutospacing="1" w:line="360" w:lineRule="auto"/>
      <w:ind w:firstLine="200" w:firstLineChars="200"/>
      <w:jc w:val="left"/>
    </w:pPr>
    <w:rPr>
      <w:rFonts w:hAnsi="宋体" w:cs="宋体"/>
      <w:kern w:val="0"/>
      <w:sz w:val="24"/>
    </w:rPr>
  </w:style>
  <w:style w:type="paragraph" w:customStyle="1" w:styleId="208">
    <w:name w:val="xl70"/>
    <w:basedOn w:val="1"/>
    <w:qFormat/>
    <w:uiPriority w:val="0"/>
    <w:pPr>
      <w:widowControl/>
      <w:spacing w:before="100" w:beforeAutospacing="1" w:after="100" w:afterAutospacing="1" w:line="360" w:lineRule="auto"/>
      <w:ind w:firstLine="200" w:firstLineChars="200"/>
      <w:jc w:val="center"/>
    </w:pPr>
    <w:rPr>
      <w:rFonts w:hAnsi="宋体" w:cs="宋体"/>
      <w:kern w:val="0"/>
      <w:sz w:val="24"/>
    </w:rPr>
  </w:style>
  <w:style w:type="paragraph" w:customStyle="1" w:styleId="209">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99FF66"/>
      <w:spacing w:before="100" w:beforeAutospacing="1" w:after="100" w:afterAutospacing="1" w:line="360" w:lineRule="auto"/>
      <w:ind w:firstLine="200" w:firstLineChars="200"/>
      <w:jc w:val="center"/>
    </w:pPr>
    <w:rPr>
      <w:rFonts w:hAnsi="宋体" w:cs="宋体"/>
      <w:kern w:val="0"/>
      <w:sz w:val="24"/>
    </w:rPr>
  </w:style>
  <w:style w:type="paragraph" w:customStyle="1" w:styleId="210">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33CCFF"/>
      <w:spacing w:before="100" w:beforeAutospacing="1" w:after="100" w:afterAutospacing="1" w:line="360" w:lineRule="auto"/>
      <w:ind w:firstLine="200" w:firstLineChars="200"/>
      <w:jc w:val="center"/>
    </w:pPr>
    <w:rPr>
      <w:rFonts w:hAnsi="宋体" w:cs="宋体"/>
      <w:kern w:val="0"/>
      <w:sz w:val="24"/>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kern w:val="0"/>
      <w:sz w:val="24"/>
    </w:rPr>
  </w:style>
  <w:style w:type="paragraph" w:customStyle="1" w:styleId="21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1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14">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1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b/>
      <w:bCs/>
      <w:kern w:val="0"/>
      <w:sz w:val="24"/>
    </w:rPr>
  </w:style>
  <w:style w:type="paragraph" w:customStyle="1" w:styleId="21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1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1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center"/>
    </w:pPr>
    <w:rPr>
      <w:rFonts w:hAnsi="宋体" w:cs="宋体"/>
      <w:kern w:val="0"/>
      <w:sz w:val="24"/>
    </w:rPr>
  </w:style>
  <w:style w:type="paragraph" w:customStyle="1" w:styleId="219">
    <w:name w:val="xl8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20">
    <w:name w:val="xl82"/>
    <w:basedOn w:val="1"/>
    <w:qFormat/>
    <w:uiPriority w:val="0"/>
    <w:pPr>
      <w:widowControl/>
      <w:pBdr>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center"/>
    </w:pPr>
    <w:rPr>
      <w:rFonts w:hAnsi="宋体" w:cs="宋体"/>
      <w:kern w:val="0"/>
      <w:sz w:val="24"/>
    </w:rPr>
  </w:style>
  <w:style w:type="paragraph" w:customStyle="1" w:styleId="22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2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2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kern w:val="0"/>
      <w:sz w:val="24"/>
    </w:rPr>
  </w:style>
  <w:style w:type="paragraph" w:customStyle="1" w:styleId="22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66"/>
      <w:spacing w:before="100" w:beforeAutospacing="1" w:after="100" w:afterAutospacing="1" w:line="360" w:lineRule="auto"/>
      <w:ind w:firstLine="200" w:firstLineChars="200"/>
      <w:jc w:val="center"/>
    </w:pPr>
    <w:rPr>
      <w:rFonts w:hAnsi="宋体" w:cs="宋体"/>
      <w:kern w:val="0"/>
      <w:sz w:val="24"/>
    </w:rPr>
  </w:style>
  <w:style w:type="paragraph" w:customStyle="1" w:styleId="225">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9966"/>
      <w:spacing w:before="100" w:beforeAutospacing="1" w:after="100" w:afterAutospacing="1" w:line="360" w:lineRule="auto"/>
      <w:ind w:firstLine="200" w:firstLineChars="200"/>
      <w:jc w:val="center"/>
    </w:pPr>
    <w:rPr>
      <w:rFonts w:hAnsi="宋体" w:cs="宋体"/>
      <w:kern w:val="0"/>
      <w:sz w:val="24"/>
    </w:rPr>
  </w:style>
  <w:style w:type="paragraph" w:customStyle="1" w:styleId="226">
    <w:name w:val="xl88"/>
    <w:basedOn w:val="1"/>
    <w:qFormat/>
    <w:uiPriority w:val="0"/>
    <w:pPr>
      <w:widowControl/>
      <w:pBdr>
        <w:top w:val="single" w:color="auto" w:sz="4" w:space="0"/>
        <w:left w:val="single" w:color="auto" w:sz="4" w:space="0"/>
        <w:right w:val="single" w:color="auto" w:sz="4" w:space="0"/>
      </w:pBdr>
      <w:shd w:val="clear" w:color="000000" w:fill="FF3399"/>
      <w:spacing w:before="100" w:beforeAutospacing="1" w:after="100" w:afterAutospacing="1" w:line="360" w:lineRule="auto"/>
      <w:ind w:firstLine="200" w:firstLineChars="200"/>
      <w:jc w:val="center"/>
    </w:pPr>
    <w:rPr>
      <w:rFonts w:hAnsi="宋体" w:cs="宋体"/>
      <w:kern w:val="0"/>
      <w:sz w:val="24"/>
    </w:rPr>
  </w:style>
  <w:style w:type="paragraph" w:customStyle="1" w:styleId="227">
    <w:name w:val="xl89"/>
    <w:basedOn w:val="1"/>
    <w:qFormat/>
    <w:uiPriority w:val="0"/>
    <w:pPr>
      <w:widowControl/>
      <w:pBdr>
        <w:top w:val="single" w:color="auto" w:sz="4" w:space="0"/>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28">
    <w:name w:val="xl90"/>
    <w:basedOn w:val="1"/>
    <w:qFormat/>
    <w:uiPriority w:val="0"/>
    <w:pPr>
      <w:widowControl/>
      <w:pBdr>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29">
    <w:name w:val="xl91"/>
    <w:basedOn w:val="1"/>
    <w:qFormat/>
    <w:uiPriority w:val="0"/>
    <w:pPr>
      <w:widowControl/>
      <w:pBdr>
        <w:top w:val="single" w:color="auto" w:sz="4" w:space="0"/>
        <w:left w:val="single" w:color="auto" w:sz="4" w:space="0"/>
        <w:right w:val="single" w:color="auto" w:sz="4" w:space="0"/>
      </w:pBdr>
      <w:shd w:val="clear" w:color="000000" w:fill="9999FF"/>
      <w:spacing w:before="100" w:beforeAutospacing="1" w:after="100" w:afterAutospacing="1" w:line="360" w:lineRule="auto"/>
      <w:ind w:firstLine="200" w:firstLineChars="200"/>
      <w:jc w:val="left"/>
    </w:pPr>
    <w:rPr>
      <w:rFonts w:hAnsi="宋体" w:cs="宋体"/>
      <w:kern w:val="0"/>
      <w:sz w:val="24"/>
    </w:rPr>
  </w:style>
  <w:style w:type="paragraph" w:customStyle="1" w:styleId="230">
    <w:name w:val="xl92"/>
    <w:basedOn w:val="1"/>
    <w:qFormat/>
    <w:uiPriority w:val="0"/>
    <w:pPr>
      <w:widowControl/>
      <w:pBdr>
        <w:left w:val="single" w:color="auto" w:sz="4" w:space="0"/>
        <w:bottom w:val="single" w:color="auto" w:sz="4" w:space="0"/>
        <w:right w:val="single" w:color="auto" w:sz="4" w:space="0"/>
      </w:pBdr>
      <w:shd w:val="clear" w:color="000000" w:fill="9999FF"/>
      <w:spacing w:before="100" w:beforeAutospacing="1" w:after="100" w:afterAutospacing="1" w:line="360" w:lineRule="auto"/>
      <w:ind w:firstLine="200" w:firstLineChars="200"/>
      <w:jc w:val="left"/>
    </w:pPr>
    <w:rPr>
      <w:rFonts w:hAnsi="宋体" w:cs="宋体"/>
      <w:kern w:val="0"/>
      <w:sz w:val="24"/>
    </w:rPr>
  </w:style>
  <w:style w:type="paragraph" w:customStyle="1" w:styleId="231">
    <w:name w:val="xl93"/>
    <w:basedOn w:val="1"/>
    <w:qFormat/>
    <w:uiPriority w:val="0"/>
    <w:pPr>
      <w:widowControl/>
      <w:pBdr>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2">
    <w:name w:val="xl94"/>
    <w:basedOn w:val="1"/>
    <w:qFormat/>
    <w:uiPriority w:val="0"/>
    <w:pPr>
      <w:widowControl/>
      <w:pBdr>
        <w:top w:val="single" w:color="auto" w:sz="4" w:space="0"/>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3">
    <w:name w:val="xl95"/>
    <w:basedOn w:val="1"/>
    <w:qFormat/>
    <w:uiPriority w:val="0"/>
    <w:pPr>
      <w:widowControl/>
      <w:pBdr>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4">
    <w:name w:val="xl96"/>
    <w:basedOn w:val="1"/>
    <w:qFormat/>
    <w:uiPriority w:val="0"/>
    <w:pPr>
      <w:widowControl/>
      <w:pBdr>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5">
    <w:name w:val="xl97"/>
    <w:basedOn w:val="1"/>
    <w:qFormat/>
    <w:uiPriority w:val="0"/>
    <w:pPr>
      <w:widowControl/>
      <w:pBdr>
        <w:top w:val="single" w:color="auto" w:sz="4" w:space="0"/>
        <w:left w:val="single" w:color="auto" w:sz="4" w:space="0"/>
        <w:right w:val="single" w:color="auto" w:sz="4" w:space="0"/>
      </w:pBdr>
      <w:shd w:val="clear" w:color="000000" w:fill="33CCFF"/>
      <w:spacing w:before="100" w:beforeAutospacing="1" w:after="100" w:afterAutospacing="1" w:line="360" w:lineRule="auto"/>
      <w:ind w:firstLine="200" w:firstLineChars="200"/>
      <w:jc w:val="left"/>
    </w:pPr>
    <w:rPr>
      <w:rFonts w:hAnsi="宋体" w:cs="宋体"/>
      <w:kern w:val="0"/>
      <w:sz w:val="24"/>
    </w:rPr>
  </w:style>
  <w:style w:type="paragraph" w:customStyle="1" w:styleId="236">
    <w:name w:val="xl98"/>
    <w:basedOn w:val="1"/>
    <w:qFormat/>
    <w:uiPriority w:val="0"/>
    <w:pPr>
      <w:widowControl/>
      <w:pBdr>
        <w:left w:val="single" w:color="auto" w:sz="4" w:space="0"/>
        <w:right w:val="single" w:color="auto" w:sz="4" w:space="0"/>
      </w:pBdr>
      <w:shd w:val="clear" w:color="000000" w:fill="33CCFF"/>
      <w:spacing w:before="100" w:beforeAutospacing="1" w:after="100" w:afterAutospacing="1" w:line="360" w:lineRule="auto"/>
      <w:ind w:firstLine="200" w:firstLineChars="200"/>
      <w:jc w:val="left"/>
    </w:pPr>
    <w:rPr>
      <w:rFonts w:hAnsi="宋体" w:cs="宋体"/>
      <w:kern w:val="0"/>
      <w:sz w:val="24"/>
    </w:rPr>
  </w:style>
  <w:style w:type="paragraph" w:customStyle="1" w:styleId="237">
    <w:name w:val="xl99"/>
    <w:basedOn w:val="1"/>
    <w:qFormat/>
    <w:uiPriority w:val="0"/>
    <w:pPr>
      <w:widowControl/>
      <w:pBdr>
        <w:left w:val="single" w:color="auto" w:sz="4" w:space="0"/>
        <w:bottom w:val="single" w:color="auto" w:sz="4" w:space="0"/>
        <w:right w:val="single" w:color="auto" w:sz="4" w:space="0"/>
      </w:pBdr>
      <w:shd w:val="clear" w:color="000000" w:fill="33CCFF"/>
      <w:spacing w:before="100" w:beforeAutospacing="1" w:after="100" w:afterAutospacing="1" w:line="360" w:lineRule="auto"/>
      <w:ind w:firstLine="200" w:firstLineChars="200"/>
      <w:jc w:val="left"/>
    </w:pPr>
    <w:rPr>
      <w:rFonts w:hAnsi="宋体" w:cs="宋体"/>
      <w:kern w:val="0"/>
      <w:sz w:val="24"/>
    </w:rPr>
  </w:style>
  <w:style w:type="paragraph" w:customStyle="1" w:styleId="238">
    <w:name w:val="xl100"/>
    <w:basedOn w:val="1"/>
    <w:qFormat/>
    <w:uiPriority w:val="0"/>
    <w:pPr>
      <w:widowControl/>
      <w:pBdr>
        <w:top w:val="single" w:color="auto" w:sz="4" w:space="0"/>
        <w:left w:val="single" w:color="auto" w:sz="4" w:space="0"/>
        <w:right w:val="single" w:color="auto" w:sz="4" w:space="0"/>
      </w:pBdr>
      <w:shd w:val="clear" w:color="000000" w:fill="FFFF66"/>
      <w:spacing w:before="100" w:beforeAutospacing="1" w:after="100" w:afterAutospacing="1" w:line="360" w:lineRule="auto"/>
      <w:ind w:firstLine="200" w:firstLineChars="200"/>
      <w:jc w:val="left"/>
    </w:pPr>
    <w:rPr>
      <w:rFonts w:hAnsi="宋体" w:cs="宋体"/>
      <w:kern w:val="0"/>
      <w:sz w:val="24"/>
    </w:rPr>
  </w:style>
  <w:style w:type="paragraph" w:customStyle="1" w:styleId="239">
    <w:name w:val="xl101"/>
    <w:basedOn w:val="1"/>
    <w:qFormat/>
    <w:uiPriority w:val="0"/>
    <w:pPr>
      <w:widowControl/>
      <w:pBdr>
        <w:left w:val="single" w:color="auto" w:sz="4" w:space="0"/>
        <w:bottom w:val="single" w:color="auto" w:sz="4" w:space="0"/>
        <w:right w:val="single" w:color="auto" w:sz="4" w:space="0"/>
      </w:pBdr>
      <w:shd w:val="clear" w:color="000000" w:fill="FFFF66"/>
      <w:spacing w:before="100" w:beforeAutospacing="1" w:after="100" w:afterAutospacing="1" w:line="360" w:lineRule="auto"/>
      <w:ind w:firstLine="200" w:firstLineChars="200"/>
      <w:jc w:val="left"/>
    </w:pPr>
    <w:rPr>
      <w:rFonts w:hAnsi="宋体" w:cs="宋体"/>
      <w:kern w:val="0"/>
      <w:sz w:val="24"/>
    </w:rPr>
  </w:style>
  <w:style w:type="paragraph" w:customStyle="1" w:styleId="240">
    <w:name w:val="xl102"/>
    <w:basedOn w:val="1"/>
    <w:qFormat/>
    <w:uiPriority w:val="0"/>
    <w:pPr>
      <w:widowControl/>
      <w:pBdr>
        <w:top w:val="single" w:color="auto" w:sz="4" w:space="0"/>
        <w:left w:val="single" w:color="auto" w:sz="4" w:space="0"/>
        <w:right w:val="single" w:color="auto" w:sz="4" w:space="0"/>
      </w:pBdr>
      <w:shd w:val="clear" w:color="000000" w:fill="99FF66"/>
      <w:spacing w:before="100" w:beforeAutospacing="1" w:after="100" w:afterAutospacing="1" w:line="360" w:lineRule="auto"/>
      <w:ind w:firstLine="200" w:firstLineChars="200"/>
      <w:jc w:val="left"/>
    </w:pPr>
    <w:rPr>
      <w:rFonts w:hAnsi="宋体" w:cs="宋体"/>
      <w:kern w:val="0"/>
      <w:sz w:val="24"/>
    </w:rPr>
  </w:style>
  <w:style w:type="paragraph" w:customStyle="1" w:styleId="241">
    <w:name w:val="xl103"/>
    <w:basedOn w:val="1"/>
    <w:qFormat/>
    <w:uiPriority w:val="0"/>
    <w:pPr>
      <w:widowControl/>
      <w:pBdr>
        <w:left w:val="single" w:color="auto" w:sz="4" w:space="0"/>
        <w:right w:val="single" w:color="auto" w:sz="4" w:space="0"/>
      </w:pBdr>
      <w:shd w:val="clear" w:color="000000" w:fill="99FF66"/>
      <w:spacing w:before="100" w:beforeAutospacing="1" w:after="100" w:afterAutospacing="1" w:line="360" w:lineRule="auto"/>
      <w:ind w:firstLine="200" w:firstLineChars="200"/>
      <w:jc w:val="left"/>
    </w:pPr>
    <w:rPr>
      <w:rFonts w:hAnsi="宋体" w:cs="宋体"/>
      <w:kern w:val="0"/>
      <w:sz w:val="24"/>
    </w:rPr>
  </w:style>
  <w:style w:type="paragraph" w:customStyle="1" w:styleId="242">
    <w:name w:val="xl104"/>
    <w:basedOn w:val="1"/>
    <w:qFormat/>
    <w:uiPriority w:val="0"/>
    <w:pPr>
      <w:widowControl/>
      <w:pBdr>
        <w:left w:val="single" w:color="auto" w:sz="4" w:space="0"/>
        <w:bottom w:val="single" w:color="auto" w:sz="4" w:space="0"/>
        <w:right w:val="single" w:color="auto" w:sz="4" w:space="0"/>
      </w:pBdr>
      <w:shd w:val="clear" w:color="000000" w:fill="99FF66"/>
      <w:spacing w:before="100" w:beforeAutospacing="1" w:after="100" w:afterAutospacing="1" w:line="360" w:lineRule="auto"/>
      <w:ind w:firstLine="200" w:firstLineChars="200"/>
      <w:jc w:val="left"/>
    </w:pPr>
    <w:rPr>
      <w:rFonts w:hAnsi="宋体" w:cs="宋体"/>
      <w:kern w:val="0"/>
      <w:sz w:val="24"/>
    </w:rPr>
  </w:style>
  <w:style w:type="paragraph" w:customStyle="1" w:styleId="24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b/>
      <w:bCs/>
      <w:kern w:val="0"/>
      <w:sz w:val="24"/>
    </w:rPr>
  </w:style>
  <w:style w:type="paragraph" w:customStyle="1" w:styleId="24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hAnsi="宋体" w:cs="宋体"/>
      <w:kern w:val="0"/>
      <w:sz w:val="24"/>
    </w:rPr>
  </w:style>
  <w:style w:type="paragraph" w:customStyle="1" w:styleId="245">
    <w:name w:val="xl1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46">
    <w:name w:val="xl108"/>
    <w:basedOn w:val="1"/>
    <w:qFormat/>
    <w:uiPriority w:val="0"/>
    <w:pPr>
      <w:widowControl/>
      <w:pBdr>
        <w:top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47">
    <w:name w:val="xl1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48">
    <w:name w:val="xl11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49">
    <w:name w:val="xl111"/>
    <w:basedOn w:val="1"/>
    <w:qFormat/>
    <w:uiPriority w:val="0"/>
    <w:pPr>
      <w:widowControl/>
      <w:pBdr>
        <w:top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0">
    <w:name w:val="xl11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1">
    <w:name w:val="xl11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2">
    <w:name w:val="xl11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53">
    <w:name w:val="xl11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54">
    <w:name w:val="xl116"/>
    <w:basedOn w:val="1"/>
    <w:qFormat/>
    <w:uiPriority w:val="0"/>
    <w:pPr>
      <w:widowControl/>
      <w:pBdr>
        <w:left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55">
    <w:name w:val="xl117"/>
    <w:basedOn w:val="1"/>
    <w:qFormat/>
    <w:uiPriority w:val="0"/>
    <w:pPr>
      <w:widowControl/>
      <w:pBdr>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6">
    <w:name w:val="xl11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7">
    <w:name w:val="xl119"/>
    <w:basedOn w:val="1"/>
    <w:qFormat/>
    <w:uiPriority w:val="0"/>
    <w:pPr>
      <w:widowControl/>
      <w:pBdr>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8">
    <w:name w:val="xl120"/>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9">
    <w:name w:val="样式 标题 2节标题 1.1 + 首行缩进:  2 字符"/>
    <w:basedOn w:val="3"/>
    <w:link w:val="261"/>
    <w:qFormat/>
    <w:uiPriority w:val="0"/>
    <w:pPr>
      <w:spacing w:before="260" w:after="260" w:line="416" w:lineRule="auto"/>
    </w:pPr>
    <w:rPr>
      <w:rFonts w:eastAsia="黑体" w:cs="宋体"/>
      <w:spacing w:val="-4"/>
      <w:sz w:val="32"/>
      <w:szCs w:val="24"/>
    </w:rPr>
  </w:style>
  <w:style w:type="paragraph" w:customStyle="1" w:styleId="260">
    <w:name w:val="标题2"/>
    <w:basedOn w:val="259"/>
    <w:link w:val="262"/>
    <w:qFormat/>
    <w:uiPriority w:val="0"/>
    <w:pPr>
      <w:spacing w:line="415" w:lineRule="auto"/>
      <w:jc w:val="left"/>
    </w:pPr>
  </w:style>
  <w:style w:type="character" w:customStyle="1" w:styleId="261">
    <w:name w:val="样式 标题 2节标题 1.1 + 首行缩进:  2 字符 Char"/>
    <w:link w:val="259"/>
    <w:qFormat/>
    <w:uiPriority w:val="0"/>
    <w:rPr>
      <w:rFonts w:ascii="Arial" w:hAnsi="Arial" w:eastAsia="黑体" w:cs="宋体"/>
      <w:b/>
      <w:bCs/>
      <w:spacing w:val="-4"/>
      <w:kern w:val="2"/>
      <w:sz w:val="32"/>
      <w:szCs w:val="24"/>
    </w:rPr>
  </w:style>
  <w:style w:type="character" w:customStyle="1" w:styleId="262">
    <w:name w:val="标题2 Char"/>
    <w:basedOn w:val="261"/>
    <w:link w:val="260"/>
    <w:qFormat/>
    <w:uiPriority w:val="0"/>
    <w:rPr>
      <w:rFonts w:ascii="Arial" w:hAnsi="Arial" w:eastAsia="黑体" w:cs="宋体"/>
      <w:spacing w:val="-4"/>
      <w:kern w:val="2"/>
      <w:sz w:val="32"/>
      <w:szCs w:val="24"/>
    </w:rPr>
  </w:style>
  <w:style w:type="paragraph" w:customStyle="1" w:styleId="263">
    <w:name w:val="填写说明的专业标题"/>
    <w:link w:val="264"/>
    <w:qFormat/>
    <w:uiPriority w:val="0"/>
    <w:pPr>
      <w:jc w:val="center"/>
    </w:pPr>
    <w:rPr>
      <w:rFonts w:cs="Times New Roman" w:asciiTheme="minorEastAsia" w:hAnsiTheme="minorEastAsia" w:eastAsiaTheme="minorEastAsia"/>
      <w:b/>
      <w:kern w:val="2"/>
      <w:sz w:val="28"/>
      <w:szCs w:val="28"/>
      <w:lang w:val="en-US" w:eastAsia="zh-CN" w:bidi="ar-SA"/>
    </w:rPr>
  </w:style>
  <w:style w:type="character" w:customStyle="1" w:styleId="264">
    <w:name w:val="填写说明的专业标题 字符"/>
    <w:basedOn w:val="46"/>
    <w:link w:val="263"/>
    <w:qFormat/>
    <w:uiPriority w:val="0"/>
    <w:rPr>
      <w:rFonts w:asciiTheme="minorEastAsia" w:hAnsiTheme="minorEastAsia" w:eastAsiaTheme="minorEastAsia"/>
      <w:b/>
      <w:kern w:val="2"/>
      <w:sz w:val="28"/>
      <w:szCs w:val="28"/>
    </w:rPr>
  </w:style>
  <w:style w:type="paragraph" w:customStyle="1" w:styleId="265">
    <w:name w:val="x大点一"/>
    <w:link w:val="266"/>
    <w:qFormat/>
    <w:uiPriority w:val="0"/>
    <w:pPr>
      <w:spacing w:line="360" w:lineRule="auto"/>
      <w:outlineLvl w:val="2"/>
    </w:pPr>
    <w:rPr>
      <w:rFonts w:cs="Times New Roman" w:asciiTheme="minorEastAsia" w:hAnsiTheme="minorEastAsia" w:eastAsiaTheme="minorEastAsia"/>
      <w:b/>
      <w:bCs/>
      <w:sz w:val="24"/>
      <w:szCs w:val="24"/>
      <w:lang w:val="en-US" w:eastAsia="zh-CN" w:bidi="ar-SA"/>
    </w:rPr>
  </w:style>
  <w:style w:type="character" w:customStyle="1" w:styleId="266">
    <w:name w:val="x大点一 字符"/>
    <w:basedOn w:val="46"/>
    <w:link w:val="265"/>
    <w:qFormat/>
    <w:uiPriority w:val="0"/>
    <w:rPr>
      <w:rFonts w:asciiTheme="minorEastAsia" w:hAnsiTheme="minorEastAsia" w:eastAsiaTheme="minorEastAsia"/>
      <w:b/>
      <w:bCs/>
      <w:sz w:val="24"/>
      <w:szCs w:val="24"/>
    </w:rPr>
  </w:style>
  <w:style w:type="paragraph" w:customStyle="1" w:styleId="267">
    <w:name w:val="x中点（一）"/>
    <w:link w:val="268"/>
    <w:qFormat/>
    <w:uiPriority w:val="0"/>
    <w:pPr>
      <w:spacing w:line="360" w:lineRule="auto"/>
      <w:jc w:val="center"/>
    </w:pPr>
    <w:rPr>
      <w:rFonts w:cs="Times New Roman" w:asciiTheme="minorEastAsia" w:hAnsiTheme="minorEastAsia" w:eastAsiaTheme="minorEastAsia"/>
      <w:b/>
      <w:bCs/>
      <w:sz w:val="24"/>
      <w:szCs w:val="24"/>
      <w:lang w:val="en-US" w:eastAsia="zh-CN" w:bidi="ar-SA"/>
    </w:rPr>
  </w:style>
  <w:style w:type="character" w:customStyle="1" w:styleId="268">
    <w:name w:val="x中点（一） 字符"/>
    <w:basedOn w:val="46"/>
    <w:link w:val="267"/>
    <w:qFormat/>
    <w:uiPriority w:val="0"/>
    <w:rPr>
      <w:rFonts w:asciiTheme="minorEastAsia" w:hAnsiTheme="minorEastAsia" w:eastAsiaTheme="minorEastAsia"/>
      <w:b/>
      <w:bCs/>
      <w:sz w:val="24"/>
      <w:szCs w:val="24"/>
    </w:rPr>
  </w:style>
  <w:style w:type="paragraph" w:customStyle="1" w:styleId="269">
    <w:name w:val="标题（目录）"/>
    <w:basedOn w:val="1"/>
    <w:link w:val="270"/>
    <w:qFormat/>
    <w:uiPriority w:val="0"/>
    <w:pPr>
      <w:widowControl/>
      <w:jc w:val="center"/>
    </w:pPr>
    <w:rPr>
      <w:rFonts w:hAnsi="宋体"/>
      <w:b/>
      <w:sz w:val="48"/>
      <w:szCs w:val="44"/>
    </w:rPr>
  </w:style>
  <w:style w:type="character" w:customStyle="1" w:styleId="270">
    <w:name w:val="标题（目录） 字符"/>
    <w:basedOn w:val="46"/>
    <w:link w:val="269"/>
    <w:qFormat/>
    <w:uiPriority w:val="0"/>
    <w:rPr>
      <w:rFonts w:ascii="宋体" w:hAnsi="宋体"/>
      <w:b/>
      <w:kern w:val="2"/>
      <w:sz w:val="48"/>
      <w:szCs w:val="44"/>
    </w:rPr>
  </w:style>
  <w:style w:type="paragraph" w:customStyle="1" w:styleId="271">
    <w:name w:val="列出段落2"/>
    <w:basedOn w:val="1"/>
    <w:qFormat/>
    <w:uiPriority w:val="34"/>
    <w:pPr>
      <w:ind w:firstLine="420" w:firstLineChars="200"/>
    </w:pPr>
  </w:style>
  <w:style w:type="paragraph" w:customStyle="1" w:styleId="272">
    <w:name w:val="正文（不缩进）"/>
    <w:qFormat/>
    <w:uiPriority w:val="0"/>
    <w:rPr>
      <w:rFonts w:ascii="宋体" w:hAnsi="Times New Roman" w:eastAsia="宋体" w:cs="Times New Roman"/>
      <w:kern w:val="2"/>
      <w:sz w:val="21"/>
      <w:szCs w:val="24"/>
      <w:lang w:val="en-US" w:eastAsia="zh-CN" w:bidi="ar-SA"/>
    </w:rPr>
  </w:style>
  <w:style w:type="paragraph" w:styleId="273">
    <w:name w:val="List Paragraph"/>
    <w:basedOn w:val="1"/>
    <w:qFormat/>
    <w:uiPriority w:val="34"/>
    <w:pPr>
      <w:ind w:firstLine="420" w:firstLineChars="200"/>
    </w:pPr>
    <w:rPr>
      <w:rFonts w:ascii="Times New Roman"/>
    </w:rPr>
  </w:style>
  <w:style w:type="character" w:styleId="274">
    <w:name w:val="Placeholder Text"/>
    <w:basedOn w:val="46"/>
    <w:semiHidden/>
    <w:qFormat/>
    <w:uiPriority w:val="99"/>
    <w:rPr>
      <w:color w:val="808080"/>
    </w:rPr>
  </w:style>
  <w:style w:type="paragraph" w:styleId="275">
    <w:name w:val="No Spacing"/>
    <w:unhideWhenUsed/>
    <w:qFormat/>
    <w:uiPriority w:val="1"/>
    <w:pPr>
      <w:widowControl w:val="0"/>
      <w:autoSpaceDE w:val="0"/>
      <w:autoSpaceDN w:val="0"/>
      <w:adjustRightInd w:val="0"/>
    </w:pPr>
    <w:rPr>
      <w:rFonts w:hint="eastAsia" w:ascii="Times New Roman" w:hAnsi="Times New Roman" w:eastAsia="等线" w:cs="Times New Roman"/>
      <w:sz w:val="24"/>
      <w:lang w:val="en-US" w:eastAsia="zh-CN" w:bidi="ar-SA"/>
    </w:rPr>
  </w:style>
  <w:style w:type="paragraph" w:customStyle="1" w:styleId="276">
    <w:name w:val="TOC 标题2"/>
    <w:basedOn w:val="2"/>
    <w:next w:val="1"/>
    <w:unhideWhenUsed/>
    <w:qFormat/>
    <w:uiPriority w:val="39"/>
    <w:pPr>
      <w:widowControl/>
      <w:spacing w:after="0" w:line="259" w:lineRule="auto"/>
      <w:jc w:val="left"/>
      <w:outlineLvl w:val="9"/>
    </w:pPr>
    <w:rPr>
      <w:rFonts w:asciiTheme="majorHAnsi" w:hAnsiTheme="majorHAnsi" w:eastAsiaTheme="majorEastAsia" w:cstheme="majorBidi"/>
      <w:b w:val="0"/>
      <w:bCs w:val="0"/>
      <w:color w:val="376092" w:themeColor="accent1" w:themeShade="BF"/>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18440</Words>
  <Characters>105114</Characters>
  <Lines>875</Lines>
  <Paragraphs>246</Paragraphs>
  <TotalTime>18</TotalTime>
  <ScaleCrop>false</ScaleCrop>
  <LinksUpToDate>false</LinksUpToDate>
  <CharactersWithSpaces>123308</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2022-01-21T11:13:00Z</dcterms:created>
  <dc:creator>余雪婧</dc:creator>
  <cp:lastModifiedBy>user</cp:lastModifiedBy>
  <cp:lastPrinted>2017-09-17T14:07:00Z</cp:lastPrinted>
  <dcterms:modified xsi:type="dcterms:W3CDTF">2022-10-09T14:41:46Z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E1D291DD7CFB48109AFE4CBB25646944</vt:lpwstr>
  </property>
</Properties>
</file>